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2FF" w:rsidRPr="006D72FF" w:rsidRDefault="006D72FF" w:rsidP="006D72FF">
      <w:pPr>
        <w:widowControl/>
        <w:snapToGrid w:val="0"/>
        <w:ind w:hanging="1121"/>
        <w:jc w:val="center"/>
        <w:rPr>
          <w:rFonts w:ascii="新細明體" w:eastAsia="新細明體" w:hAnsi="新細明體" w:cs="新細明體"/>
          <w:kern w:val="0"/>
          <w:szCs w:val="24"/>
        </w:rPr>
      </w:pPr>
      <w:r w:rsidRPr="006D72FF">
        <w:rPr>
          <w:rFonts w:ascii="Arial" w:eastAsia="新細明體" w:hAnsi="Arial" w:cs="Arial"/>
          <w:b/>
          <w:bCs/>
          <w:kern w:val="0"/>
          <w:sz w:val="28"/>
          <w:szCs w:val="28"/>
        </w:rPr>
        <w:t>專科以上學校推廣教育實施辦法</w:t>
      </w:r>
    </w:p>
    <w:p w:rsidR="006D72FF" w:rsidRPr="006D72FF" w:rsidRDefault="006D72FF" w:rsidP="006D72FF">
      <w:pPr>
        <w:widowControl/>
        <w:snapToGrid w:val="0"/>
        <w:spacing w:line="200" w:lineRule="atLeast"/>
        <w:ind w:hanging="720"/>
        <w:jc w:val="right"/>
        <w:rPr>
          <w:rFonts w:ascii="新細明體" w:eastAsia="新細明體" w:hAnsi="新細明體" w:cs="新細明體"/>
          <w:kern w:val="0"/>
          <w:szCs w:val="24"/>
        </w:rPr>
      </w:pPr>
      <w:r w:rsidRPr="006D72FF">
        <w:rPr>
          <w:rFonts w:ascii="新細明體" w:eastAsia="新細明體" w:hAnsi="新細明體" w:cs="新細明體"/>
          <w:b/>
          <w:bCs/>
          <w:kern w:val="0"/>
          <w:sz w:val="20"/>
          <w:szCs w:val="20"/>
        </w:rPr>
        <w:t> </w:t>
      </w:r>
    </w:p>
    <w:p w:rsidR="006D72FF" w:rsidRPr="006D72FF" w:rsidRDefault="006D72FF" w:rsidP="006D72FF">
      <w:pPr>
        <w:widowControl/>
        <w:snapToGrid w:val="0"/>
        <w:spacing w:before="100" w:beforeAutospacing="1" w:afterAutospacing="1" w:line="200" w:lineRule="atLeast"/>
        <w:ind w:hanging="720"/>
        <w:jc w:val="right"/>
        <w:rPr>
          <w:rFonts w:ascii="新細明體" w:eastAsia="新細明體" w:hAnsi="新細明體" w:cs="新細明體"/>
          <w:kern w:val="0"/>
          <w:szCs w:val="24"/>
        </w:rPr>
      </w:pPr>
      <w:r w:rsidRPr="006D72FF">
        <w:rPr>
          <w:rFonts w:ascii="Arial" w:eastAsia="新細明體" w:hAnsi="Arial" w:cs="Arial"/>
          <w:kern w:val="0"/>
          <w:sz w:val="18"/>
          <w:szCs w:val="18"/>
        </w:rPr>
        <w:t>中華民國</w:t>
      </w:r>
      <w:r w:rsidRPr="006D72FF">
        <w:rPr>
          <w:rFonts w:ascii="Arial" w:eastAsia="新細明體" w:hAnsi="Arial" w:cs="Arial"/>
          <w:kern w:val="0"/>
          <w:sz w:val="18"/>
          <w:szCs w:val="18"/>
        </w:rPr>
        <w:t>100</w:t>
      </w:r>
      <w:r w:rsidRPr="006D72FF">
        <w:rPr>
          <w:rFonts w:ascii="Arial" w:eastAsia="新細明體" w:hAnsi="Arial" w:cs="Arial"/>
          <w:kern w:val="0"/>
          <w:sz w:val="18"/>
          <w:szCs w:val="18"/>
        </w:rPr>
        <w:t>年</w:t>
      </w:r>
      <w:r w:rsidRPr="006D72FF">
        <w:rPr>
          <w:rFonts w:ascii="Arial" w:eastAsia="新細明體" w:hAnsi="Arial" w:cs="Arial"/>
          <w:kern w:val="0"/>
          <w:sz w:val="18"/>
          <w:szCs w:val="18"/>
        </w:rPr>
        <w:t>1</w:t>
      </w:r>
      <w:r w:rsidRPr="006D72FF">
        <w:rPr>
          <w:rFonts w:ascii="Arial" w:eastAsia="新細明體" w:hAnsi="Arial" w:cs="Arial"/>
          <w:kern w:val="0"/>
          <w:sz w:val="18"/>
          <w:szCs w:val="18"/>
        </w:rPr>
        <w:t>月</w:t>
      </w:r>
      <w:r w:rsidRPr="006D72FF">
        <w:rPr>
          <w:rFonts w:ascii="Arial" w:eastAsia="新細明體" w:hAnsi="Arial" w:cs="Arial"/>
          <w:kern w:val="0"/>
          <w:sz w:val="18"/>
          <w:szCs w:val="18"/>
        </w:rPr>
        <w:t>11</w:t>
      </w:r>
      <w:r w:rsidRPr="006D72FF">
        <w:rPr>
          <w:rFonts w:ascii="Arial" w:eastAsia="新細明體" w:hAnsi="Arial" w:cs="Arial"/>
          <w:kern w:val="0"/>
          <w:sz w:val="18"/>
          <w:szCs w:val="18"/>
        </w:rPr>
        <w:t>日臺參字第</w:t>
      </w:r>
      <w:r w:rsidRPr="006D72FF">
        <w:rPr>
          <w:rFonts w:ascii="Arial" w:eastAsia="新細明體" w:hAnsi="Arial" w:cs="Arial"/>
          <w:kern w:val="0"/>
          <w:sz w:val="18"/>
          <w:szCs w:val="18"/>
        </w:rPr>
        <w:t>0990231115C</w:t>
      </w:r>
      <w:r w:rsidRPr="006D72FF">
        <w:rPr>
          <w:rFonts w:ascii="Arial" w:eastAsia="新細明體" w:hAnsi="Arial" w:cs="Arial"/>
          <w:kern w:val="0"/>
          <w:sz w:val="18"/>
          <w:szCs w:val="18"/>
        </w:rPr>
        <w:t>號令修正發布施行</w:t>
      </w:r>
      <w:r w:rsidRPr="006D72FF">
        <w:rPr>
          <w:rFonts w:ascii="Arial" w:eastAsia="新細明體" w:hAnsi="Arial" w:cs="Arial"/>
          <w:kern w:val="0"/>
          <w:sz w:val="18"/>
          <w:szCs w:val="18"/>
        </w:rPr>
        <w:br/>
      </w:r>
      <w:r w:rsidRPr="006D72FF">
        <w:rPr>
          <w:rFonts w:ascii="Arial" w:eastAsia="新細明體" w:hAnsi="Arial" w:cs="Arial"/>
          <w:kern w:val="0"/>
          <w:sz w:val="18"/>
          <w:szCs w:val="18"/>
        </w:rPr>
        <w:t>中華民國</w:t>
      </w:r>
      <w:r w:rsidRPr="006D72FF">
        <w:rPr>
          <w:rFonts w:ascii="Arial" w:eastAsia="新細明體" w:hAnsi="Arial" w:cs="Arial"/>
          <w:kern w:val="0"/>
          <w:sz w:val="18"/>
          <w:szCs w:val="18"/>
        </w:rPr>
        <w:t>100</w:t>
      </w:r>
      <w:r w:rsidRPr="006D72FF">
        <w:rPr>
          <w:rFonts w:ascii="Arial" w:eastAsia="新細明體" w:hAnsi="Arial" w:cs="Arial"/>
          <w:kern w:val="0"/>
          <w:sz w:val="18"/>
          <w:szCs w:val="18"/>
        </w:rPr>
        <w:t>年</w:t>
      </w:r>
      <w:r w:rsidRPr="006D72FF">
        <w:rPr>
          <w:rFonts w:ascii="Arial" w:eastAsia="新細明體" w:hAnsi="Arial" w:cs="Arial"/>
          <w:kern w:val="0"/>
          <w:sz w:val="18"/>
          <w:szCs w:val="18"/>
        </w:rPr>
        <w:t>7</w:t>
      </w:r>
      <w:r w:rsidRPr="006D72FF">
        <w:rPr>
          <w:rFonts w:ascii="Arial" w:eastAsia="新細明體" w:hAnsi="Arial" w:cs="Arial"/>
          <w:kern w:val="0"/>
          <w:sz w:val="18"/>
          <w:szCs w:val="18"/>
        </w:rPr>
        <w:t>月</w:t>
      </w:r>
      <w:r w:rsidRPr="006D72FF">
        <w:rPr>
          <w:rFonts w:ascii="Arial" w:eastAsia="新細明體" w:hAnsi="Arial" w:cs="Arial"/>
          <w:kern w:val="0"/>
          <w:sz w:val="18"/>
          <w:szCs w:val="18"/>
        </w:rPr>
        <w:t>13</w:t>
      </w:r>
      <w:r w:rsidRPr="006D72FF">
        <w:rPr>
          <w:rFonts w:ascii="Arial" w:eastAsia="新細明體" w:hAnsi="Arial" w:cs="Arial"/>
          <w:kern w:val="0"/>
          <w:sz w:val="18"/>
          <w:szCs w:val="18"/>
        </w:rPr>
        <w:t>日臺參字第</w:t>
      </w:r>
      <w:r w:rsidRPr="006D72FF">
        <w:rPr>
          <w:rFonts w:ascii="Arial" w:eastAsia="新細明體" w:hAnsi="Arial" w:cs="Arial"/>
          <w:kern w:val="0"/>
          <w:sz w:val="18"/>
          <w:szCs w:val="18"/>
        </w:rPr>
        <w:t>1000112237C</w:t>
      </w:r>
      <w:r w:rsidRPr="006D72FF">
        <w:rPr>
          <w:rFonts w:ascii="Arial" w:eastAsia="新細明體" w:hAnsi="Arial" w:cs="Arial"/>
          <w:kern w:val="0"/>
          <w:sz w:val="18"/>
          <w:szCs w:val="18"/>
        </w:rPr>
        <w:t>號令修正發布施行</w:t>
      </w:r>
    </w:p>
    <w:p w:rsidR="006D72FF" w:rsidRPr="006D72FF" w:rsidRDefault="006D72FF" w:rsidP="006D72FF">
      <w:pPr>
        <w:widowControl/>
        <w:snapToGrid w:val="0"/>
        <w:spacing w:line="200" w:lineRule="atLeast"/>
        <w:ind w:hanging="720"/>
        <w:jc w:val="right"/>
        <w:rPr>
          <w:rFonts w:ascii="新細明體" w:eastAsia="新細明體" w:hAnsi="新細明體" w:cs="新細明體"/>
          <w:kern w:val="0"/>
          <w:szCs w:val="24"/>
        </w:rPr>
      </w:pPr>
      <w:r w:rsidRPr="006D72FF">
        <w:rPr>
          <w:rFonts w:ascii="Arial" w:eastAsia="新細明體" w:hAnsi="Arial" w:cs="Arial"/>
          <w:kern w:val="0"/>
          <w:sz w:val="18"/>
          <w:szCs w:val="18"/>
        </w:rPr>
        <w:t>（原名稱：大學推廣教育實施辦法）</w:t>
      </w:r>
    </w:p>
    <w:p w:rsidR="006D72FF" w:rsidRPr="006D72FF" w:rsidRDefault="006D72FF" w:rsidP="006D72FF">
      <w:pPr>
        <w:widowControl/>
        <w:snapToGrid w:val="0"/>
        <w:spacing w:line="200" w:lineRule="atLeast"/>
        <w:ind w:hanging="720"/>
        <w:jc w:val="right"/>
        <w:rPr>
          <w:rFonts w:ascii="新細明體" w:eastAsia="新細明體" w:hAnsi="新細明體" w:cs="新細明體"/>
          <w:kern w:val="0"/>
          <w:szCs w:val="24"/>
        </w:rPr>
      </w:pPr>
      <w:r w:rsidRPr="006D72FF">
        <w:rPr>
          <w:rFonts w:ascii="新細明體" w:eastAsia="新細明體" w:hAnsi="新細明體" w:cs="新細明體"/>
          <w:b/>
          <w:bCs/>
          <w:kern w:val="0"/>
          <w:sz w:val="20"/>
          <w:szCs w:val="20"/>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第一條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本辦法依大學法第三十一條第二項及專科學校法第三十四條第三項規定訂定之。</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第二條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本辦法所稱推廣教育，指依專科以上學校（以下簡稱學校）教育目標，針對社會需求所辦理有助於提升大眾學識技能及社會文化水準之各項教育活動。</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第三條</w:t>
      </w:r>
      <w:r w:rsidRPr="006D72FF">
        <w:rPr>
          <w:rFonts w:ascii="Arial" w:eastAsia="新細明體" w:hAnsi="Arial" w:cs="Arial"/>
          <w:kern w:val="0"/>
          <w:szCs w:val="24"/>
        </w:rPr>
        <w:t xml:space="preserve"> </w:t>
      </w:r>
      <w:r w:rsidRPr="006D72FF">
        <w:rPr>
          <w:rFonts w:ascii="Arial" w:eastAsia="新細明體" w:hAnsi="Arial" w:cs="Arial"/>
          <w:kern w:val="0"/>
          <w:szCs w:val="24"/>
        </w:rPr>
        <w:t>學校辦理推廣教育，應衡酌現有師資、提供足供教學之圖書、儀器及設備規劃辦理；所開辦班別，並應與其現有課程相關。</w:t>
      </w:r>
      <w:r w:rsidRPr="006D72FF">
        <w:rPr>
          <w:rFonts w:ascii="Arial" w:eastAsia="新細明體" w:hAnsi="Arial" w:cs="Arial"/>
          <w:kern w:val="0"/>
          <w:szCs w:val="24"/>
        </w:rPr>
        <w:br/>
      </w:r>
      <w:r w:rsidRPr="006D72FF">
        <w:rPr>
          <w:rFonts w:ascii="Arial" w:eastAsia="新細明體" w:hAnsi="Arial" w:cs="Arial"/>
          <w:kern w:val="0"/>
          <w:szCs w:val="24"/>
        </w:rPr>
        <w:t>學校辦理推廣教育，不得將招生、教學等事務，委由校外機構或團體辦理。</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第四條</w:t>
      </w:r>
      <w:r w:rsidRPr="006D72FF">
        <w:rPr>
          <w:rFonts w:ascii="Arial" w:eastAsia="新細明體" w:hAnsi="Arial" w:cs="Arial"/>
          <w:kern w:val="0"/>
          <w:szCs w:val="24"/>
        </w:rPr>
        <w:t xml:space="preserve"> </w:t>
      </w:r>
      <w:r w:rsidRPr="006D72FF">
        <w:rPr>
          <w:rFonts w:ascii="Arial" w:eastAsia="新細明體" w:hAnsi="Arial" w:cs="Arial"/>
          <w:kern w:val="0"/>
          <w:szCs w:val="24"/>
        </w:rPr>
        <w:t>推廣教育，分為學分班及非學分班二類，得採下列方式辦理：</w:t>
      </w:r>
      <w:r w:rsidRPr="006D72FF">
        <w:rPr>
          <w:rFonts w:ascii="Arial" w:eastAsia="新細明體" w:hAnsi="Arial" w:cs="Arial"/>
          <w:kern w:val="0"/>
          <w:szCs w:val="24"/>
        </w:rPr>
        <w:br/>
      </w:r>
      <w:r w:rsidRPr="006D72FF">
        <w:rPr>
          <w:rFonts w:ascii="Arial" w:eastAsia="新細明體" w:hAnsi="Arial" w:cs="Arial"/>
          <w:kern w:val="0"/>
          <w:szCs w:val="24"/>
        </w:rPr>
        <w:t>一、校外教學：於校區、分校及分部以外之其他場地進行教學活動。</w:t>
      </w:r>
      <w:r w:rsidRPr="006D72FF">
        <w:rPr>
          <w:rFonts w:ascii="Arial" w:eastAsia="新細明體" w:hAnsi="Arial" w:cs="Arial"/>
          <w:kern w:val="0"/>
          <w:szCs w:val="24"/>
        </w:rPr>
        <w:br/>
      </w:r>
      <w:r w:rsidRPr="006D72FF">
        <w:rPr>
          <w:rFonts w:ascii="Arial" w:eastAsia="新細明體" w:hAnsi="Arial" w:cs="Arial"/>
          <w:kern w:val="0"/>
          <w:szCs w:val="24"/>
        </w:rPr>
        <w:t>二、遠距教學：透過電腦網路及視訊等傳輸媒體進行教學活動。</w:t>
      </w:r>
      <w:r w:rsidRPr="006D72FF">
        <w:rPr>
          <w:rFonts w:ascii="Arial" w:eastAsia="新細明體" w:hAnsi="Arial" w:cs="Arial"/>
          <w:kern w:val="0"/>
          <w:szCs w:val="24"/>
        </w:rPr>
        <w:br/>
      </w:r>
      <w:r w:rsidRPr="006D72FF">
        <w:rPr>
          <w:rFonts w:ascii="Arial" w:eastAsia="新細明體" w:hAnsi="Arial" w:cs="Arial"/>
          <w:kern w:val="0"/>
          <w:szCs w:val="24"/>
        </w:rPr>
        <w:t>三、境外教學：於臺澎金馬以外其他國家、地區進行教學活動。</w:t>
      </w:r>
      <w:r w:rsidRPr="006D72FF">
        <w:rPr>
          <w:rFonts w:ascii="Arial" w:eastAsia="新細明體" w:hAnsi="Arial" w:cs="Arial"/>
          <w:kern w:val="0"/>
          <w:szCs w:val="24"/>
        </w:rPr>
        <w:br/>
      </w:r>
      <w:r w:rsidRPr="006D72FF">
        <w:rPr>
          <w:rFonts w:ascii="Arial" w:eastAsia="新細明體" w:hAnsi="Arial" w:cs="Arial"/>
          <w:kern w:val="0"/>
          <w:szCs w:val="24"/>
        </w:rPr>
        <w:t>大學得依其現有條件辦理學士、碩士程度之推廣教育學分班；專科學校得依其現有條件辦理副學士程度之推廣教育學分班；其學分班之課程、授課時數、成績考核及學分計算，應分別符合大學法、專科學校法及其他法令規定。</w:t>
      </w:r>
      <w:r w:rsidRPr="006D72FF">
        <w:rPr>
          <w:rFonts w:ascii="Arial" w:eastAsia="新細明體" w:hAnsi="Arial" w:cs="Arial"/>
          <w:kern w:val="0"/>
          <w:szCs w:val="24"/>
        </w:rPr>
        <w:br/>
      </w: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第五條</w:t>
      </w:r>
      <w:r w:rsidRPr="006D72FF">
        <w:rPr>
          <w:rFonts w:ascii="新細明體" w:eastAsia="新細明體" w:hAnsi="新細明體" w:cs="新細明體"/>
          <w:kern w:val="0"/>
          <w:szCs w:val="24"/>
        </w:rPr>
        <w:t xml:space="preserve"> 推廣教育師資，應具有專科以上學校教師、專業技術人員或專業技術教師資格。</w:t>
      </w:r>
      <w:r w:rsidRPr="006D72FF">
        <w:rPr>
          <w:rFonts w:ascii="新細明體" w:eastAsia="新細明體" w:hAnsi="新細明體" w:cs="新細明體"/>
          <w:kern w:val="0"/>
          <w:szCs w:val="24"/>
        </w:rPr>
        <w:br/>
        <w:t>推廣教育各班別所授課程之師資，應符合下列規定：</w:t>
      </w:r>
      <w:r w:rsidRPr="006D72FF">
        <w:rPr>
          <w:rFonts w:ascii="新細明體" w:eastAsia="新細明體" w:hAnsi="新細明體" w:cs="新細明體"/>
          <w:kern w:val="0"/>
          <w:szCs w:val="24"/>
        </w:rPr>
        <w:br/>
        <w:t>一、學分班至少應有三分之一時數，由本校專任師資授課。</w:t>
      </w:r>
      <w:r w:rsidRPr="006D72FF">
        <w:rPr>
          <w:rFonts w:ascii="新細明體" w:eastAsia="新細明體" w:hAnsi="新細明體" w:cs="新細明體"/>
          <w:kern w:val="0"/>
          <w:szCs w:val="24"/>
        </w:rPr>
        <w:br/>
        <w:t>二、非學分班至少應有五分之一時數，由本校專任或兼任師資授課。</w:t>
      </w:r>
      <w:r w:rsidRPr="006D72FF">
        <w:rPr>
          <w:rFonts w:ascii="新細明體" w:eastAsia="新細明體" w:hAnsi="新細明體" w:cs="新細明體"/>
          <w:kern w:val="0"/>
          <w:szCs w:val="24"/>
        </w:rPr>
        <w:br/>
        <w:t>前項時數，應以全學年推廣教育課程時數合併計算。</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Arial" w:eastAsia="新細明體" w:hAnsi="Arial" w:cs="Arial"/>
          <w:kern w:val="0"/>
          <w:szCs w:val="24"/>
        </w:rPr>
      </w:pPr>
      <w:r w:rsidRPr="006D72FF">
        <w:rPr>
          <w:rFonts w:ascii="Arial" w:eastAsia="新細明體" w:hAnsi="Arial" w:cs="Arial"/>
          <w:kern w:val="0"/>
          <w:sz w:val="27"/>
          <w:szCs w:val="27"/>
        </w:rPr>
        <w:t>第六條</w:t>
      </w:r>
      <w:r w:rsidRPr="006D72FF">
        <w:rPr>
          <w:rFonts w:ascii="新細明體" w:eastAsia="新細明體" w:hAnsi="新細明體" w:cs="新細明體"/>
          <w:kern w:val="0"/>
          <w:szCs w:val="24"/>
        </w:rPr>
        <w:t xml:space="preserve"> </w:t>
      </w:r>
      <w:r w:rsidRPr="006D72FF">
        <w:rPr>
          <w:rFonts w:ascii="Arial" w:eastAsia="新細明體" w:hAnsi="Arial" w:cs="Arial"/>
          <w:color w:val="FF0000"/>
          <w:kern w:val="0"/>
          <w:szCs w:val="24"/>
        </w:rPr>
        <w:t>修習學士程度及副學士程度學分班者，應具備下列要件之一：</w:t>
      </w:r>
      <w:r w:rsidRPr="006D72FF">
        <w:rPr>
          <w:rFonts w:ascii="Arial" w:eastAsia="新細明體" w:hAnsi="Arial" w:cs="Arial"/>
          <w:color w:val="FF0000"/>
          <w:kern w:val="0"/>
          <w:szCs w:val="24"/>
        </w:rPr>
        <w:br/>
      </w:r>
      <w:r w:rsidRPr="006D72FF">
        <w:rPr>
          <w:rFonts w:ascii="Arial" w:eastAsia="新細明體" w:hAnsi="Arial" w:cs="Arial"/>
          <w:color w:val="FF0000"/>
          <w:kern w:val="0"/>
          <w:szCs w:val="24"/>
        </w:rPr>
        <w:t>一、十八歲以上。</w:t>
      </w:r>
      <w:r w:rsidRPr="006D72FF">
        <w:rPr>
          <w:rFonts w:ascii="Arial" w:eastAsia="新細明體" w:hAnsi="Arial" w:cs="Arial"/>
          <w:color w:val="FF0000"/>
          <w:kern w:val="0"/>
          <w:szCs w:val="24"/>
        </w:rPr>
        <w:t> </w:t>
      </w:r>
      <w:r w:rsidRPr="006D72FF">
        <w:rPr>
          <w:rFonts w:ascii="Arial" w:eastAsia="新細明體" w:hAnsi="Arial" w:cs="Arial"/>
          <w:color w:val="FF0000"/>
          <w:kern w:val="0"/>
          <w:szCs w:val="24"/>
        </w:rPr>
        <w:br/>
      </w:r>
      <w:r w:rsidRPr="006D72FF">
        <w:rPr>
          <w:rFonts w:ascii="Arial" w:eastAsia="新細明體" w:hAnsi="Arial" w:cs="Arial"/>
          <w:color w:val="FF0000"/>
          <w:kern w:val="0"/>
          <w:szCs w:val="24"/>
        </w:rPr>
        <w:t>二、未滿十八歲者，應分別具備報考專科學校及大學之資格。</w:t>
      </w:r>
      <w:r w:rsidRPr="006D72FF">
        <w:rPr>
          <w:rFonts w:ascii="Arial" w:eastAsia="新細明體" w:hAnsi="Arial" w:cs="Arial"/>
          <w:color w:val="FF0000"/>
          <w:kern w:val="0"/>
          <w:szCs w:val="24"/>
        </w:rPr>
        <w:t xml:space="preserve"> </w:t>
      </w:r>
      <w:r w:rsidRPr="006D72FF">
        <w:rPr>
          <w:rFonts w:ascii="Arial" w:eastAsia="新細明體" w:hAnsi="Arial" w:cs="Arial"/>
          <w:color w:val="FF0000"/>
          <w:kern w:val="0"/>
          <w:szCs w:val="24"/>
        </w:rPr>
        <w:t>修習碩士程度學分班者，應具備報考大學碩士班之資格。</w:t>
      </w:r>
      <w:r w:rsidRPr="006D72FF">
        <w:rPr>
          <w:rFonts w:ascii="Arial" w:eastAsia="新細明體" w:hAnsi="Arial" w:cs="Arial"/>
          <w:color w:val="FF0000"/>
          <w:kern w:val="0"/>
          <w:szCs w:val="24"/>
        </w:rPr>
        <w:br/>
      </w:r>
      <w:r w:rsidRPr="006D72FF">
        <w:rPr>
          <w:rFonts w:ascii="Arial" w:eastAsia="新細明體" w:hAnsi="Arial" w:cs="Arial"/>
          <w:kern w:val="0"/>
          <w:szCs w:val="24"/>
        </w:rPr>
        <w:t>推廣教育非學分班學員資格，由各校定之。</w:t>
      </w:r>
      <w:r w:rsidRPr="006D72FF">
        <w:rPr>
          <w:rFonts w:ascii="Arial" w:eastAsia="新細明體" w:hAnsi="Arial" w:cs="Arial"/>
          <w:kern w:val="0"/>
          <w:szCs w:val="24"/>
        </w:rPr>
        <w:t xml:space="preserve"> </w:t>
      </w:r>
    </w:p>
    <w:p w:rsidR="006D72FF" w:rsidRPr="006D72FF" w:rsidRDefault="006D72FF" w:rsidP="006D72FF">
      <w:pPr>
        <w:widowControl/>
        <w:snapToGrid w:val="0"/>
        <w:ind w:hanging="480"/>
        <w:rPr>
          <w:rFonts w:ascii="Arial" w:eastAsia="新細明體" w:hAnsi="Arial" w:cs="Arial"/>
          <w:kern w:val="0"/>
          <w:szCs w:val="24"/>
        </w:rPr>
      </w:pPr>
      <w:r w:rsidRPr="006D72FF">
        <w:rPr>
          <w:rFonts w:ascii="Arial" w:eastAsia="新細明體" w:hAnsi="Arial" w:cs="Arial"/>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第七條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學校辦理推廣教育應妥適規劃課程，並應組成推廣教育審查小組，審查每學年度各班次開班計畫；審查通過後，除境外教學開班計畫依第十二條第一項第二款及第三款規定，應報學校主管機關核定外，其餘國內辦理之開班計畫及審查紀錄，應留校存查。</w:t>
      </w: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第八條</w:t>
      </w:r>
      <w:r w:rsidRPr="006D72FF">
        <w:rPr>
          <w:rFonts w:ascii="新細明體" w:eastAsia="新細明體" w:hAnsi="新細明體" w:cs="新細明體"/>
          <w:kern w:val="0"/>
          <w:szCs w:val="24"/>
        </w:rPr>
        <w:t xml:space="preserve"> 學校辦理推廣教育應考量師資、課程及教學品質，審慎規劃各班次招生人數。</w:t>
      </w:r>
      <w:r w:rsidRPr="006D72FF">
        <w:rPr>
          <w:rFonts w:ascii="新細明體" w:eastAsia="新細明體" w:hAnsi="新細明體" w:cs="新細明體"/>
          <w:kern w:val="0"/>
          <w:szCs w:val="24"/>
        </w:rPr>
        <w:br/>
        <w:t>推廣教育學分班，以專班方式辦理者，每班不得超過六十人；隨一般科系所附讀者，其隨班附讀人數，依下列規定：</w:t>
      </w:r>
      <w:r w:rsidRPr="006D72FF">
        <w:rPr>
          <w:rFonts w:ascii="新細明體" w:eastAsia="新細明體" w:hAnsi="新細明體" w:cs="新細明體"/>
          <w:kern w:val="0"/>
          <w:szCs w:val="24"/>
        </w:rPr>
        <w:br/>
      </w:r>
      <w:r w:rsidRPr="006D72FF">
        <w:rPr>
          <w:rFonts w:ascii="新細明體" w:eastAsia="新細明體" w:hAnsi="新細明體" w:cs="新細明體"/>
          <w:kern w:val="0"/>
          <w:szCs w:val="24"/>
        </w:rPr>
        <w:lastRenderedPageBreak/>
        <w:t>一、原科系核定招生人數少於六十人者，隨班附讀人數得補足至六十人；原科系核定招生人數為六十人以上者，隨班附讀人數以原科系修讀人數百分之十為限。</w:t>
      </w:r>
      <w:r w:rsidRPr="006D72FF">
        <w:rPr>
          <w:rFonts w:ascii="新細明體" w:eastAsia="新細明體" w:hAnsi="新細明體" w:cs="新細明體"/>
          <w:kern w:val="0"/>
          <w:szCs w:val="24"/>
        </w:rPr>
        <w:br/>
        <w:t xml:space="preserve">二、大學研究所隨班附讀人數，以五人為限。 </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第九條</w:t>
      </w:r>
      <w:r w:rsidRPr="006D72FF">
        <w:rPr>
          <w:rFonts w:ascii="新細明體" w:eastAsia="新細明體" w:hAnsi="新細明體" w:cs="新細明體"/>
          <w:kern w:val="0"/>
          <w:sz w:val="27"/>
          <w:szCs w:val="27"/>
        </w:rPr>
        <w:t xml:space="preserve"> </w:t>
      </w:r>
      <w:r w:rsidRPr="006D72FF">
        <w:rPr>
          <w:rFonts w:ascii="新細明體" w:eastAsia="新細明體" w:hAnsi="新細明體" w:cs="新細明體"/>
          <w:kern w:val="0"/>
          <w:szCs w:val="24"/>
        </w:rPr>
        <w:t>學校就推廣教育各班次招生資訊，應載明下列事項，於學員報名時向其適當說明後，並由其簽名確認：</w:t>
      </w:r>
      <w:r w:rsidRPr="006D72FF">
        <w:rPr>
          <w:rFonts w:ascii="新細明體" w:eastAsia="新細明體" w:hAnsi="新細明體" w:cs="新細明體"/>
          <w:kern w:val="0"/>
          <w:szCs w:val="24"/>
        </w:rPr>
        <w:br/>
        <w:t>一、各班次為學分班或非學分班。</w:t>
      </w:r>
      <w:r w:rsidRPr="006D72FF">
        <w:rPr>
          <w:rFonts w:ascii="新細明體" w:eastAsia="新細明體" w:hAnsi="新細明體" w:cs="新細明體"/>
          <w:kern w:val="0"/>
          <w:szCs w:val="24"/>
        </w:rPr>
        <w:br/>
        <w:t>二、不授予學位證書；欲取得學位應經各類入學考試通過後依規定辦理。</w:t>
      </w:r>
      <w:r w:rsidRPr="006D72FF">
        <w:rPr>
          <w:rFonts w:ascii="新細明體" w:eastAsia="新細明體" w:hAnsi="新細明體" w:cs="新細明體"/>
          <w:kern w:val="0"/>
          <w:szCs w:val="24"/>
        </w:rPr>
        <w:br/>
        <w:t>三、學員之學雜費收費、退費基準及使用校內設備等權利義務事項。</w:t>
      </w:r>
      <w:r w:rsidRPr="006D72FF">
        <w:rPr>
          <w:rFonts w:ascii="新細明體" w:eastAsia="新細明體" w:hAnsi="新細明體" w:cs="新細明體"/>
          <w:kern w:val="0"/>
          <w:szCs w:val="24"/>
        </w:rPr>
        <w:br/>
        <w:t xml:space="preserve">四、其他應注意事項。 </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推廣教育每一學分，至少應修讀十八小時，學校並不得以短期密集授課方式進行。但有特殊原因報經學校主管機關核定者，不在此限。</w:t>
      </w:r>
      <w:r w:rsidRPr="006D72FF">
        <w:rPr>
          <w:rFonts w:ascii="Arial" w:eastAsia="新細明體" w:hAnsi="Arial" w:cs="Arial"/>
          <w:kern w:val="0"/>
          <w:szCs w:val="24"/>
        </w:rPr>
        <w:br/>
      </w:r>
      <w:r w:rsidRPr="006D72FF">
        <w:rPr>
          <w:rFonts w:ascii="Arial" w:eastAsia="新細明體" w:hAnsi="Arial" w:cs="Arial"/>
          <w:kern w:val="0"/>
          <w:szCs w:val="24"/>
        </w:rPr>
        <w:t>推廣教育學分班實習或實驗課程學分之應修讀時數，及推廣教育非學分班之修讀時數，由各校定之，並應於第九條之招生資訊中載明。</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第十一條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推廣教育採校外教學方式者，學校應依下列規定辦理：</w:t>
      </w:r>
      <w:r w:rsidRPr="006D72FF">
        <w:rPr>
          <w:rFonts w:ascii="Arial" w:eastAsia="新細明體" w:hAnsi="Arial" w:cs="Arial"/>
          <w:kern w:val="0"/>
          <w:szCs w:val="24"/>
        </w:rPr>
        <w:br/>
      </w:r>
      <w:r w:rsidRPr="006D72FF">
        <w:rPr>
          <w:rFonts w:ascii="Arial" w:eastAsia="新細明體" w:hAnsi="Arial" w:cs="Arial"/>
          <w:kern w:val="0"/>
          <w:szCs w:val="24"/>
        </w:rPr>
        <w:t>一、屬洽借公、私立學校、公務機關（構）或教學醫院現有合格之場地辦理者，應檢具借用協議書，報學校主管機關備查。</w:t>
      </w:r>
      <w:r w:rsidRPr="006D72FF">
        <w:rPr>
          <w:rFonts w:ascii="Arial" w:eastAsia="新細明體" w:hAnsi="Arial" w:cs="Arial"/>
          <w:kern w:val="0"/>
          <w:szCs w:val="24"/>
        </w:rPr>
        <w:br/>
      </w:r>
      <w:r w:rsidRPr="006D72FF">
        <w:rPr>
          <w:rFonts w:ascii="Arial" w:eastAsia="新細明體" w:hAnsi="Arial" w:cs="Arial"/>
          <w:kern w:val="0"/>
          <w:szCs w:val="24"/>
        </w:rPr>
        <w:t>二、利用前款以外之場地辦理者，應檢具使用協議書、該場地建築物使用執照、消防檢查及建築物防火避難設施與設備安全檢查報告等相關文件。必要時，並檢附衛生檢查文件，報學校主管機關核定；其場地之建築使用類組應符合建築法規所定之文教類使用場所。</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第十二條</w:t>
      </w:r>
      <w:r w:rsidRPr="006D72FF">
        <w:rPr>
          <w:rFonts w:ascii="新細明體" w:eastAsia="新細明體" w:hAnsi="新細明體" w:cs="新細明體"/>
          <w:kern w:val="0"/>
          <w:szCs w:val="24"/>
        </w:rPr>
        <w:t xml:space="preserve"> 推廣教育採境外教學方式者，學校應依下列規定辦理：</w:t>
      </w:r>
      <w:r w:rsidRPr="006D72FF">
        <w:rPr>
          <w:rFonts w:ascii="新細明體" w:eastAsia="新細明體" w:hAnsi="新細明體" w:cs="新細明體"/>
          <w:kern w:val="0"/>
          <w:szCs w:val="24"/>
        </w:rPr>
        <w:br/>
        <w:t>一、各班次開班計畫應詳細敘明教學場地、課程、師資、招生資格、人數及授課方式等。</w:t>
      </w:r>
      <w:r w:rsidRPr="006D72FF">
        <w:rPr>
          <w:rFonts w:ascii="新細明體" w:eastAsia="新細明體" w:hAnsi="新細明體" w:cs="新細明體"/>
          <w:kern w:val="0"/>
          <w:szCs w:val="24"/>
        </w:rPr>
        <w:br/>
        <w:t>二、各班次開班計畫書（如附表一）應於開班三個月前報學校主管機關核定，逾期不予受理。學校主管機關應將核准之開班計畫書件報教育部備查。</w:t>
      </w:r>
      <w:r w:rsidRPr="006D72FF">
        <w:rPr>
          <w:rFonts w:ascii="新細明體" w:eastAsia="新細明體" w:hAnsi="新細明體" w:cs="新細明體"/>
          <w:kern w:val="0"/>
          <w:szCs w:val="24"/>
        </w:rPr>
        <w:br/>
        <w:t>三、應洽借當地學校之現有場地，且能提供足供該境外教學之圖書、儀器及設備，並檢具借用協議書，併同報核。</w:t>
      </w:r>
      <w:r w:rsidRPr="006D72FF">
        <w:rPr>
          <w:rFonts w:ascii="新細明體" w:eastAsia="新細明體" w:hAnsi="新細明體" w:cs="新細明體"/>
          <w:kern w:val="0"/>
          <w:szCs w:val="24"/>
        </w:rPr>
        <w:br/>
        <w:t xml:space="preserve">四、應重視教學品質、維護國家形象、尊嚴及對等原則，並應遵守當地法令。 </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第十三條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於大陸地區辦理推廣教育境外教學，除應符合前條規定外，並依下列規定辦理：</w:t>
      </w:r>
      <w:r w:rsidRPr="006D72FF">
        <w:rPr>
          <w:rFonts w:ascii="Arial" w:eastAsia="新細明體" w:hAnsi="Arial" w:cs="Arial"/>
          <w:kern w:val="0"/>
          <w:szCs w:val="24"/>
        </w:rPr>
        <w:br/>
      </w:r>
      <w:r w:rsidRPr="006D72FF">
        <w:rPr>
          <w:rFonts w:ascii="Arial" w:eastAsia="新細明體" w:hAnsi="Arial" w:cs="Arial"/>
          <w:kern w:val="0"/>
          <w:szCs w:val="24"/>
        </w:rPr>
        <w:t>一、各校所開設之課程，其授課及教材內容使用中文者，以正體字為原則。</w:t>
      </w:r>
      <w:r w:rsidRPr="006D72FF">
        <w:rPr>
          <w:rFonts w:ascii="Arial" w:eastAsia="新細明體" w:hAnsi="Arial" w:cs="Arial"/>
          <w:kern w:val="0"/>
          <w:szCs w:val="24"/>
        </w:rPr>
        <w:br/>
      </w:r>
      <w:r w:rsidRPr="006D72FF">
        <w:rPr>
          <w:rFonts w:ascii="Arial" w:eastAsia="新細明體" w:hAnsi="Arial" w:cs="Arial"/>
          <w:kern w:val="0"/>
          <w:szCs w:val="24"/>
        </w:rPr>
        <w:t>二、對於大陸地區相關機關增刪學校教材之要求，應審酌其合理情形；其有違反學術自主精神者，不得接受其要求，並應將增刪內容及處理情形，報學校主管機關及教育部備查。</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第十四條</w:t>
      </w:r>
      <w:r w:rsidRPr="006D72FF">
        <w:rPr>
          <w:rFonts w:ascii="新細明體" w:eastAsia="新細明體" w:hAnsi="新細明體" w:cs="新細明體"/>
          <w:kern w:val="0"/>
          <w:szCs w:val="24"/>
        </w:rPr>
        <w:t xml:space="preserve"> 推廣教育各班次，招生計畫及辦理推廣教育之學校所出具各項相關證明文件，均應冠以「推廣教育」字樣，並載明其為學分班或非學分班。</w:t>
      </w:r>
      <w:r w:rsidRPr="006D72FF">
        <w:rPr>
          <w:rFonts w:ascii="新細明體" w:eastAsia="新細明體" w:hAnsi="新細明體" w:cs="新細明體"/>
          <w:kern w:val="0"/>
          <w:szCs w:val="24"/>
        </w:rPr>
        <w:br/>
      </w:r>
      <w:r w:rsidRPr="006D72FF">
        <w:rPr>
          <w:rFonts w:ascii="新細明體" w:eastAsia="新細明體" w:hAnsi="新細明體" w:cs="新細明體"/>
          <w:kern w:val="0"/>
          <w:szCs w:val="24"/>
        </w:rPr>
        <w:lastRenderedPageBreak/>
        <w:t>推廣教育非學分班學員修讀期滿，由學校發給證明書。</w:t>
      </w:r>
      <w:r w:rsidRPr="006D72FF">
        <w:rPr>
          <w:rFonts w:ascii="新細明體" w:eastAsia="新細明體" w:hAnsi="新細明體" w:cs="新細明體"/>
          <w:kern w:val="0"/>
          <w:szCs w:val="24"/>
        </w:rPr>
        <w:br/>
        <w:t xml:space="preserve">推廣教育學分班學員修讀期滿經考試及格者，由學校發給學分證明，其經入學考試錄取，所修學分得依各校學則或相關規定酌予抵免。但抵免後其在校修業，不得少於該學制修業期限二分之一，且不得少於一年。  </w:t>
      </w:r>
    </w:p>
    <w:p w:rsidR="006D72FF" w:rsidRPr="006D72FF" w:rsidRDefault="006D72FF" w:rsidP="006D72FF">
      <w:pPr>
        <w:widowControl/>
        <w:snapToGrid w:val="0"/>
        <w:ind w:hanging="480"/>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第十五條</w:t>
      </w:r>
      <w:r w:rsidRPr="006D72FF">
        <w:rPr>
          <w:rFonts w:ascii="新細明體" w:eastAsia="新細明體" w:hAnsi="新細明體" w:cs="新細明體"/>
          <w:kern w:val="0"/>
          <w:szCs w:val="24"/>
        </w:rPr>
        <w:t> </w:t>
      </w:r>
      <w:r w:rsidRPr="006D72FF">
        <w:rPr>
          <w:rFonts w:ascii="Arial" w:eastAsia="新細明體" w:hAnsi="Arial" w:cs="Arial"/>
          <w:kern w:val="0"/>
          <w:szCs w:val="24"/>
        </w:rPr>
        <w:t> </w:t>
      </w:r>
      <w:r w:rsidRPr="006D72FF">
        <w:rPr>
          <w:rFonts w:ascii="Arial" w:eastAsia="新細明體" w:hAnsi="Arial" w:cs="Arial"/>
          <w:kern w:val="0"/>
          <w:szCs w:val="24"/>
        </w:rPr>
        <w:t>修習推廣教育學分班取得之學分，達專科學校二年制畢業學分者，得以專科畢業同等學力報考各校性質相近之四年制學系轉學生考試或二年制學系招生考試。</w:t>
      </w:r>
      <w:r w:rsidRPr="006D72FF">
        <w:rPr>
          <w:rFonts w:ascii="Arial" w:eastAsia="新細明體" w:hAnsi="Arial" w:cs="Arial"/>
          <w:kern w:val="0"/>
          <w:szCs w:val="24"/>
        </w:rPr>
        <w:br/>
      </w:r>
      <w:r w:rsidRPr="006D72FF">
        <w:rPr>
          <w:rFonts w:ascii="Arial" w:eastAsia="新細明體" w:hAnsi="Arial" w:cs="Arial"/>
          <w:kern w:val="0"/>
          <w:szCs w:val="24"/>
        </w:rPr>
        <w:t>前項性質相近學系，由各校定之。</w:t>
      </w:r>
      <w:r w:rsidRPr="006D72FF">
        <w:rPr>
          <w:rFonts w:ascii="Arial" w:eastAsia="新細明體" w:hAnsi="Arial" w:cs="Arial"/>
          <w:kern w:val="0"/>
          <w:szCs w:val="24"/>
        </w:rPr>
        <w:br/>
      </w:r>
      <w:r w:rsidRPr="006D72FF">
        <w:rPr>
          <w:rFonts w:ascii="Arial" w:eastAsia="新細明體" w:hAnsi="Arial" w:cs="Arial"/>
          <w:kern w:val="0"/>
          <w:szCs w:val="24"/>
        </w:rPr>
        <w:t>報考第一項招生考試之學員，每學期累計各校取得之推廣教育學分，副學士及學士程度學分班者，至多以十八學分為限；碩士程度學分班者，至多以九學分為限。</w:t>
      </w:r>
      <w:r w:rsidRPr="006D72FF">
        <w:rPr>
          <w:rFonts w:ascii="Arial" w:eastAsia="新細明體" w:hAnsi="Arial" w:cs="Arial"/>
          <w:kern w:val="0"/>
          <w:szCs w:val="24"/>
        </w:rPr>
        <w:br/>
      </w: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第十六條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非師資培育之大學，不得辦理以取得教師資格為目的之推廣教育學分班。</w:t>
      </w:r>
      <w:r w:rsidRPr="006D72FF">
        <w:rPr>
          <w:rFonts w:ascii="Arial" w:eastAsia="新細明體" w:hAnsi="Arial" w:cs="Arial"/>
          <w:kern w:val="0"/>
          <w:szCs w:val="24"/>
        </w:rPr>
        <w:br/>
      </w:r>
      <w:r w:rsidRPr="006D72FF">
        <w:rPr>
          <w:rFonts w:ascii="Arial" w:eastAsia="新細明體" w:hAnsi="Arial" w:cs="Arial"/>
          <w:kern w:val="0"/>
          <w:szCs w:val="24"/>
        </w:rPr>
        <w:t>師資培育之大學辦理推廣教育學分班各班次，應與師資培育相關教育學程區隔；屬師資培育相關教育學程者，應於招生簡章註明，該修習學分為取得合格教師資格之證明，核發之學分證明，應加註「為取得合格教師資格教育學分採計之用」字樣。</w:t>
      </w:r>
    </w:p>
    <w:p w:rsidR="006D72FF" w:rsidRPr="006D72FF" w:rsidRDefault="006D72FF" w:rsidP="006D72FF">
      <w:pPr>
        <w:widowControl/>
        <w:rPr>
          <w:rFonts w:ascii="新細明體" w:eastAsia="新細明體" w:hAnsi="新細明體" w:cs="新細明體"/>
          <w:kern w:val="0"/>
          <w:szCs w:val="24"/>
        </w:rPr>
      </w:pP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第十七條</w:t>
      </w:r>
      <w:r w:rsidRPr="006D72FF">
        <w:rPr>
          <w:rFonts w:ascii="新細明體" w:eastAsia="新細明體" w:hAnsi="新細明體" w:cs="新細明體"/>
          <w:kern w:val="0"/>
          <w:szCs w:val="24"/>
        </w:rPr>
        <w:t xml:space="preserve"> 學校辦理推廣教育應以服務社會為原則，並審酌成本辦理，收費及鐘點費支給基準，由各校定之。經費之收支，均應依學校會計作業程序辦理。</w:t>
      </w:r>
      <w:r w:rsidRPr="006D72FF">
        <w:rPr>
          <w:rFonts w:ascii="新細明體" w:eastAsia="新細明體" w:hAnsi="新細明體" w:cs="新細明體"/>
          <w:kern w:val="0"/>
          <w:szCs w:val="24"/>
        </w:rPr>
        <w:br/>
        <w:t>學員完成報名繳費後，因故申請退費，應依下列方式辦理：</w:t>
      </w:r>
      <w:r w:rsidRPr="006D72FF">
        <w:rPr>
          <w:rFonts w:ascii="新細明體" w:eastAsia="新細明體" w:hAnsi="新細明體" w:cs="新細明體"/>
          <w:kern w:val="0"/>
          <w:szCs w:val="24"/>
        </w:rPr>
        <w:br/>
        <w:t>一、學員自報名繳費後至開班上課日前申請退費者，退還已繳學分費、雜費等各項費用之九成。自開班上課之日起算未逾全期三分之一申請退費者，退還已繳學分費、雜費等各項費用之半數。開班上課時間已逾全期三分之一始申請退費者，不予退還。</w:t>
      </w:r>
      <w:r w:rsidRPr="006D72FF">
        <w:rPr>
          <w:rFonts w:ascii="新細明體" w:eastAsia="新細明體" w:hAnsi="新細明體" w:cs="新細明體"/>
          <w:kern w:val="0"/>
          <w:szCs w:val="24"/>
        </w:rPr>
        <w:br/>
        <w:t>二、已繳代辦費應全額退還。但已購置成品者，發給成品。</w:t>
      </w:r>
      <w:r w:rsidRPr="006D72FF">
        <w:rPr>
          <w:rFonts w:ascii="新細明體" w:eastAsia="新細明體" w:hAnsi="新細明體" w:cs="新細明體"/>
          <w:kern w:val="0"/>
          <w:szCs w:val="24"/>
        </w:rPr>
        <w:br/>
        <w:t>三、學校因故未能開班上課，應全額退還已繳費用。</w:t>
      </w:r>
      <w:r w:rsidRPr="006D72FF">
        <w:rPr>
          <w:rFonts w:ascii="新細明體" w:eastAsia="新細明體" w:hAnsi="新細明體" w:cs="新細明體"/>
          <w:kern w:val="0"/>
          <w:szCs w:val="24"/>
        </w:rPr>
        <w:br/>
        <w:t>前項退費規定，應於招生簡章及報名表載明之。</w:t>
      </w:r>
    </w:p>
    <w:p w:rsidR="006D72FF" w:rsidRPr="006D72FF" w:rsidRDefault="006D72FF" w:rsidP="006D72FF">
      <w:pPr>
        <w:widowControl/>
        <w:rPr>
          <w:rFonts w:ascii="新細明體" w:eastAsia="新細明體" w:hAnsi="新細明體" w:cs="新細明體"/>
          <w:kern w:val="0"/>
          <w:szCs w:val="24"/>
        </w:rPr>
      </w:pP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第十八條</w:t>
      </w:r>
      <w:r w:rsidRPr="006D72FF">
        <w:rPr>
          <w:rFonts w:ascii="新細明體" w:eastAsia="新細明體" w:hAnsi="新細明體" w:cs="新細明體"/>
          <w:kern w:val="0"/>
          <w:szCs w:val="24"/>
        </w:rPr>
        <w:t> 學校應於每學年度結束後二個月內，將該學年度推廣教育開班數及學員數統計表（如附表二）、推廣教育學分班辦理情形?整表（如附表三）、依第二十條規定開設之推廣教育班次（如附表四），報學校主管機關及教育部備查。</w:t>
      </w:r>
      <w:r w:rsidRPr="006D72FF">
        <w:rPr>
          <w:rFonts w:ascii="新細明體" w:eastAsia="新細明體" w:hAnsi="新細明體" w:cs="新細明體"/>
          <w:kern w:val="0"/>
          <w:szCs w:val="24"/>
        </w:rPr>
        <w:br/>
        <w:t>學校對推廣教育學員成績及所給予之學分，應有完整紀錄並妥善保存。</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第十九條</w:t>
      </w:r>
      <w:r w:rsidRPr="006D72FF">
        <w:rPr>
          <w:rFonts w:ascii="新細明體" w:eastAsia="新細明體" w:hAnsi="新細明體" w:cs="新細明體"/>
          <w:kern w:val="0"/>
          <w:szCs w:val="24"/>
        </w:rPr>
        <w:t xml:space="preserve"> 學校辦理推廣教育，就招生、師資、課程及教學，應建立品質控管機制，並列入學校執行成效考核項目。</w:t>
      </w:r>
      <w:r w:rsidRPr="006D72FF">
        <w:rPr>
          <w:rFonts w:ascii="新細明體" w:eastAsia="新細明體" w:hAnsi="新細明體" w:cs="新細明體"/>
          <w:kern w:val="0"/>
          <w:szCs w:val="24"/>
        </w:rPr>
        <w:br/>
        <w:t>各校應將開課各班別名稱、授課師資、上課地點及時數等資訊於開課前於學校網站公告；於境外開設推廣教育班別者，並應註明學校主管機關核定日期及文號。</w:t>
      </w:r>
      <w:r w:rsidRPr="006D72FF">
        <w:rPr>
          <w:rFonts w:ascii="新細明體" w:eastAsia="新細明體" w:hAnsi="新細明體" w:cs="新細明體"/>
          <w:kern w:val="0"/>
          <w:szCs w:val="24"/>
        </w:rPr>
        <w:br/>
        <w:t>前項資訊，應彙入教育部大專校院推廣教育課程資訊入口網，作為學校主管機關辦理推廣教育考評時數、師資規定及列入學校執行成效考核之參據。  </w:t>
      </w:r>
    </w:p>
    <w:p w:rsidR="006D72FF" w:rsidRPr="006D72FF" w:rsidRDefault="006D72FF" w:rsidP="006D72FF">
      <w:pPr>
        <w:widowControl/>
        <w:rPr>
          <w:rFonts w:ascii="新細明體" w:eastAsia="新細明體" w:hAnsi="新細明體" w:cs="新細明體"/>
          <w:kern w:val="0"/>
          <w:szCs w:val="24"/>
        </w:rPr>
      </w:pPr>
      <w:r w:rsidRPr="006D72FF">
        <w:rPr>
          <w:rFonts w:ascii="新細明體" w:eastAsia="新細明體" w:hAnsi="新細明體" w:cs="新細明體"/>
          <w:kern w:val="0"/>
          <w:szCs w:val="24"/>
        </w:rPr>
        <w:t>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lastRenderedPageBreak/>
        <w:t>第二十條</w:t>
      </w:r>
      <w:r w:rsidRPr="006D72FF">
        <w:rPr>
          <w:rFonts w:ascii="新細明體" w:eastAsia="新細明體" w:hAnsi="新細明體" w:cs="新細明體"/>
          <w:kern w:val="0"/>
          <w:szCs w:val="24"/>
        </w:rPr>
        <w:t xml:space="preserve"> 學校得受各機關（構）、企業委託，辦理各類推廣教育班別，其師資不受第五條第二項規定之限制。</w:t>
      </w:r>
      <w:r w:rsidRPr="006D72FF">
        <w:rPr>
          <w:rFonts w:ascii="新細明體" w:eastAsia="新細明體" w:hAnsi="新細明體" w:cs="新細明體"/>
          <w:kern w:val="0"/>
          <w:szCs w:val="24"/>
        </w:rPr>
        <w:br/>
        <w:t>前項各類推廣教育班別，採第十一條第二款方式辦理者，經學校敘明上課地點確為課程性質所需及切結該校外教學場地能確保學員安全之具體措施，並檢具委託機關（構）及企業之同意書，報學校主管機關核定後，得不適用該款後段所定場地之建築使用類組應符合文教類使用場所之規定。</w:t>
      </w:r>
      <w:r w:rsidRPr="006D72FF">
        <w:rPr>
          <w:rFonts w:ascii="新細明體" w:eastAsia="新細明體" w:hAnsi="新細明體" w:cs="新細明體"/>
          <w:kern w:val="0"/>
          <w:szCs w:val="24"/>
        </w:rPr>
        <w:br/>
        <w:t>第一項推廣教育班別，於依第十四條第二項、第三項規定發給修讀證明書、學分證明時，應加註「（某某）機關（構）、企業委訓」等字樣。</w:t>
      </w:r>
    </w:p>
    <w:p w:rsidR="006D72FF" w:rsidRPr="006D72FF" w:rsidRDefault="006D72FF" w:rsidP="006D72FF">
      <w:pPr>
        <w:widowControl/>
        <w:rPr>
          <w:rFonts w:ascii="新細明體" w:eastAsia="新細明體" w:hAnsi="新細明體" w:cs="新細明體"/>
          <w:kern w:val="0"/>
          <w:szCs w:val="24"/>
        </w:rPr>
      </w:pPr>
      <w:r w:rsidRPr="006D72FF">
        <w:rPr>
          <w:rFonts w:ascii="新細明體" w:eastAsia="新細明體" w:hAnsi="新細明體" w:cs="新細明體"/>
          <w:kern w:val="0"/>
          <w:szCs w:val="24"/>
        </w:rPr>
        <w:t> </w:t>
      </w:r>
    </w:p>
    <w:p w:rsidR="006D72FF" w:rsidRPr="006D72FF" w:rsidRDefault="006D72FF" w:rsidP="006D72FF">
      <w:pPr>
        <w:widowControl/>
        <w:snapToGrid w:val="0"/>
        <w:ind w:hanging="1000"/>
        <w:rPr>
          <w:rFonts w:ascii="新細明體" w:eastAsia="新細明體" w:hAnsi="新細明體" w:cs="新細明體"/>
          <w:kern w:val="0"/>
          <w:szCs w:val="24"/>
        </w:rPr>
      </w:pPr>
      <w:r w:rsidRPr="006D72FF">
        <w:rPr>
          <w:rFonts w:ascii="Arial" w:eastAsia="新細明體" w:hAnsi="Arial" w:cs="Arial"/>
          <w:kern w:val="0"/>
          <w:sz w:val="27"/>
          <w:szCs w:val="27"/>
        </w:rPr>
        <w:t>第二十一條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學校主管機關得辦理有關推廣教育執行成效考評，並作為各校校務推動成果之參據。</w:t>
      </w:r>
      <w:r w:rsidRPr="006D72FF">
        <w:rPr>
          <w:rFonts w:ascii="Arial" w:eastAsia="新細明體" w:hAnsi="Arial" w:cs="Arial"/>
          <w:kern w:val="0"/>
          <w:szCs w:val="24"/>
        </w:rPr>
        <w:br/>
      </w:r>
      <w:r w:rsidRPr="006D72FF">
        <w:rPr>
          <w:rFonts w:ascii="Arial" w:eastAsia="新細明體" w:hAnsi="Arial" w:cs="Arial"/>
          <w:kern w:val="0"/>
          <w:szCs w:val="24"/>
        </w:rPr>
        <w:t>學校主管機關對辦理推廣教育成效優良之學校，得予以獎勵；對辦理不善或不符合規定者，應限期改善。必要時，並得依法停止部分或全部班別之招生。</w:t>
      </w:r>
      <w:r w:rsidRPr="006D72FF">
        <w:rPr>
          <w:rFonts w:ascii="新細明體" w:eastAsia="新細明體" w:hAnsi="新細明體" w:cs="新細明體"/>
          <w:kern w:val="0"/>
          <w:szCs w:val="24"/>
        </w:rPr>
        <w:t> </w:t>
      </w:r>
    </w:p>
    <w:p w:rsidR="006D72FF" w:rsidRPr="006D72FF" w:rsidRDefault="006D72FF" w:rsidP="006D72FF">
      <w:pPr>
        <w:widowControl/>
        <w:rPr>
          <w:rFonts w:ascii="新細明體" w:eastAsia="新細明體" w:hAnsi="新細明體" w:cs="新細明體"/>
          <w:kern w:val="0"/>
          <w:szCs w:val="24"/>
        </w:rPr>
      </w:pPr>
      <w:r w:rsidRPr="006D72FF">
        <w:rPr>
          <w:rFonts w:ascii="新細明體" w:eastAsia="新細明體" w:hAnsi="新細明體" w:cs="新細明體"/>
          <w:kern w:val="0"/>
          <w:szCs w:val="24"/>
        </w:rPr>
        <w:t xml:space="preserve">  </w:t>
      </w:r>
    </w:p>
    <w:p w:rsidR="006D72FF" w:rsidRPr="006D72FF" w:rsidRDefault="006D72FF" w:rsidP="006D72FF">
      <w:pPr>
        <w:widowControl/>
        <w:snapToGrid w:val="0"/>
        <w:ind w:hanging="1080"/>
        <w:rPr>
          <w:rFonts w:ascii="新細明體" w:eastAsia="新細明體" w:hAnsi="新細明體" w:cs="新細明體"/>
          <w:kern w:val="0"/>
          <w:szCs w:val="24"/>
        </w:rPr>
      </w:pPr>
      <w:r w:rsidRPr="006D72FF">
        <w:rPr>
          <w:rFonts w:ascii="Arial" w:eastAsia="新細明體" w:hAnsi="Arial" w:cs="Arial"/>
          <w:kern w:val="0"/>
          <w:sz w:val="27"/>
          <w:szCs w:val="27"/>
        </w:rPr>
        <w:t>第二十二條</w:t>
      </w:r>
      <w:r w:rsidRPr="006D72FF">
        <w:rPr>
          <w:rFonts w:ascii="新細明體" w:eastAsia="新細明體" w:hAnsi="新細明體" w:cs="新細明體"/>
          <w:kern w:val="0"/>
          <w:szCs w:val="24"/>
        </w:rPr>
        <w:t xml:space="preserve"> </w:t>
      </w:r>
      <w:r w:rsidRPr="006D72FF">
        <w:rPr>
          <w:rFonts w:ascii="Arial" w:eastAsia="新細明體" w:hAnsi="Arial" w:cs="Arial"/>
          <w:kern w:val="0"/>
          <w:szCs w:val="24"/>
        </w:rPr>
        <w:t>本辦法自發布日施行。</w:t>
      </w:r>
      <w:r w:rsidRPr="006D72FF">
        <w:rPr>
          <w:rFonts w:ascii="新細明體" w:eastAsia="新細明體" w:hAnsi="新細明體" w:cs="新細明體"/>
          <w:kern w:val="0"/>
          <w:szCs w:val="24"/>
        </w:rPr>
        <w:t xml:space="preserve"> </w:t>
      </w:r>
    </w:p>
    <w:p w:rsidR="00A0129F" w:rsidRPr="006D72FF" w:rsidRDefault="00A0129F">
      <w:bookmarkStart w:id="0" w:name="_GoBack"/>
      <w:bookmarkEnd w:id="0"/>
    </w:p>
    <w:sectPr w:rsidR="00A0129F" w:rsidRPr="006D72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FF"/>
    <w:rsid w:val="006D72FF"/>
    <w:rsid w:val="00A01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8E3D3-76BB-4FD1-A147-F8BB8746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72FF"/>
    <w:rPr>
      <w:b/>
      <w:bCs/>
    </w:rPr>
  </w:style>
  <w:style w:type="paragraph" w:styleId="NormalWeb">
    <w:name w:val="Normal (Web)"/>
    <w:basedOn w:val="Normal"/>
    <w:uiPriority w:val="99"/>
    <w:semiHidden/>
    <w:unhideWhenUsed/>
    <w:rsid w:val="006D72F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844715">
      <w:bodyDiv w:val="1"/>
      <w:marLeft w:val="0"/>
      <w:marRight w:val="0"/>
      <w:marTop w:val="0"/>
      <w:marBottom w:val="0"/>
      <w:divBdr>
        <w:top w:val="none" w:sz="0" w:space="0" w:color="auto"/>
        <w:left w:val="none" w:sz="0" w:space="0" w:color="auto"/>
        <w:bottom w:val="none" w:sz="0" w:space="0" w:color="auto"/>
        <w:right w:val="none" w:sz="0" w:space="0" w:color="auto"/>
      </w:divBdr>
      <w:divsChild>
        <w:div w:id="294409845">
          <w:marLeft w:val="1121"/>
          <w:marRight w:val="0"/>
          <w:marTop w:val="0"/>
          <w:marBottom w:val="0"/>
          <w:divBdr>
            <w:top w:val="none" w:sz="0" w:space="0" w:color="auto"/>
            <w:left w:val="none" w:sz="0" w:space="0" w:color="auto"/>
            <w:bottom w:val="none" w:sz="0" w:space="0" w:color="auto"/>
            <w:right w:val="none" w:sz="0" w:space="0" w:color="auto"/>
          </w:divBdr>
        </w:div>
        <w:div w:id="1687561922">
          <w:marLeft w:val="720"/>
          <w:marRight w:val="0"/>
          <w:marTop w:val="0"/>
          <w:marBottom w:val="100"/>
          <w:divBdr>
            <w:top w:val="none" w:sz="0" w:space="0" w:color="auto"/>
            <w:left w:val="none" w:sz="0" w:space="0" w:color="auto"/>
            <w:bottom w:val="none" w:sz="0" w:space="0" w:color="auto"/>
            <w:right w:val="none" w:sz="0" w:space="0" w:color="auto"/>
          </w:divBdr>
        </w:div>
        <w:div w:id="2144107080">
          <w:marLeft w:val="720"/>
          <w:marRight w:val="0"/>
          <w:marTop w:val="0"/>
          <w:marBottom w:val="100"/>
          <w:divBdr>
            <w:top w:val="none" w:sz="0" w:space="0" w:color="auto"/>
            <w:left w:val="none" w:sz="0" w:space="0" w:color="auto"/>
            <w:bottom w:val="none" w:sz="0" w:space="0" w:color="auto"/>
            <w:right w:val="none" w:sz="0" w:space="0" w:color="auto"/>
          </w:divBdr>
        </w:div>
        <w:div w:id="1299409630">
          <w:marLeft w:val="720"/>
          <w:marRight w:val="-154"/>
          <w:marTop w:val="0"/>
          <w:marBottom w:val="100"/>
          <w:divBdr>
            <w:top w:val="none" w:sz="0" w:space="0" w:color="auto"/>
            <w:left w:val="none" w:sz="0" w:space="0" w:color="auto"/>
            <w:bottom w:val="none" w:sz="0" w:space="0" w:color="auto"/>
            <w:right w:val="none" w:sz="0" w:space="0" w:color="auto"/>
          </w:divBdr>
        </w:div>
        <w:div w:id="2011835161">
          <w:marLeft w:val="720"/>
          <w:marRight w:val="-154"/>
          <w:marTop w:val="0"/>
          <w:marBottom w:val="100"/>
          <w:divBdr>
            <w:top w:val="none" w:sz="0" w:space="0" w:color="auto"/>
            <w:left w:val="none" w:sz="0" w:space="0" w:color="auto"/>
            <w:bottom w:val="none" w:sz="0" w:space="0" w:color="auto"/>
            <w:right w:val="none" w:sz="0" w:space="0" w:color="auto"/>
          </w:divBdr>
        </w:div>
        <w:div w:id="1994869215">
          <w:marLeft w:val="1080"/>
          <w:marRight w:val="0"/>
          <w:marTop w:val="0"/>
          <w:marBottom w:val="0"/>
          <w:divBdr>
            <w:top w:val="none" w:sz="0" w:space="0" w:color="auto"/>
            <w:left w:val="none" w:sz="0" w:space="0" w:color="auto"/>
            <w:bottom w:val="none" w:sz="0" w:space="0" w:color="auto"/>
            <w:right w:val="none" w:sz="0" w:space="0" w:color="auto"/>
          </w:divBdr>
        </w:div>
        <w:div w:id="421146338">
          <w:marLeft w:val="1080"/>
          <w:marRight w:val="0"/>
          <w:marTop w:val="0"/>
          <w:marBottom w:val="0"/>
          <w:divBdr>
            <w:top w:val="none" w:sz="0" w:space="0" w:color="auto"/>
            <w:left w:val="none" w:sz="0" w:space="0" w:color="auto"/>
            <w:bottom w:val="none" w:sz="0" w:space="0" w:color="auto"/>
            <w:right w:val="none" w:sz="0" w:space="0" w:color="auto"/>
          </w:divBdr>
        </w:div>
        <w:div w:id="947808984">
          <w:marLeft w:val="1080"/>
          <w:marRight w:val="0"/>
          <w:marTop w:val="0"/>
          <w:marBottom w:val="0"/>
          <w:divBdr>
            <w:top w:val="none" w:sz="0" w:space="0" w:color="auto"/>
            <w:left w:val="none" w:sz="0" w:space="0" w:color="auto"/>
            <w:bottom w:val="none" w:sz="0" w:space="0" w:color="auto"/>
            <w:right w:val="none" w:sz="0" w:space="0" w:color="auto"/>
          </w:divBdr>
        </w:div>
        <w:div w:id="257759010">
          <w:marLeft w:val="1080"/>
          <w:marRight w:val="0"/>
          <w:marTop w:val="0"/>
          <w:marBottom w:val="0"/>
          <w:divBdr>
            <w:top w:val="none" w:sz="0" w:space="0" w:color="auto"/>
            <w:left w:val="none" w:sz="0" w:space="0" w:color="auto"/>
            <w:bottom w:val="none" w:sz="0" w:space="0" w:color="auto"/>
            <w:right w:val="none" w:sz="0" w:space="0" w:color="auto"/>
          </w:divBdr>
        </w:div>
        <w:div w:id="189413603">
          <w:marLeft w:val="1080"/>
          <w:marRight w:val="0"/>
          <w:marTop w:val="0"/>
          <w:marBottom w:val="0"/>
          <w:divBdr>
            <w:top w:val="none" w:sz="0" w:space="0" w:color="auto"/>
            <w:left w:val="none" w:sz="0" w:space="0" w:color="auto"/>
            <w:bottom w:val="none" w:sz="0" w:space="0" w:color="auto"/>
            <w:right w:val="none" w:sz="0" w:space="0" w:color="auto"/>
          </w:divBdr>
        </w:div>
        <w:div w:id="1682272358">
          <w:marLeft w:val="1080"/>
          <w:marRight w:val="0"/>
          <w:marTop w:val="0"/>
          <w:marBottom w:val="0"/>
          <w:divBdr>
            <w:top w:val="none" w:sz="0" w:space="0" w:color="auto"/>
            <w:left w:val="none" w:sz="0" w:space="0" w:color="auto"/>
            <w:bottom w:val="none" w:sz="0" w:space="0" w:color="auto"/>
            <w:right w:val="none" w:sz="0" w:space="0" w:color="auto"/>
          </w:divBdr>
        </w:div>
        <w:div w:id="378824342">
          <w:marLeft w:val="1080"/>
          <w:marRight w:val="0"/>
          <w:marTop w:val="0"/>
          <w:marBottom w:val="0"/>
          <w:divBdr>
            <w:top w:val="none" w:sz="0" w:space="0" w:color="auto"/>
            <w:left w:val="none" w:sz="0" w:space="0" w:color="auto"/>
            <w:bottom w:val="none" w:sz="0" w:space="0" w:color="auto"/>
            <w:right w:val="none" w:sz="0" w:space="0" w:color="auto"/>
          </w:divBdr>
        </w:div>
        <w:div w:id="1081560742">
          <w:marLeft w:val="1080"/>
          <w:marRight w:val="0"/>
          <w:marTop w:val="0"/>
          <w:marBottom w:val="0"/>
          <w:divBdr>
            <w:top w:val="none" w:sz="0" w:space="0" w:color="auto"/>
            <w:left w:val="none" w:sz="0" w:space="0" w:color="auto"/>
            <w:bottom w:val="none" w:sz="0" w:space="0" w:color="auto"/>
            <w:right w:val="none" w:sz="0" w:space="0" w:color="auto"/>
          </w:divBdr>
        </w:div>
        <w:div w:id="1062094635">
          <w:marLeft w:val="1080"/>
          <w:marRight w:val="0"/>
          <w:marTop w:val="0"/>
          <w:marBottom w:val="0"/>
          <w:divBdr>
            <w:top w:val="none" w:sz="0" w:space="0" w:color="auto"/>
            <w:left w:val="none" w:sz="0" w:space="0" w:color="auto"/>
            <w:bottom w:val="none" w:sz="0" w:space="0" w:color="auto"/>
            <w:right w:val="none" w:sz="0" w:space="0" w:color="auto"/>
          </w:divBdr>
          <w:divsChild>
            <w:div w:id="1752464454">
              <w:marLeft w:val="2280"/>
              <w:marRight w:val="0"/>
              <w:marTop w:val="0"/>
              <w:marBottom w:val="0"/>
              <w:divBdr>
                <w:top w:val="none" w:sz="0" w:space="0" w:color="auto"/>
                <w:left w:val="none" w:sz="0" w:space="0" w:color="auto"/>
                <w:bottom w:val="none" w:sz="0" w:space="0" w:color="auto"/>
                <w:right w:val="none" w:sz="0" w:space="0" w:color="auto"/>
              </w:divBdr>
            </w:div>
          </w:divsChild>
        </w:div>
        <w:div w:id="1129738174">
          <w:marLeft w:val="1080"/>
          <w:marRight w:val="0"/>
          <w:marTop w:val="0"/>
          <w:marBottom w:val="0"/>
          <w:divBdr>
            <w:top w:val="none" w:sz="0" w:space="0" w:color="auto"/>
            <w:left w:val="none" w:sz="0" w:space="0" w:color="auto"/>
            <w:bottom w:val="none" w:sz="0" w:space="0" w:color="auto"/>
            <w:right w:val="none" w:sz="0" w:space="0" w:color="auto"/>
          </w:divBdr>
          <w:divsChild>
            <w:div w:id="1608349446">
              <w:marLeft w:val="2280"/>
              <w:marRight w:val="0"/>
              <w:marTop w:val="0"/>
              <w:marBottom w:val="0"/>
              <w:divBdr>
                <w:top w:val="none" w:sz="0" w:space="0" w:color="auto"/>
                <w:left w:val="none" w:sz="0" w:space="0" w:color="auto"/>
                <w:bottom w:val="none" w:sz="0" w:space="0" w:color="auto"/>
                <w:right w:val="none" w:sz="0" w:space="0" w:color="auto"/>
              </w:divBdr>
            </w:div>
          </w:divsChild>
        </w:div>
        <w:div w:id="1567913087">
          <w:marLeft w:val="1080"/>
          <w:marRight w:val="0"/>
          <w:marTop w:val="0"/>
          <w:marBottom w:val="0"/>
          <w:divBdr>
            <w:top w:val="none" w:sz="0" w:space="0" w:color="auto"/>
            <w:left w:val="none" w:sz="0" w:space="0" w:color="auto"/>
            <w:bottom w:val="none" w:sz="0" w:space="0" w:color="auto"/>
            <w:right w:val="none" w:sz="0" w:space="0" w:color="auto"/>
          </w:divBdr>
          <w:divsChild>
            <w:div w:id="1865972220">
              <w:marLeft w:val="2280"/>
              <w:marRight w:val="0"/>
              <w:marTop w:val="0"/>
              <w:marBottom w:val="0"/>
              <w:divBdr>
                <w:top w:val="none" w:sz="0" w:space="0" w:color="auto"/>
                <w:left w:val="none" w:sz="0" w:space="0" w:color="auto"/>
                <w:bottom w:val="none" w:sz="0" w:space="0" w:color="auto"/>
                <w:right w:val="none" w:sz="0" w:space="0" w:color="auto"/>
              </w:divBdr>
            </w:div>
          </w:divsChild>
        </w:div>
        <w:div w:id="538594177">
          <w:marLeft w:val="1080"/>
          <w:marRight w:val="0"/>
          <w:marTop w:val="0"/>
          <w:marBottom w:val="0"/>
          <w:divBdr>
            <w:top w:val="none" w:sz="0" w:space="0" w:color="auto"/>
            <w:left w:val="none" w:sz="0" w:space="0" w:color="auto"/>
            <w:bottom w:val="none" w:sz="0" w:space="0" w:color="auto"/>
            <w:right w:val="none" w:sz="0" w:space="0" w:color="auto"/>
          </w:divBdr>
          <w:divsChild>
            <w:div w:id="1415470668">
              <w:marLeft w:val="2280"/>
              <w:marRight w:val="0"/>
              <w:marTop w:val="0"/>
              <w:marBottom w:val="0"/>
              <w:divBdr>
                <w:top w:val="none" w:sz="0" w:space="0" w:color="auto"/>
                <w:left w:val="none" w:sz="0" w:space="0" w:color="auto"/>
                <w:bottom w:val="none" w:sz="0" w:space="0" w:color="auto"/>
                <w:right w:val="none" w:sz="0" w:space="0" w:color="auto"/>
              </w:divBdr>
            </w:div>
          </w:divsChild>
        </w:div>
        <w:div w:id="1323855013">
          <w:marLeft w:val="1080"/>
          <w:marRight w:val="0"/>
          <w:marTop w:val="0"/>
          <w:marBottom w:val="0"/>
          <w:divBdr>
            <w:top w:val="none" w:sz="0" w:space="0" w:color="auto"/>
            <w:left w:val="none" w:sz="0" w:space="0" w:color="auto"/>
            <w:bottom w:val="none" w:sz="0" w:space="0" w:color="auto"/>
            <w:right w:val="none" w:sz="0" w:space="0" w:color="auto"/>
          </w:divBdr>
          <w:divsChild>
            <w:div w:id="812480292">
              <w:marLeft w:val="2280"/>
              <w:marRight w:val="0"/>
              <w:marTop w:val="0"/>
              <w:marBottom w:val="0"/>
              <w:divBdr>
                <w:top w:val="none" w:sz="0" w:space="0" w:color="auto"/>
                <w:left w:val="none" w:sz="0" w:space="0" w:color="auto"/>
                <w:bottom w:val="none" w:sz="0" w:space="0" w:color="auto"/>
                <w:right w:val="none" w:sz="0" w:space="0" w:color="auto"/>
              </w:divBdr>
            </w:div>
          </w:divsChild>
        </w:div>
        <w:div w:id="2000423273">
          <w:marLeft w:val="1080"/>
          <w:marRight w:val="0"/>
          <w:marTop w:val="0"/>
          <w:marBottom w:val="0"/>
          <w:divBdr>
            <w:top w:val="none" w:sz="0" w:space="0" w:color="auto"/>
            <w:left w:val="none" w:sz="0" w:space="0" w:color="auto"/>
            <w:bottom w:val="none" w:sz="0" w:space="0" w:color="auto"/>
            <w:right w:val="none" w:sz="0" w:space="0" w:color="auto"/>
          </w:divBdr>
          <w:divsChild>
            <w:div w:id="307981529">
              <w:marLeft w:val="2280"/>
              <w:marRight w:val="0"/>
              <w:marTop w:val="0"/>
              <w:marBottom w:val="0"/>
              <w:divBdr>
                <w:top w:val="none" w:sz="0" w:space="0" w:color="auto"/>
                <w:left w:val="none" w:sz="0" w:space="0" w:color="auto"/>
                <w:bottom w:val="none" w:sz="0" w:space="0" w:color="auto"/>
                <w:right w:val="none" w:sz="0" w:space="0" w:color="auto"/>
              </w:divBdr>
            </w:div>
          </w:divsChild>
        </w:div>
        <w:div w:id="258176974">
          <w:marLeft w:val="1080"/>
          <w:marRight w:val="0"/>
          <w:marTop w:val="0"/>
          <w:marBottom w:val="0"/>
          <w:divBdr>
            <w:top w:val="none" w:sz="0" w:space="0" w:color="auto"/>
            <w:left w:val="none" w:sz="0" w:space="0" w:color="auto"/>
            <w:bottom w:val="none" w:sz="0" w:space="0" w:color="auto"/>
            <w:right w:val="none" w:sz="0" w:space="0" w:color="auto"/>
          </w:divBdr>
          <w:divsChild>
            <w:div w:id="93014902">
              <w:marLeft w:val="2280"/>
              <w:marRight w:val="0"/>
              <w:marTop w:val="0"/>
              <w:marBottom w:val="0"/>
              <w:divBdr>
                <w:top w:val="none" w:sz="0" w:space="0" w:color="auto"/>
                <w:left w:val="none" w:sz="0" w:space="0" w:color="auto"/>
                <w:bottom w:val="none" w:sz="0" w:space="0" w:color="auto"/>
                <w:right w:val="none" w:sz="0" w:space="0" w:color="auto"/>
              </w:divBdr>
            </w:div>
          </w:divsChild>
        </w:div>
        <w:div w:id="707412860">
          <w:marLeft w:val="1080"/>
          <w:marRight w:val="0"/>
          <w:marTop w:val="0"/>
          <w:marBottom w:val="0"/>
          <w:divBdr>
            <w:top w:val="none" w:sz="0" w:space="0" w:color="auto"/>
            <w:left w:val="none" w:sz="0" w:space="0" w:color="auto"/>
            <w:bottom w:val="none" w:sz="0" w:space="0" w:color="auto"/>
            <w:right w:val="none" w:sz="0" w:space="0" w:color="auto"/>
          </w:divBdr>
          <w:divsChild>
            <w:div w:id="1031608997">
              <w:marLeft w:val="2280"/>
              <w:marRight w:val="0"/>
              <w:marTop w:val="0"/>
              <w:marBottom w:val="0"/>
              <w:divBdr>
                <w:top w:val="none" w:sz="0" w:space="0" w:color="auto"/>
                <w:left w:val="none" w:sz="0" w:space="0" w:color="auto"/>
                <w:bottom w:val="none" w:sz="0" w:space="0" w:color="auto"/>
                <w:right w:val="none" w:sz="0" w:space="0" w:color="auto"/>
              </w:divBdr>
            </w:div>
          </w:divsChild>
        </w:div>
        <w:div w:id="1046953827">
          <w:marLeft w:val="1080"/>
          <w:marRight w:val="0"/>
          <w:marTop w:val="0"/>
          <w:marBottom w:val="0"/>
          <w:divBdr>
            <w:top w:val="none" w:sz="0" w:space="0" w:color="auto"/>
            <w:left w:val="none" w:sz="0" w:space="0" w:color="auto"/>
            <w:bottom w:val="none" w:sz="0" w:space="0" w:color="auto"/>
            <w:right w:val="none" w:sz="0" w:space="0" w:color="auto"/>
          </w:divBdr>
          <w:divsChild>
            <w:div w:id="29384335">
              <w:marLeft w:val="2280"/>
              <w:marRight w:val="0"/>
              <w:marTop w:val="0"/>
              <w:marBottom w:val="0"/>
              <w:divBdr>
                <w:top w:val="none" w:sz="0" w:space="0" w:color="auto"/>
                <w:left w:val="none" w:sz="0" w:space="0" w:color="auto"/>
                <w:bottom w:val="none" w:sz="0" w:space="0" w:color="auto"/>
                <w:right w:val="none" w:sz="0" w:space="0" w:color="auto"/>
              </w:divBdr>
            </w:div>
          </w:divsChild>
        </w:div>
        <w:div w:id="1485007013">
          <w:marLeft w:val="1080"/>
          <w:marRight w:val="0"/>
          <w:marTop w:val="0"/>
          <w:marBottom w:val="0"/>
          <w:divBdr>
            <w:top w:val="none" w:sz="0" w:space="0" w:color="auto"/>
            <w:left w:val="none" w:sz="0" w:space="0" w:color="auto"/>
            <w:bottom w:val="none" w:sz="0" w:space="0" w:color="auto"/>
            <w:right w:val="none" w:sz="0" w:space="0" w:color="auto"/>
          </w:divBdr>
        </w:div>
        <w:div w:id="906304712">
          <w:marLeft w:val="1080"/>
          <w:marRight w:val="0"/>
          <w:marTop w:val="0"/>
          <w:marBottom w:val="0"/>
          <w:divBdr>
            <w:top w:val="none" w:sz="0" w:space="0" w:color="auto"/>
            <w:left w:val="none" w:sz="0" w:space="0" w:color="auto"/>
            <w:bottom w:val="none" w:sz="0" w:space="0" w:color="auto"/>
            <w:right w:val="none" w:sz="0" w:space="0" w:color="auto"/>
          </w:divBdr>
        </w:div>
        <w:div w:id="615210662">
          <w:marLeft w:val="0"/>
          <w:marRight w:val="0"/>
          <w:marTop w:val="0"/>
          <w:marBottom w:val="0"/>
          <w:divBdr>
            <w:top w:val="none" w:sz="0" w:space="0" w:color="auto"/>
            <w:left w:val="none" w:sz="0" w:space="0" w:color="auto"/>
            <w:bottom w:val="none" w:sz="0" w:space="0" w:color="auto"/>
            <w:right w:val="none" w:sz="0" w:space="0" w:color="auto"/>
          </w:divBdr>
        </w:div>
        <w:div w:id="402681960">
          <w:marLeft w:val="1080"/>
          <w:marRight w:val="0"/>
          <w:marTop w:val="0"/>
          <w:marBottom w:val="0"/>
          <w:divBdr>
            <w:top w:val="none" w:sz="0" w:space="0" w:color="auto"/>
            <w:left w:val="none" w:sz="0" w:space="0" w:color="auto"/>
            <w:bottom w:val="none" w:sz="0" w:space="0" w:color="auto"/>
            <w:right w:val="none" w:sz="0" w:space="0" w:color="auto"/>
          </w:divBdr>
        </w:div>
        <w:div w:id="1818181194">
          <w:marLeft w:val="0"/>
          <w:marRight w:val="0"/>
          <w:marTop w:val="0"/>
          <w:marBottom w:val="0"/>
          <w:divBdr>
            <w:top w:val="none" w:sz="0" w:space="0" w:color="auto"/>
            <w:left w:val="none" w:sz="0" w:space="0" w:color="auto"/>
            <w:bottom w:val="none" w:sz="0" w:space="0" w:color="auto"/>
            <w:right w:val="none" w:sz="0" w:space="0" w:color="auto"/>
          </w:divBdr>
        </w:div>
        <w:div w:id="1003166787">
          <w:marLeft w:val="1080"/>
          <w:marRight w:val="0"/>
          <w:marTop w:val="0"/>
          <w:marBottom w:val="0"/>
          <w:divBdr>
            <w:top w:val="none" w:sz="0" w:space="0" w:color="auto"/>
            <w:left w:val="none" w:sz="0" w:space="0" w:color="auto"/>
            <w:bottom w:val="none" w:sz="0" w:space="0" w:color="auto"/>
            <w:right w:val="none" w:sz="0" w:space="0" w:color="auto"/>
          </w:divBdr>
        </w:div>
        <w:div w:id="1107387354">
          <w:marLeft w:val="1080"/>
          <w:marRight w:val="0"/>
          <w:marTop w:val="0"/>
          <w:marBottom w:val="0"/>
          <w:divBdr>
            <w:top w:val="none" w:sz="0" w:space="0" w:color="auto"/>
            <w:left w:val="none" w:sz="0" w:space="0" w:color="auto"/>
            <w:bottom w:val="none" w:sz="0" w:space="0" w:color="auto"/>
            <w:right w:val="none" w:sz="0" w:space="0" w:color="auto"/>
          </w:divBdr>
        </w:div>
        <w:div w:id="1181357229">
          <w:marLeft w:val="1080"/>
          <w:marRight w:val="0"/>
          <w:marTop w:val="0"/>
          <w:marBottom w:val="0"/>
          <w:divBdr>
            <w:top w:val="none" w:sz="0" w:space="0" w:color="auto"/>
            <w:left w:val="none" w:sz="0" w:space="0" w:color="auto"/>
            <w:bottom w:val="none" w:sz="0" w:space="0" w:color="auto"/>
            <w:right w:val="none" w:sz="0" w:space="0" w:color="auto"/>
          </w:divBdr>
        </w:div>
        <w:div w:id="856312109">
          <w:marLeft w:val="0"/>
          <w:marRight w:val="0"/>
          <w:marTop w:val="0"/>
          <w:marBottom w:val="0"/>
          <w:divBdr>
            <w:top w:val="none" w:sz="0" w:space="0" w:color="auto"/>
            <w:left w:val="none" w:sz="0" w:space="0" w:color="auto"/>
            <w:bottom w:val="none" w:sz="0" w:space="0" w:color="auto"/>
            <w:right w:val="none" w:sz="0" w:space="0" w:color="auto"/>
          </w:divBdr>
        </w:div>
        <w:div w:id="1789811539">
          <w:marLeft w:val="1080"/>
          <w:marRight w:val="0"/>
          <w:marTop w:val="0"/>
          <w:marBottom w:val="0"/>
          <w:divBdr>
            <w:top w:val="none" w:sz="0" w:space="0" w:color="auto"/>
            <w:left w:val="none" w:sz="0" w:space="0" w:color="auto"/>
            <w:bottom w:val="none" w:sz="0" w:space="0" w:color="auto"/>
            <w:right w:val="none" w:sz="0" w:space="0" w:color="auto"/>
          </w:divBdr>
        </w:div>
        <w:div w:id="533691078">
          <w:marLeft w:val="0"/>
          <w:marRight w:val="0"/>
          <w:marTop w:val="0"/>
          <w:marBottom w:val="0"/>
          <w:divBdr>
            <w:top w:val="none" w:sz="0" w:space="0" w:color="auto"/>
            <w:left w:val="none" w:sz="0" w:space="0" w:color="auto"/>
            <w:bottom w:val="none" w:sz="0" w:space="0" w:color="auto"/>
            <w:right w:val="none" w:sz="0" w:space="0" w:color="auto"/>
          </w:divBdr>
        </w:div>
        <w:div w:id="741609261">
          <w:marLeft w:val="1080"/>
          <w:marRight w:val="0"/>
          <w:marTop w:val="0"/>
          <w:marBottom w:val="0"/>
          <w:divBdr>
            <w:top w:val="none" w:sz="0" w:space="0" w:color="auto"/>
            <w:left w:val="none" w:sz="0" w:space="0" w:color="auto"/>
            <w:bottom w:val="none" w:sz="0" w:space="0" w:color="auto"/>
            <w:right w:val="none" w:sz="0" w:space="0" w:color="auto"/>
          </w:divBdr>
        </w:div>
        <w:div w:id="2033531467">
          <w:marLeft w:val="0"/>
          <w:marRight w:val="0"/>
          <w:marTop w:val="0"/>
          <w:marBottom w:val="0"/>
          <w:divBdr>
            <w:top w:val="none" w:sz="0" w:space="0" w:color="auto"/>
            <w:left w:val="none" w:sz="0" w:space="0" w:color="auto"/>
            <w:bottom w:val="none" w:sz="0" w:space="0" w:color="auto"/>
            <w:right w:val="none" w:sz="0" w:space="0" w:color="auto"/>
          </w:divBdr>
          <w:divsChild>
            <w:div w:id="931082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dc:creator>
  <cp:keywords/>
  <dc:description/>
  <cp:lastModifiedBy>benny</cp:lastModifiedBy>
  <cp:revision>1</cp:revision>
  <dcterms:created xsi:type="dcterms:W3CDTF">2014-09-29T06:43:00Z</dcterms:created>
  <dcterms:modified xsi:type="dcterms:W3CDTF">2014-09-29T06:43:00Z</dcterms:modified>
</cp:coreProperties>
</file>