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19.png" ContentType="image/png"/>
  <Override PartName="/word/media/rId23.png" ContentType="image/png"/>
  <Override PartName="/word/media/rId51.png" ContentType="image/png"/>
  <Override PartName="/word/media/rId57.png" ContentType="image/png"/>
  <Override PartName="/word/media/rId44.png" ContentType="image/png"/>
  <Override PartName="/word/media/rId3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 cost data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mmary"/>
    <w:p>
      <w:pPr>
        <w:pStyle w:val="Heading2"/>
      </w:pPr>
      <w:r>
        <w:t xml:space="preserve">Summary</w:t>
      </w:r>
    </w:p>
    <w:p>
      <w:pPr>
        <w:pStyle w:val="Compact"/>
        <w:numPr>
          <w:ilvl w:val="0"/>
          <w:numId w:val="1001"/>
        </w:numPr>
      </w:pPr>
      <w:r>
        <w:t xml:space="preserve">Qwen had the largest generation totals, at 50.98 hours and 709.11 million tokens processed across 30 runs; its review totals were 34.53 hours and 402.96 million tokens across 48 runs.</w:t>
      </w:r>
    </w:p>
    <w:p>
      <w:pPr>
        <w:pStyle w:val="Compact"/>
        <w:numPr>
          <w:ilvl w:val="0"/>
          <w:numId w:val="1001"/>
        </w:numPr>
      </w:pPr>
      <w:r>
        <w:t xml:space="preserve">Antigravity had 29 successful generation runs and one error; seven of its generation runs returned empty replies. Every Claude, Codex and Qwen generation and review run was successful and returned a non-empty reply.</w:t>
      </w:r>
    </w:p>
    <w:p>
      <w:pPr>
        <w:pStyle w:val="Compact"/>
        <w:numPr>
          <w:ilvl w:val="0"/>
          <w:numId w:val="1001"/>
        </w:numPr>
      </w:pPr>
      <w:r>
        <w:t xml:space="preserve">Codex generation processed 8.28 million tokens in total, the lowest generation total in</w:t>
      </w:r>
      <w:r>
        <w:t xml:space="preserve"> </w:t>
      </w:r>
      <w:hyperlink w:anchor="tbl-run-headline">
        <w:r>
          <w:rPr>
            <w:rStyle w:val="Hyperlink"/>
          </w:rPr>
          <w:t xml:space="preserve">Table 3</w:t>
        </w:r>
      </w:hyperlink>
      <w:r>
        <w:t xml:space="preserve">, but Codex run time was not reported.</w:t>
      </w:r>
    </w:p>
    <w:p>
      <w:pPr>
        <w:pStyle w:val="Compact"/>
        <w:numPr>
          <w:ilvl w:val="0"/>
          <w:numId w:val="1001"/>
        </w:numPr>
      </w:pPr>
      <w:r>
        <w:t xml:space="preserve">The recovered Claude Sonnet 5 max-effort pilot took 30.24 minutes and processed 1.24 million tokens, compared with 4.38 minutes and 0.24 million tokens for Claude Opus 5 medium on the same task.</w:t>
      </w:r>
    </w:p>
    <w:p>
      <w:pPr>
        <w:pStyle w:val="Compact"/>
        <w:numPr>
          <w:ilvl w:val="0"/>
          <w:numId w:val="1001"/>
        </w:numPr>
      </w:pPr>
      <w:r>
        <w:t xml:space="preserve">For Qwen, Basic and Security-aware self-reviews took 51.75 and 48.76 minutes per program, while Security-informed self-review at medium effort took 46.38 minutes versus 358.46 minutes for generation at xhigh effort.</w:t>
      </w:r>
    </w:p>
    <w:p>
      <w:pPr>
        <w:pStyle w:val="BlockText"/>
      </w:pPr>
      <w:r>
        <w:rPr>
          <w:b/>
          <w:bCs/>
        </w:rPr>
        <w:t xml:space="preserve">Reader’s rule:</w:t>
      </w:r>
      <w:r>
        <w:t xml:space="preserve"> </w:t>
      </w:r>
      <w:r>
        <w:t xml:space="preserve">time and tokens describe the coding assistant as configured (model, effort setting, scaffolding and hardware), not the model alone. Codex records no run time, so it is absent from every time figure.</w:t>
      </w:r>
    </w:p>
    <w:bookmarkEnd w:id="9"/>
    <w:bookmarkStart w:id="13" w:name="what-was-measured"/>
    <w:p>
      <w:pPr>
        <w:pStyle w:val="Heading2"/>
      </w:pPr>
      <w:r>
        <w:t xml:space="preserve">What was measured</w:t>
      </w:r>
    </w:p>
    <w:bookmarkStart w:id="10" w:name="source-of-the-numbers"/>
    <w:p>
      <w:pPr>
        <w:pStyle w:val="Heading3"/>
      </w:pPr>
      <w:r>
        <w:t xml:space="preserve">Source of the numbers</w:t>
      </w:r>
    </w:p>
    <w:p>
      <w:pPr>
        <w:pStyle w:val="FirstParagraph"/>
      </w:pPr>
      <w:r>
        <w:t xml:space="preserve">This report summarizes the completion status and CLI-reported time, token and turn data for generation and security-review runs. Generation costs are grouped by the assistant that wrote the program, while review costs are grouped by the assistant that reviewed it.</w:t>
      </w:r>
    </w:p>
    <w:p>
      <w:pPr>
        <w:pStyle w:val="Compact"/>
        <w:numPr>
          <w:ilvl w:val="0"/>
          <w:numId w:val="1002"/>
        </w:numPr>
      </w:pPr>
      <w:r>
        <w:t xml:space="preserve">A</w:t>
      </w:r>
      <w:r>
        <w:t xml:space="preserve"> </w:t>
      </w:r>
      <w:r>
        <w:rPr>
          <w:b/>
          <w:bCs/>
        </w:rPr>
        <w:t xml:space="preserve">generation run</w:t>
      </w:r>
      <w:r>
        <w:t xml:space="preserve"> </w:t>
      </w:r>
      <w:r>
        <w:t xml:space="preserve">is one assistant writing one program. Its cost belongs to the generator.</w:t>
      </w:r>
    </w:p>
    <w:p>
      <w:pPr>
        <w:pStyle w:val="Compact"/>
        <w:numPr>
          <w:ilvl w:val="0"/>
          <w:numId w:val="1002"/>
        </w:numPr>
      </w:pPr>
      <w:r>
        <w:t xml:space="preserve">A</w:t>
      </w:r>
      <w:r>
        <w:t xml:space="preserve"> </w:t>
      </w:r>
      <w:r>
        <w:rPr>
          <w:b/>
          <w:bCs/>
        </w:rPr>
        <w:t xml:space="preserve">review run</w:t>
      </w:r>
      <w:r>
        <w:t xml:space="preserve"> </w:t>
      </w:r>
      <w:r>
        <w:t xml:space="preserve">is one reviewer reading one program. Its cost belongs to the reviewer.</w:t>
      </w:r>
    </w:p>
    <w:bookmarkEnd w:id="10"/>
    <w:bookmarkStart w:id="11" w:name="X3fb4247fd7629a8a6350ecc3e551eb2ba14b568"/>
    <w:p>
      <w:pPr>
        <w:pStyle w:val="Heading3"/>
      </w:pPr>
      <w:r>
        <w:t xml:space="preserve">Two token measures, one rule for every assistant</w:t>
      </w:r>
    </w:p>
    <w:p>
      <w:pPr>
        <w:pStyle w:val="FirstParagraph"/>
      </w:pPr>
      <w:r>
        <w:t xml:space="preserve">The assistants expose input and cache activity differently, so the table distinguishes each tool’s own token total from the common tokens-processed measure used in this report. The common measure includes generated output and all reported input activity, including cache creation or cached reads where those are reported separately.</w:t>
      </w:r>
    </w:p>
    <w:p>
      <w:pPr>
        <w:pStyle w:val="TableCaption"/>
      </w:pPr>
      <w:r>
        <w:t xml:space="preserve">How each assistant reports tokens, and the measure this report derives from them</w:t>
      </w:r>
    </w:p>
    <w:tbl>
      <w:tblPr>
        <w:tblStyle w:val="Table"/>
        <w:tblW w:type="pct" w:w="5000"/>
        <w:tblLayout w:type="fixed"/>
        <w:tblLook w:firstRow="1" w:lastRow="0" w:firstColumn="0" w:lastColumn="0" w:noHBand="0" w:noVBand="0" w:val="0020"/>
        <w:tblCaption w:val="How each assistant reports tokens, and the measure this report derives from them"/>
      </w:tblPr>
      <w:tblGrid>
        <w:gridCol w:w="1584"/>
        <w:gridCol w:w="1584"/>
        <w:gridCol w:w="1584"/>
        <w:gridCol w:w="1584"/>
        <w:gridCol w:w="1584"/>
      </w:tblGrid>
      <w:tr>
        <w:trPr>
          <w:tblHeader w:val="on"/>
        </w:trPr>
        <w:tc>
          <w:tcPr/>
          <w:p>
            <w:pPr>
              <w:pStyle w:val="Compact"/>
              <w:jc w:val="left"/>
            </w:pPr>
            <w:r>
              <w:t xml:space="preserve">Assistant</w:t>
            </w:r>
          </w:p>
        </w:tc>
        <w:tc>
          <w:tcPr/>
          <w:p>
            <w:pPr>
              <w:pStyle w:val="Compact"/>
              <w:jc w:val="left"/>
            </w:pPr>
            <w:r>
              <w:t xml:space="preserve">What</w:t>
            </w:r>
            <w:r>
              <w:t xml:space="preserve"> </w:t>
            </w:r>
            <w:r>
              <w:t xml:space="preserve">“input”</w:t>
            </w:r>
            <w:r>
              <w:t xml:space="preserve"> </w:t>
            </w:r>
            <w:r>
              <w:t xml:space="preserve">counts</w:t>
            </w:r>
          </w:p>
        </w:tc>
        <w:tc>
          <w:tcPr/>
          <w:p>
            <w:pPr>
              <w:pStyle w:val="Compact"/>
              <w:jc w:val="left"/>
            </w:pPr>
            <w:r>
              <w:t xml:space="preserve">Cached tokens</w:t>
            </w:r>
          </w:p>
        </w:tc>
        <w:tc>
          <w:tcPr/>
          <w:p>
            <w:pPr>
              <w:pStyle w:val="Compact"/>
              <w:jc w:val="left"/>
            </w:pPr>
            <w:r>
              <w:t xml:space="preserve">Tool’s own total</w:t>
            </w:r>
          </w:p>
        </w:tc>
        <w:tc>
          <w:tcPr/>
          <w:p>
            <w:pPr>
              <w:pStyle w:val="Compact"/>
              <w:jc w:val="left"/>
            </w:pPr>
            <w:r>
              <w:t xml:space="preserve">Tokens processed, as used here</w:t>
            </w:r>
          </w:p>
        </w:tc>
      </w:tr>
      <w:tr>
        <w:tc>
          <w:tcPr/>
          <w:p>
            <w:pPr>
              <w:pStyle w:val="Compact"/>
              <w:jc w:val="left"/>
            </w:pPr>
            <w:r>
              <w:t xml:space="preserve">Antigravity</w:t>
            </w:r>
          </w:p>
        </w:tc>
        <w:tc>
          <w:tcPr/>
          <w:p>
            <w:pPr>
              <w:pStyle w:val="Compact"/>
              <w:jc w:val="left"/>
            </w:pPr>
            <w:r>
              <w:t xml:space="preserve">input not read from cache</w:t>
            </w:r>
          </w:p>
        </w:tc>
        <w:tc>
          <w:tcPr/>
          <w:p>
            <w:pPr>
              <w:pStyle w:val="Compact"/>
              <w:jc w:val="left"/>
            </w:pPr>
            <w:r>
              <w:t xml:space="preserve">reported separately</w:t>
            </w:r>
          </w:p>
        </w:tc>
        <w:tc>
          <w:tcPr/>
          <w:p>
            <w:pPr>
              <w:pStyle w:val="Compact"/>
              <w:jc w:val="left"/>
            </w:pPr>
            <w:r>
              <w:t xml:space="preserve">input + output</w:t>
            </w:r>
          </w:p>
        </w:tc>
        <w:tc>
          <w:tcPr/>
          <w:p>
            <w:pPr>
              <w:pStyle w:val="Compact"/>
              <w:jc w:val="left"/>
            </w:pPr>
            <w:r>
              <w:t xml:space="preserve">input + cached read + output</w:t>
            </w:r>
          </w:p>
        </w:tc>
      </w:tr>
      <w:tr>
        <w:tc>
          <w:tcPr/>
          <w:p>
            <w:pPr>
              <w:pStyle w:val="Compact"/>
              <w:jc w:val="left"/>
            </w:pPr>
            <w:r>
              <w:t xml:space="preserve">Claude Code</w:t>
            </w:r>
          </w:p>
        </w:tc>
        <w:tc>
          <w:tcPr/>
          <w:p>
            <w:pPr>
              <w:pStyle w:val="Compact"/>
              <w:jc w:val="left"/>
            </w:pPr>
            <w:r>
              <w:t xml:space="preserve">input not read from or written to cache</w:t>
            </w:r>
          </w:p>
        </w:tc>
        <w:tc>
          <w:tcPr/>
          <w:p>
            <w:pPr>
              <w:pStyle w:val="Compact"/>
              <w:jc w:val="left"/>
            </w:pPr>
            <w:r>
              <w:t xml:space="preserve">reported separately, plus cache creation</w:t>
            </w:r>
          </w:p>
        </w:tc>
        <w:tc>
          <w:tcPr/>
          <w:p>
            <w:pPr>
              <w:pStyle w:val="Compact"/>
              <w:jc w:val="left"/>
            </w:pPr>
            <w:r>
              <w:t xml:space="preserve">input + output</w:t>
            </w:r>
          </w:p>
        </w:tc>
        <w:tc>
          <w:tcPr/>
          <w:p>
            <w:pPr>
              <w:pStyle w:val="Compact"/>
              <w:jc w:val="left"/>
            </w:pPr>
            <w:r>
              <w:t xml:space="preserve">input + cache creation + cached read + output</w:t>
            </w:r>
          </w:p>
        </w:tc>
      </w:tr>
      <w:tr>
        <w:tc>
          <w:tcPr/>
          <w:p>
            <w:pPr>
              <w:pStyle w:val="Compact"/>
              <w:jc w:val="left"/>
            </w:pPr>
            <w:r>
              <w:t xml:space="preserve">Codex</w:t>
            </w:r>
          </w:p>
        </w:tc>
        <w:tc>
          <w:tcPr/>
          <w:p>
            <w:pPr>
              <w:pStyle w:val="Compact"/>
              <w:jc w:val="left"/>
            </w:pPr>
            <w:r>
              <w:t xml:space="preserve">all input, cached included</w:t>
            </w:r>
          </w:p>
        </w:tc>
        <w:tc>
          <w:tcPr/>
          <w:p>
            <w:pPr>
              <w:pStyle w:val="Compact"/>
              <w:jc w:val="left"/>
            </w:pPr>
            <w:r>
              <w:t xml:space="preserve">already inside input</w:t>
            </w:r>
          </w:p>
        </w:tc>
        <w:tc>
          <w:tcPr/>
          <w:p>
            <w:pPr>
              <w:pStyle w:val="Compact"/>
              <w:jc w:val="left"/>
            </w:pPr>
            <w:r>
              <w:t xml:space="preserve">input + output</w:t>
            </w:r>
          </w:p>
        </w:tc>
        <w:tc>
          <w:tcPr/>
          <w:p>
            <w:pPr>
              <w:pStyle w:val="Compact"/>
              <w:jc w:val="left"/>
            </w:pPr>
            <w:r>
              <w:t xml:space="preserve">input + output</w:t>
            </w:r>
          </w:p>
        </w:tc>
      </w:tr>
      <w:tr>
        <w:tc>
          <w:tcPr/>
          <w:p>
            <w:pPr>
              <w:pStyle w:val="Compact"/>
              <w:jc w:val="left"/>
            </w:pPr>
            <w:r>
              <w:t xml:space="preserve">Qwen Code</w:t>
            </w:r>
          </w:p>
        </w:tc>
        <w:tc>
          <w:tcPr/>
          <w:p>
            <w:pPr>
              <w:pStyle w:val="Compact"/>
              <w:jc w:val="left"/>
            </w:pPr>
            <w:r>
              <w:t xml:space="preserve">the whole prompt, re-sent on every request</w:t>
            </w:r>
          </w:p>
        </w:tc>
        <w:tc>
          <w:tcPr/>
          <w:p>
            <w:pPr>
              <w:pStyle w:val="Compact"/>
              <w:jc w:val="left"/>
            </w:pPr>
            <w:r>
              <w:t xml:space="preserve">not reported</w:t>
            </w:r>
          </w:p>
        </w:tc>
        <w:tc>
          <w:tcPr/>
          <w:p>
            <w:pPr>
              <w:pStyle w:val="Compact"/>
              <w:jc w:val="left"/>
            </w:pPr>
            <w:r>
              <w:t xml:space="preserve">input + output</w:t>
            </w:r>
          </w:p>
        </w:tc>
        <w:tc>
          <w:tcPr/>
          <w:p>
            <w:pPr>
              <w:pStyle w:val="Compact"/>
              <w:jc w:val="left"/>
            </w:pPr>
            <w:r>
              <w:t xml:space="preserve">input + output</w:t>
            </w:r>
          </w:p>
        </w:tc>
      </w:tr>
    </w:tbl>
    <w:bookmarkEnd w:id="11"/>
    <w:bookmarkStart w:id="12" w:name="gaps-in-the-data"/>
    <w:p>
      <w:pPr>
        <w:pStyle w:val="Heading3"/>
      </w:pPr>
      <w:r>
        <w:t xml:space="preserve">Gaps in the data</w:t>
      </w:r>
    </w:p>
    <w:p>
      <w:pPr>
        <w:pStyle w:val="FirstParagraph"/>
      </w:pPr>
      <w:r>
        <w:t xml:space="preserve">Codex run time was not reported, so it is absent from the time summaries and figures. Antigravity had one generation run with ERROR status and seven generation runs with empty replies, including that error run; the other assistants show neither issue.</w:t>
      </w:r>
    </w:p>
    <w:bookmarkEnd w:id="12"/>
    <w:bookmarkEnd w:id="13"/>
    <w:bookmarkStart w:id="16" w:name="sec-run-completion"/>
    <w:p>
      <w:pPr>
        <w:pStyle w:val="Heading2"/>
      </w:pPr>
      <w:r>
        <w:t xml:space="preserve">How the runs finished</w:t>
      </w:r>
    </w:p>
    <w:tbl>
      <w:tblPr>
        <w:tblStyle w:val="Table"/>
        <w:tblW w:type="pct" w:w="5000"/>
        <w:tblLayout w:type="fixed"/>
        <w:tblLook w:firstRow="0" w:lastRow="0" w:firstColumn="0" w:lastColumn="0" w:noHBand="0" w:noVBand="0" w:val="0000"/>
      </w:tblPr>
      <w:tblGrid>
        <w:gridCol w:w="7920"/>
      </w:tblGrid>
      <w:tr>
        <w:tc>
          <w:tcPr/>
          <w:bookmarkStart w:id="14" w:name="tbl-run-completion"/>
          <w:p>
            <w:pPr>
              <w:jc w:val="center"/>
            </w:pPr>
            <w:pPr>
              <w:jc w:val="left"/>
              <w:spacing w:before="200"/>
              <w:pStyle w:val="ImageCaption"/>
            </w:pPr>
            <w:r>
              <w:t xml:space="preserve">Table 1: Run status and empty replies by assistant · All generation and review runs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assistant</w:t>
                  </w:r>
                </w:p>
              </w:tc>
              <w:tc>
                <w:tcPr/>
                <w:p>
                  <w:pPr>
                    <w:pStyle w:val="Compact"/>
                    <w:jc w:val="left"/>
                    <w:jc w:val="center"/>
                  </w:pPr>
                  <w:r>
                    <w:t xml:space="preserve">stage</w:t>
                  </w:r>
                </w:p>
              </w:tc>
              <w:tc>
                <w:tcPr/>
                <w:p>
                  <w:pPr>
                    <w:pStyle w:val="Compact"/>
                    <w:jc w:val="right"/>
                    <w:jc w:val="center"/>
                  </w:pPr>
                  <w:r>
                    <w:t xml:space="preserve">runs</w:t>
                  </w:r>
                </w:p>
              </w:tc>
              <w:tc>
                <w:tcPr/>
                <w:p>
                  <w:pPr>
                    <w:pStyle w:val="Compact"/>
                    <w:jc w:val="right"/>
                    <w:jc w:val="center"/>
                  </w:pPr>
                  <w:r>
                    <w:t xml:space="preserve">status SUCCESS</w:t>
                  </w:r>
                </w:p>
              </w:tc>
              <w:tc>
                <w:tcPr/>
                <w:p>
                  <w:pPr>
                    <w:pStyle w:val="Compact"/>
                    <w:jc w:val="right"/>
                    <w:jc w:val="center"/>
                  </w:pPr>
                  <w:r>
                    <w:t xml:space="preserve">status ERROR</w:t>
                  </w:r>
                </w:p>
              </w:tc>
              <w:tc>
                <w:tcPr/>
                <w:p>
                  <w:pPr>
                    <w:pStyle w:val="Compact"/>
                    <w:jc w:val="right"/>
                    <w:jc w:val="center"/>
                  </w:pPr>
                  <w:r>
                    <w:t xml:space="preserve">empty reply</w:t>
                  </w:r>
                </w:p>
              </w:tc>
            </w:tr>
            <w:tr>
              <w:tc>
                <w:tcPr/>
                <w:p>
                  <w:pPr>
                    <w:pStyle w:val="Compact"/>
                    <w:jc w:val="left"/>
                    <w:jc w:val="center"/>
                  </w:pPr>
                  <w:r>
                    <w:t xml:space="preserve">agy</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1</w:t>
                  </w:r>
                </w:p>
              </w:tc>
              <w:tc>
                <w:tcPr/>
                <w:p>
                  <w:pPr>
                    <w:pStyle w:val="Compact"/>
                    <w:jc w:val="right"/>
                    <w:jc w:val="center"/>
                  </w:pPr>
                  <w:r>
                    <w:t xml:space="preserve">7</w:t>
                  </w:r>
                </w:p>
              </w:tc>
            </w:tr>
            <w:tr>
              <w:tc>
                <w:tcPr/>
                <w:p>
                  <w:pPr>
                    <w:pStyle w:val="Compact"/>
                    <w:jc w:val="left"/>
                    <w:jc w:val="center"/>
                  </w:pPr>
                  <w:r>
                    <w:t xml:space="preserve">agy</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claude</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claude</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codex</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codex</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qwen</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qwen</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r>
          </w:tbl>
          <w:bookmarkEnd w:id="14"/>
          <w:p/>
        </w:tc>
      </w:tr>
    </w:tbl>
    <w:p>
      <w:pPr>
        <w:pStyle w:val="BodyText"/>
      </w:pPr>
      <w:r>
        <w:t xml:space="preserve">In</w:t>
      </w:r>
      <w:r>
        <w:t xml:space="preserve"> </w:t>
      </w:r>
      <w:hyperlink w:anchor="tbl-run-completion">
        <w:r>
          <w:rPr>
            <w:rStyle w:val="Hyperlink"/>
          </w:rPr>
          <w:t xml:space="preserve">Table 1</w:t>
        </w:r>
      </w:hyperlink>
      <w:r>
        <w:t xml:space="preserve">, Antigravity completed 29 of 30 generation runs successfully, with one ERROR and seven empty replies, while all 48 of its review runs succeeded without empty replies. Claude, Codex and Qwen each show 30 successful generation runs and 48 successful review runs, with no errors or empty replies.</w:t>
      </w:r>
    </w:p>
    <w:tbl>
      <w:tblPr>
        <w:tblStyle w:val="Table"/>
        <w:tblW w:type="pct" w:w="5000"/>
        <w:tblLayout w:type="fixed"/>
        <w:tblLook w:firstRow="0" w:lastRow="0" w:firstColumn="0" w:lastColumn="0" w:noHBand="0" w:noVBand="0" w:val="0000"/>
      </w:tblPr>
      <w:tblGrid>
        <w:gridCol w:w="7920"/>
      </w:tblGrid>
      <w:tr>
        <w:tc>
          <w:tcPr/>
          <w:bookmarkStart w:id="15" w:name="tbl-run-problems"/>
          <w:p>
            <w:pPr>
              <w:jc w:val="center"/>
            </w:pPr>
            <w:pPr>
              <w:jc w:val="left"/>
              <w:spacing w:before="200"/>
              <w:pStyle w:val="ImageCaption"/>
            </w:pPr>
            <w:r>
              <w:t xml:space="preserve">Table 2: Runs that ended in ERROR or returned no reply · All generation and review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run</w:t>
                  </w:r>
                </w:p>
              </w:tc>
              <w:tc>
                <w:tcPr/>
                <w:p>
                  <w:pPr>
                    <w:pStyle w:val="Compact"/>
                    <w:jc w:val="left"/>
                    <w:jc w:val="center"/>
                  </w:pPr>
                  <w:r>
                    <w:t xml:space="preserve">stage</w:t>
                  </w:r>
                </w:p>
              </w:tc>
              <w:tc>
                <w:tcPr/>
                <w:p>
                  <w:pPr>
                    <w:pStyle w:val="Compact"/>
                    <w:jc w:val="left"/>
                    <w:jc w:val="center"/>
                  </w:pPr>
                  <w:r>
                    <w:t xml:space="preserve">status</w:t>
                  </w:r>
                </w:p>
              </w:tc>
              <w:tc>
                <w:tcPr/>
                <w:p>
                  <w:pPr>
                    <w:pStyle w:val="Compact"/>
                    <w:jc w:val="left"/>
                    <w:jc w:val="center"/>
                  </w:pPr>
                  <w:r>
                    <w:t xml:space="preserve">empty reply</w:t>
                  </w:r>
                </w:p>
              </w:tc>
              <w:tc>
                <w:tcPr/>
                <w:p>
                  <w:pPr>
                    <w:pStyle w:val="Compact"/>
                    <w:jc w:val="right"/>
                    <w:jc w:val="center"/>
                  </w:pPr>
                  <w:r>
                    <w:t xml:space="preserve">minutes</w:t>
                  </w:r>
                </w:p>
              </w:tc>
            </w:tr>
            <w:tr>
              <w:tc>
                <w:tcPr/>
                <w:p>
                  <w:pPr>
                    <w:pStyle w:val="Compact"/>
                    <w:jc w:val="left"/>
                    <w:jc w:val="center"/>
                  </w:pPr>
                  <w:r>
                    <w:t xml:space="preserve">agy/post_research/1/security/</w:t>
                  </w:r>
                </w:p>
              </w:tc>
              <w:tc>
                <w:tcPr/>
                <w:p>
                  <w:pPr>
                    <w:pStyle w:val="Compact"/>
                    <w:jc w:val="left"/>
                    <w:jc w:val="center"/>
                  </w:pPr>
                  <w:r>
                    <w:t xml:space="preserve">generation</w:t>
                  </w:r>
                </w:p>
              </w:tc>
              <w:tc>
                <w:tcPr/>
                <w:p>
                  <w:pPr>
                    <w:pStyle w:val="Compact"/>
                    <w:jc w:val="left"/>
                    <w:jc w:val="center"/>
                  </w:pPr>
                  <w:r>
                    <w:t xml:space="preserve">ERROR</w:t>
                  </w:r>
                </w:p>
              </w:tc>
              <w:tc>
                <w:tcPr/>
                <w:p>
                  <w:pPr>
                    <w:pStyle w:val="Compact"/>
                    <w:jc w:val="left"/>
                    <w:jc w:val="center"/>
                  </w:pPr>
                  <w:r>
                    <w:t xml:space="preserve">yes</w:t>
                  </w:r>
                </w:p>
              </w:tc>
              <w:tc>
                <w:tcPr/>
                <w:p>
                  <w:pPr>
                    <w:pStyle w:val="Compact"/>
                    <w:jc w:val="right"/>
                    <w:jc w:val="center"/>
                  </w:pPr>
                  <w:r>
                    <w:t xml:space="preserve">5.0</w:t>
                  </w:r>
                </w:p>
              </w:tc>
            </w:tr>
            <w:tr>
              <w:tc>
                <w:tcPr/>
                <w:p>
                  <w:pPr>
                    <w:pStyle w:val="Compact"/>
                    <w:jc w:val="left"/>
                    <w:jc w:val="center"/>
                  </w:pPr>
                  <w:r>
                    <w:t xml:space="preserve">agy/ruth/3/basic/</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4.9</w:t>
                  </w:r>
                </w:p>
              </w:tc>
            </w:tr>
            <w:tr>
              <w:tc>
                <w:tcPr/>
                <w:p>
                  <w:pPr>
                    <w:pStyle w:val="Compact"/>
                    <w:jc w:val="left"/>
                    <w:jc w:val="center"/>
                  </w:pPr>
                  <w:r>
                    <w:t xml:space="preserve">agy/ruth/5/basic/</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5.0</w:t>
                  </w:r>
                </w:p>
              </w:tc>
            </w:tr>
            <w:tr>
              <w:tc>
                <w:tcPr/>
                <w:p>
                  <w:pPr>
                    <w:pStyle w:val="Compact"/>
                    <w:jc w:val="left"/>
                    <w:jc w:val="center"/>
                  </w:pPr>
                  <w:r>
                    <w:t xml:space="preserve">agy/ruth/5/security/</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4.9</w:t>
                  </w:r>
                </w:p>
              </w:tc>
            </w:tr>
            <w:tr>
              <w:tc>
                <w:tcPr/>
                <w:p>
                  <w:pPr>
                    <w:pStyle w:val="Compact"/>
                    <w:jc w:val="left"/>
                    <w:jc w:val="center"/>
                  </w:pPr>
                  <w:r>
                    <w:t xml:space="preserve">agy/sallie/1/security/</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4.8</w:t>
                  </w:r>
                </w:p>
              </w:tc>
            </w:tr>
            <w:tr>
              <w:tc>
                <w:tcPr/>
                <w:p>
                  <w:pPr>
                    <w:pStyle w:val="Compact"/>
                    <w:jc w:val="left"/>
                    <w:jc w:val="center"/>
                  </w:pPr>
                  <w:r>
                    <w:t xml:space="preserve">agy/sallie/3/basic/</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4.9</w:t>
                  </w:r>
                </w:p>
              </w:tc>
            </w:tr>
            <w:tr>
              <w:tc>
                <w:tcPr/>
                <w:p>
                  <w:pPr>
                    <w:pStyle w:val="Compact"/>
                    <w:jc w:val="left"/>
                    <w:jc w:val="center"/>
                  </w:pPr>
                  <w:r>
                    <w:t xml:space="preserve">agy/sallie/3/security/</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4.9</w:t>
                  </w:r>
                </w:p>
              </w:tc>
            </w:tr>
          </w:tbl>
          <w:bookmarkEnd w:id="15"/>
          <w:p/>
        </w:tc>
      </w:tr>
    </w:tbl>
    <w:p>
      <w:pPr>
        <w:pStyle w:val="BodyText"/>
      </w:pPr>
      <w:r>
        <w:t xml:space="preserve">All seven entries in</w:t>
      </w:r>
      <w:r>
        <w:t xml:space="preserve"> </w:t>
      </w:r>
      <w:hyperlink w:anchor="tbl-run-problems">
        <w:r>
          <w:rPr>
            <w:rStyle w:val="Hyperlink"/>
          </w:rPr>
          <w:t xml:space="preserve">Table 2</w:t>
        </w:r>
      </w:hyperlink>
      <w:r>
        <w:t xml:space="preserve"> </w:t>
      </w:r>
      <w:r>
        <w:t xml:space="preserve">are Antigravity generation runs:</w:t>
      </w:r>
      <w:r>
        <w:t xml:space="preserve"> </w:t>
      </w:r>
      <w:r>
        <w:rPr>
          <w:rStyle w:val="VerbatimChar"/>
        </w:rPr>
        <w:t xml:space="preserve">agy/post_research/1/security/</w:t>
      </w:r>
      <w:r>
        <w:t xml:space="preserve"> </w:t>
      </w:r>
      <w:r>
        <w:t xml:space="preserve">ended in ERROR after 5.0 minutes, and the other six had SUCCESS status but empty replies. The reported times shown are 4.8, 4.9 and 5.0 minutes.</w:t>
      </w:r>
    </w:p>
    <w:bookmarkEnd w:id="16"/>
    <w:bookmarkStart w:id="18" w:name="sec-run-overall"/>
    <w:p>
      <w:pPr>
        <w:pStyle w:val="Heading2"/>
      </w:pPr>
      <w:r>
        <w:t xml:space="preserve">Overall cost per assistant</w:t>
      </w:r>
    </w:p>
    <w:tbl>
      <w:tblPr>
        <w:tblStyle w:val="Table"/>
        <w:tblW w:type="pct" w:w="5000"/>
        <w:tblLayout w:type="fixed"/>
        <w:tblLook w:firstRow="0" w:lastRow="0" w:firstColumn="0" w:lastColumn="0" w:noHBand="0" w:noVBand="0" w:val="0000"/>
      </w:tblPr>
      <w:tblGrid>
        <w:gridCol w:w="7920"/>
      </w:tblGrid>
      <w:tr>
        <w:tc>
          <w:tcPr/>
          <w:bookmarkStart w:id="17" w:name="tbl-run-headline"/>
          <w:p>
            <w:pPr>
              <w:jc w:val="center"/>
            </w:pPr>
            <w:pPr>
              <w:jc w:val="left"/>
              <w:spacing w:before="200"/>
              <w:pStyle w:val="ImageCaption"/>
            </w:pPr>
            <w:r>
              <w:t xml:space="preserve">Table 3: Time and tokens per assistant · All generation runs (by generator) and all review runs (by reviewer); Codex records no time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assistant</w:t>
                  </w:r>
                </w:p>
              </w:tc>
              <w:tc>
                <w:tcPr/>
                <w:p>
                  <w:pPr>
                    <w:pStyle w:val="Compact"/>
                    <w:jc w:val="left"/>
                    <w:jc w:val="center"/>
                  </w:pPr>
                  <w:r>
                    <w:t xml:space="preserve">stage</w:t>
                  </w:r>
                </w:p>
              </w:tc>
              <w:tc>
                <w:tcPr/>
                <w:p>
                  <w:pPr>
                    <w:pStyle w:val="Compact"/>
                    <w:jc w:val="right"/>
                    <w:jc w:val="center"/>
                  </w:pPr>
                  <w:r>
                    <w:t xml:space="preserve">runs</w:t>
                  </w:r>
                </w:p>
              </w:tc>
              <w:tc>
                <w:tcPr/>
                <w:p>
                  <w:pPr>
                    <w:pStyle w:val="Compact"/>
                    <w:jc w:val="right"/>
                    <w:jc w:val="center"/>
                  </w:pPr>
                  <w:r>
                    <w:t xml:space="preserve">total hours</w:t>
                  </w:r>
                </w:p>
              </w:tc>
              <w:tc>
                <w:tcPr/>
                <w:p>
                  <w:pPr>
                    <w:pStyle w:val="Compact"/>
                    <w:jc w:val="right"/>
                    <w:jc w:val="center"/>
                  </w:pPr>
                  <w:r>
                    <w:t xml:space="preserve">mean minutes per run</w:t>
                  </w:r>
                </w:p>
              </w:tc>
              <w:tc>
                <w:tcPr/>
                <w:p>
                  <w:pPr>
                    <w:pStyle w:val="Compact"/>
                    <w:jc w:val="right"/>
                    <w:jc w:val="center"/>
                  </w:pPr>
                  <w:r>
                    <w:t xml:space="preserve">total tokens processed (M)</w:t>
                  </w:r>
                </w:p>
              </w:tc>
              <w:tc>
                <w:tcPr/>
                <w:p>
                  <w:pPr>
                    <w:pStyle w:val="Compact"/>
                    <w:jc w:val="right"/>
                    <w:jc w:val="center"/>
                  </w:pPr>
                  <w:r>
                    <w:t xml:space="preserve">mean tokens processed per run (M)</w:t>
                  </w:r>
                </w:p>
              </w:tc>
              <w:tc>
                <w:tcPr/>
                <w:p>
                  <w:pPr>
                    <w:pStyle w:val="Compact"/>
                    <w:jc w:val="right"/>
                    <w:jc w:val="center"/>
                  </w:pPr>
                  <w:r>
                    <w:t xml:space="preserve">mean tokens generated per run (k)</w:t>
                  </w:r>
                </w:p>
              </w:tc>
            </w:tr>
            <w:tr>
              <w:tc>
                <w:tcPr/>
                <w:p>
                  <w:pPr>
                    <w:pStyle w:val="Compact"/>
                    <w:jc w:val="left"/>
                    <w:jc w:val="center"/>
                  </w:pPr>
                  <w:r>
                    <w:t xml:space="preserve">agy</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2.47</w:t>
                  </w:r>
                </w:p>
              </w:tc>
              <w:tc>
                <w:tcPr/>
                <w:p>
                  <w:pPr>
                    <w:pStyle w:val="Compact"/>
                    <w:jc w:val="right"/>
                    <w:jc w:val="center"/>
                  </w:pPr>
                  <w:r>
                    <w:t xml:space="preserve">4.95</w:t>
                  </w:r>
                </w:p>
              </w:tc>
              <w:tc>
                <w:tcPr/>
                <w:p>
                  <w:pPr>
                    <w:pStyle w:val="Compact"/>
                    <w:jc w:val="right"/>
                    <w:jc w:val="center"/>
                  </w:pPr>
                  <w:r>
                    <w:t xml:space="preserve">68.09</w:t>
                  </w:r>
                </w:p>
              </w:tc>
              <w:tc>
                <w:tcPr/>
                <w:p>
                  <w:pPr>
                    <w:pStyle w:val="Compact"/>
                    <w:jc w:val="right"/>
                    <w:jc w:val="center"/>
                  </w:pPr>
                  <w:r>
                    <w:t xml:space="preserve">2.27</w:t>
                  </w:r>
                </w:p>
              </w:tc>
              <w:tc>
                <w:tcPr/>
                <w:p>
                  <w:pPr>
                    <w:pStyle w:val="Compact"/>
                    <w:jc w:val="right"/>
                    <w:jc w:val="center"/>
                  </w:pPr>
                  <w:r>
                    <w:t xml:space="preserve">45.8</w:t>
                  </w:r>
                </w:p>
              </w:tc>
            </w:tr>
            <w:tr>
              <w:tc>
                <w:tcPr/>
                <w:p>
                  <w:pPr>
                    <w:pStyle w:val="Compact"/>
                    <w:jc w:val="left"/>
                    <w:jc w:val="center"/>
                  </w:pPr>
                  <w:r>
                    <w:t xml:space="preserve">agy</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3.73</w:t>
                  </w:r>
                </w:p>
              </w:tc>
              <w:tc>
                <w:tcPr/>
                <w:p>
                  <w:pPr>
                    <w:pStyle w:val="Compact"/>
                    <w:jc w:val="right"/>
                    <w:jc w:val="center"/>
                  </w:pPr>
                  <w:r>
                    <w:t xml:space="preserve">4.66</w:t>
                  </w:r>
                </w:p>
              </w:tc>
              <w:tc>
                <w:tcPr/>
                <w:p>
                  <w:pPr>
                    <w:pStyle w:val="Compact"/>
                    <w:jc w:val="right"/>
                    <w:jc w:val="center"/>
                  </w:pPr>
                  <w:r>
                    <w:t xml:space="preserve">141.09</w:t>
                  </w:r>
                </w:p>
              </w:tc>
              <w:tc>
                <w:tcPr/>
                <w:p>
                  <w:pPr>
                    <w:pStyle w:val="Compact"/>
                    <w:jc w:val="right"/>
                    <w:jc w:val="center"/>
                  </w:pPr>
                  <w:r>
                    <w:t xml:space="preserve">2.94</w:t>
                  </w:r>
                </w:p>
              </w:tc>
              <w:tc>
                <w:tcPr/>
                <w:p>
                  <w:pPr>
                    <w:pStyle w:val="Compact"/>
                    <w:jc w:val="right"/>
                    <w:jc w:val="center"/>
                  </w:pPr>
                  <w:r>
                    <w:t xml:space="preserve">51.45</w:t>
                  </w:r>
                </w:p>
              </w:tc>
            </w:tr>
            <w:tr>
              <w:tc>
                <w:tcPr/>
                <w:p>
                  <w:pPr>
                    <w:pStyle w:val="Compact"/>
                    <w:jc w:val="left"/>
                    <w:jc w:val="center"/>
                  </w:pPr>
                  <w:r>
                    <w:t xml:space="preserve">claude</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2.84</w:t>
                  </w:r>
                </w:p>
              </w:tc>
              <w:tc>
                <w:tcPr/>
                <w:p>
                  <w:pPr>
                    <w:pStyle w:val="Compact"/>
                    <w:jc w:val="right"/>
                    <w:jc w:val="center"/>
                  </w:pPr>
                  <w:r>
                    <w:t xml:space="preserve">5.68</w:t>
                  </w:r>
                </w:p>
              </w:tc>
              <w:tc>
                <w:tcPr/>
                <w:p>
                  <w:pPr>
                    <w:pStyle w:val="Compact"/>
                    <w:jc w:val="right"/>
                    <w:jc w:val="center"/>
                  </w:pPr>
                  <w:r>
                    <w:t xml:space="preserve">15.81</w:t>
                  </w:r>
                </w:p>
              </w:tc>
              <w:tc>
                <w:tcPr/>
                <w:p>
                  <w:pPr>
                    <w:pStyle w:val="Compact"/>
                    <w:jc w:val="right"/>
                    <w:jc w:val="center"/>
                  </w:pPr>
                  <w:r>
                    <w:t xml:space="preserve">0.53</w:t>
                  </w:r>
                </w:p>
              </w:tc>
              <w:tc>
                <w:tcPr/>
                <w:p>
                  <w:pPr>
                    <w:pStyle w:val="Compact"/>
                    <w:jc w:val="right"/>
                    <w:jc w:val="center"/>
                  </w:pPr>
                  <w:r>
                    <w:t xml:space="preserve">27.11</w:t>
                  </w:r>
                </w:p>
              </w:tc>
            </w:tr>
            <w:tr>
              <w:tc>
                <w:tcPr/>
                <w:p>
                  <w:pPr>
                    <w:pStyle w:val="Compact"/>
                    <w:jc w:val="left"/>
                    <w:jc w:val="center"/>
                  </w:pPr>
                  <w:r>
                    <w:t xml:space="preserve">claude</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5.3</w:t>
                  </w:r>
                </w:p>
              </w:tc>
              <w:tc>
                <w:tcPr/>
                <w:p>
                  <w:pPr>
                    <w:pStyle w:val="Compact"/>
                    <w:jc w:val="right"/>
                    <w:jc w:val="center"/>
                  </w:pPr>
                  <w:r>
                    <w:t xml:space="preserve">6.63</w:t>
                  </w:r>
                </w:p>
              </w:tc>
              <w:tc>
                <w:tcPr/>
                <w:p>
                  <w:pPr>
                    <w:pStyle w:val="Compact"/>
                    <w:jc w:val="right"/>
                    <w:jc w:val="center"/>
                  </w:pPr>
                  <w:r>
                    <w:t xml:space="preserve">56.78</w:t>
                  </w:r>
                </w:p>
              </w:tc>
              <w:tc>
                <w:tcPr/>
                <w:p>
                  <w:pPr>
                    <w:pStyle w:val="Compact"/>
                    <w:jc w:val="right"/>
                    <w:jc w:val="center"/>
                  </w:pPr>
                  <w:r>
                    <w:t xml:space="preserve">1.18</w:t>
                  </w:r>
                </w:p>
              </w:tc>
              <w:tc>
                <w:tcPr/>
                <w:p>
                  <w:pPr>
                    <w:pStyle w:val="Compact"/>
                    <w:jc w:val="right"/>
                    <w:jc w:val="center"/>
                  </w:pPr>
                  <w:r>
                    <w:t xml:space="preserve">28.25</w:t>
                  </w:r>
                </w:p>
              </w:tc>
            </w:tr>
            <w:tr>
              <w:tc>
                <w:tcPr/>
                <w:p>
                  <w:pPr>
                    <w:pStyle w:val="Compact"/>
                    <w:jc w:val="left"/>
                    <w:jc w:val="center"/>
                  </w:pPr>
                  <w:r>
                    <w:t xml:space="preserve">codex</w:t>
                  </w:r>
                </w:p>
              </w:tc>
              <w:tc>
                <w:tcPr/>
                <w:p>
                  <w:pPr>
                    <w:pStyle w:val="Compact"/>
                    <w:jc w:val="left"/>
                    <w:jc w:val="center"/>
                  </w:pPr>
                  <w:r>
                    <w:t xml:space="preserve">generation</w:t>
                  </w:r>
                </w:p>
              </w:tc>
              <w:tc>
                <w:tcPr/>
                <w:p>
                  <w:pPr>
                    <w:pStyle w:val="Compact"/>
                    <w:jc w:val="right"/>
                    <w:jc w:val="center"/>
                  </w:pPr>
                  <w:r>
                    <w:t xml:space="preserve">30</w:t>
                  </w:r>
                </w:p>
              </w:tc>
              <w:tc>
                <w:tcPr/>
                <w:p>
                  <w:pPr>
                    <w:pStyle w:val="Compact"/>
                  </w:pPr>
                </w:p>
              </w:tc>
              <w:tc>
                <w:tcPr/>
                <w:p>
                  <w:pPr>
                    <w:pStyle w:val="Compact"/>
                  </w:pPr>
                </w:p>
              </w:tc>
              <w:tc>
                <w:tcPr/>
                <w:p>
                  <w:pPr>
                    <w:pStyle w:val="Compact"/>
                    <w:jc w:val="right"/>
                    <w:jc w:val="center"/>
                  </w:pPr>
                  <w:r>
                    <w:t xml:space="preserve">8.28</w:t>
                  </w:r>
                </w:p>
              </w:tc>
              <w:tc>
                <w:tcPr/>
                <w:p>
                  <w:pPr>
                    <w:pStyle w:val="Compact"/>
                    <w:jc w:val="right"/>
                    <w:jc w:val="center"/>
                  </w:pPr>
                  <w:r>
                    <w:t xml:space="preserve">0.28</w:t>
                  </w:r>
                </w:p>
              </w:tc>
              <w:tc>
                <w:tcPr/>
                <w:p>
                  <w:pPr>
                    <w:pStyle w:val="Compact"/>
                    <w:jc w:val="right"/>
                    <w:jc w:val="center"/>
                  </w:pPr>
                  <w:r>
                    <w:t xml:space="preserve">8.13</w:t>
                  </w:r>
                </w:p>
              </w:tc>
            </w:tr>
            <w:tr>
              <w:tc>
                <w:tcPr/>
                <w:p>
                  <w:pPr>
                    <w:pStyle w:val="Compact"/>
                    <w:jc w:val="left"/>
                    <w:jc w:val="center"/>
                  </w:pPr>
                  <w:r>
                    <w:t xml:space="preserve">codex</w:t>
                  </w:r>
                </w:p>
              </w:tc>
              <w:tc>
                <w:tcPr/>
                <w:p>
                  <w:pPr>
                    <w:pStyle w:val="Compact"/>
                    <w:jc w:val="left"/>
                    <w:jc w:val="center"/>
                  </w:pPr>
                  <w:r>
                    <w:t xml:space="preserve">review</w:t>
                  </w:r>
                </w:p>
              </w:tc>
              <w:tc>
                <w:tcPr/>
                <w:p>
                  <w:pPr>
                    <w:pStyle w:val="Compact"/>
                    <w:jc w:val="right"/>
                    <w:jc w:val="center"/>
                  </w:pPr>
                  <w:r>
                    <w:t xml:space="preserve">48</w:t>
                  </w:r>
                </w:p>
              </w:tc>
              <w:tc>
                <w:tcPr/>
                <w:p>
                  <w:pPr>
                    <w:pStyle w:val="Compact"/>
                  </w:pPr>
                </w:p>
              </w:tc>
              <w:tc>
                <w:tcPr/>
                <w:p>
                  <w:pPr>
                    <w:pStyle w:val="Compact"/>
                  </w:pPr>
                </w:p>
              </w:tc>
              <w:tc>
                <w:tcPr/>
                <w:p>
                  <w:pPr>
                    <w:pStyle w:val="Compact"/>
                    <w:jc w:val="right"/>
                    <w:jc w:val="center"/>
                  </w:pPr>
                  <w:r>
                    <w:t xml:space="preserve">65.42</w:t>
                  </w:r>
                </w:p>
              </w:tc>
              <w:tc>
                <w:tcPr/>
                <w:p>
                  <w:pPr>
                    <w:pStyle w:val="Compact"/>
                    <w:jc w:val="right"/>
                    <w:jc w:val="center"/>
                  </w:pPr>
                  <w:r>
                    <w:t xml:space="preserve">1.36</w:t>
                  </w:r>
                </w:p>
              </w:tc>
              <w:tc>
                <w:tcPr/>
                <w:p>
                  <w:pPr>
                    <w:pStyle w:val="Compact"/>
                    <w:jc w:val="right"/>
                    <w:jc w:val="center"/>
                  </w:pPr>
                  <w:r>
                    <w:t xml:space="preserve">13.28</w:t>
                  </w:r>
                </w:p>
              </w:tc>
            </w:tr>
            <w:tr>
              <w:tc>
                <w:tcPr/>
                <w:p>
                  <w:pPr>
                    <w:pStyle w:val="Compact"/>
                    <w:jc w:val="left"/>
                    <w:jc w:val="center"/>
                  </w:pPr>
                  <w:r>
                    <w:t xml:space="preserve">qwen</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50.98</w:t>
                  </w:r>
                </w:p>
              </w:tc>
              <w:tc>
                <w:tcPr/>
                <w:p>
                  <w:pPr>
                    <w:pStyle w:val="Compact"/>
                    <w:jc w:val="right"/>
                    <w:jc w:val="center"/>
                  </w:pPr>
                  <w:r>
                    <w:t xml:space="preserve">101.96</w:t>
                  </w:r>
                </w:p>
              </w:tc>
              <w:tc>
                <w:tcPr/>
                <w:p>
                  <w:pPr>
                    <w:pStyle w:val="Compact"/>
                    <w:jc w:val="right"/>
                    <w:jc w:val="center"/>
                  </w:pPr>
                  <w:r>
                    <w:t xml:space="preserve">709.11</w:t>
                  </w:r>
                </w:p>
              </w:tc>
              <w:tc>
                <w:tcPr/>
                <w:p>
                  <w:pPr>
                    <w:pStyle w:val="Compact"/>
                    <w:jc w:val="right"/>
                    <w:jc w:val="center"/>
                  </w:pPr>
                  <w:r>
                    <w:t xml:space="preserve">23.64</w:t>
                  </w:r>
                </w:p>
              </w:tc>
              <w:tc>
                <w:tcPr/>
                <w:p>
                  <w:pPr>
                    <w:pStyle w:val="Compact"/>
                    <w:jc w:val="right"/>
                    <w:jc w:val="center"/>
                  </w:pPr>
                  <w:r>
                    <w:t xml:space="preserve">233.91</w:t>
                  </w:r>
                </w:p>
              </w:tc>
            </w:tr>
            <w:tr>
              <w:tc>
                <w:tcPr/>
                <w:p>
                  <w:pPr>
                    <w:pStyle w:val="Compact"/>
                    <w:jc w:val="left"/>
                    <w:jc w:val="center"/>
                  </w:pPr>
                  <w:r>
                    <w:t xml:space="preserve">qwen</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34.53</w:t>
                  </w:r>
                </w:p>
              </w:tc>
              <w:tc>
                <w:tcPr/>
                <w:p>
                  <w:pPr>
                    <w:pStyle w:val="Compact"/>
                    <w:jc w:val="right"/>
                    <w:jc w:val="center"/>
                  </w:pPr>
                  <w:r>
                    <w:t xml:space="preserve">43.17</w:t>
                  </w:r>
                </w:p>
              </w:tc>
              <w:tc>
                <w:tcPr/>
                <w:p>
                  <w:pPr>
                    <w:pStyle w:val="Compact"/>
                    <w:jc w:val="right"/>
                    <w:jc w:val="center"/>
                  </w:pPr>
                  <w:r>
                    <w:t xml:space="preserve">402.96</w:t>
                  </w:r>
                </w:p>
              </w:tc>
              <w:tc>
                <w:tcPr/>
                <w:p>
                  <w:pPr>
                    <w:pStyle w:val="Compact"/>
                    <w:jc w:val="right"/>
                    <w:jc w:val="center"/>
                  </w:pPr>
                  <w:r>
                    <w:t xml:space="preserve">8.39</w:t>
                  </w:r>
                </w:p>
              </w:tc>
              <w:tc>
                <w:tcPr/>
                <w:p>
                  <w:pPr>
                    <w:pStyle w:val="Compact"/>
                    <w:jc w:val="right"/>
                    <w:jc w:val="center"/>
                  </w:pPr>
                  <w:r>
                    <w:t xml:space="preserve">98.67</w:t>
                  </w:r>
                </w:p>
              </w:tc>
            </w:tr>
          </w:tbl>
          <w:bookmarkEnd w:id="17"/>
          <w:p/>
        </w:tc>
      </w:tr>
    </w:tbl>
    <w:p>
      <w:pPr>
        <w:pStyle w:val="BodyText"/>
      </w:pPr>
      <w:r>
        <w:t xml:space="preserve">Qwen has the largest totals in</w:t>
      </w:r>
      <w:r>
        <w:t xml:space="preserve"> </w:t>
      </w:r>
      <w:hyperlink w:anchor="tbl-run-headline">
        <w:r>
          <w:rPr>
            <w:rStyle w:val="Hyperlink"/>
          </w:rPr>
          <w:t xml:space="preserve">Table 3</w:t>
        </w:r>
      </w:hyperlink>
      <w:r>
        <w:t xml:space="preserve">: generation used 50.98 hours and 709.11 million tokens processed, while review used 34.53 hours and 402.96 million tokens processed. Codex generation processed 8.28 million tokens and Codex review processed 65.42 million, but time was not reported for either stage. Antigravity and Claude generation averaged 4.95 and 5.68 minutes per run, and their reviews averaged 4.66 and 6.63 minutes per run.</w:t>
      </w:r>
    </w:p>
    <w:bookmarkEnd w:id="18"/>
    <w:bookmarkStart w:id="35" w:name="sec-run-generation"/>
    <w:p>
      <w:pPr>
        <w:pStyle w:val="Heading2"/>
      </w:pPr>
      <w:r>
        <w:t xml:space="preserve">Generation</w:t>
      </w:r>
    </w:p>
    <w:tbl>
      <w:tblPr>
        <w:tblStyle w:val="Table"/>
        <w:tblW w:type="pct" w:w="5000"/>
        <w:tblLayout w:type="fixed"/>
        <w:tblLook w:firstRow="0" w:lastRow="0" w:firstColumn="0" w:lastColumn="0" w:noHBand="0" w:noVBand="0" w:val="0000"/>
      </w:tblPr>
      <w:tblGrid>
        <w:gridCol w:w="7920"/>
      </w:tblGrid>
      <w:tr>
        <w:tc>
          <w:tcPr/>
          <w:bookmarkStart w:id="22" w:name="fig-run-gen-time"/>
          <w:p>
            <w:pPr>
              <w:pStyle w:val="Compact"/>
              <w:jc w:val="center"/>
            </w:pPr>
            <w:r>
              <w:drawing>
                <wp:inline>
                  <wp:extent cx="5334000" cy="2642326"/>
                  <wp:effectExtent b="0" l="0" r="0" t="0"/>
                  <wp:docPr descr="" title="" id="20" name="Picture"/>
                  <a:graphic>
                    <a:graphicData uri="http://schemas.openxmlformats.org/drawingml/2006/picture">
                      <pic:pic>
                        <pic:nvPicPr>
                          <pic:cNvPr descr="final_report_run_cost_files/figure-docx/fig-run-gen-time-output-1.png" id="21" name="Picture"/>
                          <pic:cNvPicPr>
                            <a:picLocks noChangeArrowheads="1" noChangeAspect="1"/>
                          </pic:cNvPicPr>
                        </pic:nvPicPr>
                        <pic:blipFill>
                          <a:blip r:embed="rId19"/>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minutes per program by generator and condition · All generation runs; Codex records no time</w:t>
            </w:r>
          </w:p>
          <w:bookmarkEnd w:id="22"/>
        </w:tc>
      </w:tr>
    </w:tbl>
    <w:p>
      <w:pPr>
        <w:pStyle w:val="BodyText"/>
      </w:pPr>
      <w:hyperlink w:anchor="fig-run-gen-time">
        <w:r>
          <w:rPr>
            <w:rStyle w:val="Hyperlink"/>
          </w:rPr>
          <w:t xml:space="preserve">Figure 1</w:t>
        </w:r>
      </w:hyperlink>
      <w:r>
        <w:t xml:space="preserve"> </w:t>
      </w:r>
      <w:r>
        <w:t xml:space="preserve">shows Qwen taking substantially longer than Antigravity and Claude in every condition, with the separation becoming especially pronounced for Security-informed generation. Generation time rises across the three conditions for all timed assistants, while Codex is absent because its time was not reported.</w:t>
      </w:r>
    </w:p>
    <w:tbl>
      <w:tblPr>
        <w:tblStyle w:val="Table"/>
        <w:tblW w:type="pct" w:w="5000"/>
        <w:tblLayout w:type="fixed"/>
        <w:tblLook w:firstRow="0" w:lastRow="0" w:firstColumn="0" w:lastColumn="0" w:noHBand="0" w:noVBand="0" w:val="0000"/>
      </w:tblPr>
      <w:tblGrid>
        <w:gridCol w:w="7920"/>
      </w:tblGrid>
      <w:tr>
        <w:tc>
          <w:tcPr/>
          <w:bookmarkStart w:id="26" w:name="fig-run-gen-tokens"/>
          <w:p>
            <w:pPr>
              <w:pStyle w:val="Compact"/>
              <w:jc w:val="center"/>
            </w:pPr>
            <w:r>
              <w:drawing>
                <wp:inline>
                  <wp:extent cx="5334000" cy="2642326"/>
                  <wp:effectExtent b="0" l="0" r="0" t="0"/>
                  <wp:docPr descr="" title="" id="24" name="Picture"/>
                  <a:graphic>
                    <a:graphicData uri="http://schemas.openxmlformats.org/drawingml/2006/picture">
                      <pic:pic>
                        <pic:nvPicPr>
                          <pic:cNvPr descr="final_report_run_cost_files/figure-docx/fig-run-gen-tokens-output-1.png" id="25" name="Picture"/>
                          <pic:cNvPicPr>
                            <a:picLocks noChangeArrowheads="1" noChangeAspect="1"/>
                          </pic:cNvPicPr>
                        </pic:nvPicPr>
                        <pic:blipFill>
                          <a:blip r:embed="rId23"/>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tokens processed per program by generator and condition · All generation runs</w:t>
            </w:r>
          </w:p>
          <w:bookmarkEnd w:id="26"/>
        </w:tc>
      </w:tr>
    </w:tbl>
    <w:p>
      <w:pPr>
        <w:pStyle w:val="BodyText"/>
      </w:pPr>
      <w:hyperlink w:anchor="fig-run-gen-tokens">
        <w:r>
          <w:rPr>
            <w:rStyle w:val="Hyperlink"/>
          </w:rPr>
          <w:t xml:space="preserve">Figure 2</w:t>
        </w:r>
      </w:hyperlink>
      <w:r>
        <w:t xml:space="preserve"> </w:t>
      </w:r>
      <w:r>
        <w:t xml:space="preserve">shows Qwen processing the most tokens per program in every condition and Codex the fewest. For each generator, the Security-informed bar is higher than its Basic and Security-aware bars.</w:t>
      </w:r>
    </w:p>
    <w:tbl>
      <w:tblPr>
        <w:tblStyle w:val="Table"/>
        <w:tblW w:type="pct" w:w="5000"/>
        <w:tblLayout w:type="fixed"/>
        <w:tblLook w:firstRow="0" w:lastRow="0" w:firstColumn="0" w:lastColumn="0" w:noHBand="0" w:noVBand="0" w:val="0000"/>
      </w:tblPr>
      <w:tblGrid>
        <w:gridCol w:w="7920"/>
      </w:tblGrid>
      <w:tr>
        <w:tc>
          <w:tcPr/>
          <w:bookmarkStart w:id="30" w:name="fig-run-gen-task-time"/>
          <w:p>
            <w:pPr>
              <w:pStyle w:val="Compact"/>
              <w:jc w:val="center"/>
            </w:pPr>
            <w:r>
              <w:drawing>
                <wp:inline>
                  <wp:extent cx="5334000" cy="1848512"/>
                  <wp:effectExtent b="0" l="0" r="0" t="0"/>
                  <wp:docPr descr="" title="" id="28" name="Picture"/>
                  <a:graphic>
                    <a:graphicData uri="http://schemas.openxmlformats.org/drawingml/2006/picture">
                      <pic:pic>
                        <pic:nvPicPr>
                          <pic:cNvPr descr="final_report_run_cost_files/figure-docx/fig-run-gen-task-time-output-1.png" id="29" name="Picture"/>
                          <pic:cNvPicPr>
                            <a:picLocks noChangeArrowheads="1" noChangeAspect="1"/>
                          </pic:cNvPicPr>
                        </pic:nvPicPr>
                        <pic:blipFill>
                          <a:blip r:embed="rId27"/>
                          <a:stretch>
                            <a:fillRect/>
                          </a:stretch>
                        </pic:blipFill>
                        <pic:spPr bwMode="auto">
                          <a:xfrm>
                            <a:off x="0" y="0"/>
                            <a:ext cx="5334000" cy="1848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minutes per program by task and generator · All generation runs; Codex records no time</w:t>
            </w:r>
          </w:p>
          <w:bookmarkEnd w:id="30"/>
        </w:tc>
      </w:tr>
    </w:tbl>
    <w:p>
      <w:pPr>
        <w:pStyle w:val="BodyText"/>
      </w:pPr>
      <w:r>
        <w:t xml:space="preserve">Across the task panels in</w:t>
      </w:r>
      <w:r>
        <w:t xml:space="preserve"> </w:t>
      </w:r>
      <w:hyperlink w:anchor="fig-run-gen-task-time">
        <w:r>
          <w:rPr>
            <w:rStyle w:val="Hyperlink"/>
          </w:rPr>
          <w:t xml:space="preserve">Figure 3</w:t>
        </w:r>
      </w:hyperlink>
      <w:r>
        <w:t xml:space="preserve">, Qwen takes longer than the other timed generators for every task and condition. Its Security-informed times vary widely across tasks and are much higher than its Basic and Security-aware times, while Antigravity and Claude remain comparatively clustered.</w:t>
      </w:r>
    </w:p>
    <w:tbl>
      <w:tblPr>
        <w:tblStyle w:val="Table"/>
        <w:tblW w:type="pct" w:w="5000"/>
        <w:tblLayout w:type="fixed"/>
        <w:tblLook w:firstRow="0" w:lastRow="0" w:firstColumn="0" w:lastColumn="0" w:noHBand="0" w:noVBand="0" w:val="0000"/>
      </w:tblPr>
      <w:tblGrid>
        <w:gridCol w:w="7920"/>
      </w:tblGrid>
      <w:tr>
        <w:tc>
          <w:tcPr/>
          <w:bookmarkStart w:id="34" w:name="fig-run-gen-task-tokens"/>
          <w:p>
            <w:pPr>
              <w:pStyle w:val="Compact"/>
              <w:jc w:val="center"/>
            </w:pPr>
            <w:r>
              <w:drawing>
                <wp:inline>
                  <wp:extent cx="5334000" cy="1848512"/>
                  <wp:effectExtent b="0" l="0" r="0" t="0"/>
                  <wp:docPr descr="" title="" id="32" name="Picture"/>
                  <a:graphic>
                    <a:graphicData uri="http://schemas.openxmlformats.org/drawingml/2006/picture">
                      <pic:pic>
                        <pic:nvPicPr>
                          <pic:cNvPr descr="final_report_run_cost_files/figure-docx/fig-run-gen-task-tokens-output-1.png" id="33" name="Picture"/>
                          <pic:cNvPicPr>
                            <a:picLocks noChangeArrowheads="1" noChangeAspect="1"/>
                          </pic:cNvPicPr>
                        </pic:nvPicPr>
                        <pic:blipFill>
                          <a:blip r:embed="rId31"/>
                          <a:stretch>
                            <a:fillRect/>
                          </a:stretch>
                        </pic:blipFill>
                        <pic:spPr bwMode="auto">
                          <a:xfrm>
                            <a:off x="0" y="0"/>
                            <a:ext cx="5334000" cy="1848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tokens processed per program by task and generator · All generation runs</w:t>
            </w:r>
          </w:p>
          <w:bookmarkEnd w:id="34"/>
        </w:tc>
      </w:tr>
    </w:tbl>
    <w:p>
      <w:pPr>
        <w:pStyle w:val="BodyText"/>
      </w:pPr>
      <w:hyperlink w:anchor="fig-run-gen-task-tokens">
        <w:r>
          <w:rPr>
            <w:rStyle w:val="Hyperlink"/>
          </w:rPr>
          <w:t xml:space="preserve">Figure 4</w:t>
        </w:r>
      </w:hyperlink>
      <w:r>
        <w:t xml:space="preserve"> </w:t>
      </w:r>
      <w:r>
        <w:t xml:space="preserve">shows Qwen processing the most tokens for every task-condition combination, with its largest values concentrated in the Security-informed panel. Antigravity, Claude and Codex also generally process more tokens in Security-informed tasks than in the other conditions, though their task-to-task patterns differ.</w:t>
      </w:r>
    </w:p>
    <w:bookmarkEnd w:id="35"/>
    <w:bookmarkStart w:id="48" w:name="sec-run-review"/>
    <w:p>
      <w:pPr>
        <w:pStyle w:val="Heading2"/>
      </w:pPr>
      <w:r>
        <w:t xml:space="preserve">Review</w:t>
      </w:r>
    </w:p>
    <w:tbl>
      <w:tblPr>
        <w:tblStyle w:val="Table"/>
        <w:tblW w:type="pct" w:w="5000"/>
        <w:tblLayout w:type="fixed"/>
        <w:tblLook w:firstRow="0" w:lastRow="0" w:firstColumn="0" w:lastColumn="0" w:noHBand="0" w:noVBand="0" w:val="0000"/>
      </w:tblPr>
      <w:tblGrid>
        <w:gridCol w:w="7920"/>
      </w:tblGrid>
      <w:tr>
        <w:tc>
          <w:tcPr/>
          <w:bookmarkStart w:id="39" w:name="fig-run-review-time"/>
          <w:p>
            <w:pPr>
              <w:pStyle w:val="Compact"/>
              <w:jc w:val="center"/>
            </w:pPr>
            <w:r>
              <w:drawing>
                <wp:inline>
                  <wp:extent cx="5334000" cy="2642326"/>
                  <wp:effectExtent b="0" l="0" r="0" t="0"/>
                  <wp:docPr descr="" title="" id="37" name="Picture"/>
                  <a:graphic>
                    <a:graphicData uri="http://schemas.openxmlformats.org/drawingml/2006/picture">
                      <pic:pic>
                        <pic:nvPicPr>
                          <pic:cNvPr descr="final_report_run_cost_files/figure-docx/fig-run-review-time-output-1.png" id="38" name="Picture"/>
                          <pic:cNvPicPr>
                            <a:picLocks noChangeArrowheads="1" noChangeAspect="1"/>
                          </pic:cNvPicPr>
                        </pic:nvPicPr>
                        <pic:blipFill>
                          <a:blip r:embed="rId36"/>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Mean minutes per self-review by reviewer and condition · All conditions, self-review; Codex records no time</w:t>
            </w:r>
          </w:p>
          <w:bookmarkEnd w:id="39"/>
        </w:tc>
      </w:tr>
    </w:tbl>
    <w:p>
      <w:pPr>
        <w:pStyle w:val="BodyText"/>
      </w:pPr>
      <w:r>
        <w:t xml:space="preserve">In</w:t>
      </w:r>
      <w:r>
        <w:t xml:space="preserve"> </w:t>
      </w:r>
      <w:hyperlink w:anchor="fig-run-review-time">
        <w:r>
          <w:rPr>
            <w:rStyle w:val="Hyperlink"/>
          </w:rPr>
          <w:t xml:space="preserve">Figure 5</w:t>
        </w:r>
      </w:hyperlink>
      <w:r>
        <w:t xml:space="preserve">, Qwen self-reviews take far longer than Antigravity or Claude self-reviews in all three conditions. Qwen’s bars decline from Basic to Security-informed, whereas Antigravity and Claude have their highest bars in Security-informed; Codex is absent because its time was not reported.</w:t>
      </w:r>
    </w:p>
    <w:tbl>
      <w:tblPr>
        <w:tblStyle w:val="Table"/>
        <w:tblW w:type="pct" w:w="5000"/>
        <w:tblLayout w:type="fixed"/>
        <w:tblLook w:firstRow="0" w:lastRow="0" w:firstColumn="0" w:lastColumn="0" w:noHBand="0" w:noVBand="0" w:val="0000"/>
      </w:tblPr>
      <w:tblGrid>
        <w:gridCol w:w="7920"/>
      </w:tblGrid>
      <w:tr>
        <w:tc>
          <w:tcPr/>
          <w:bookmarkStart w:id="43" w:name="fig-run-review-tokens"/>
          <w:p>
            <w:pPr>
              <w:pStyle w:val="Compact"/>
              <w:jc w:val="center"/>
            </w:pPr>
            <w:r>
              <w:drawing>
                <wp:inline>
                  <wp:extent cx="5334000" cy="2642326"/>
                  <wp:effectExtent b="0" l="0" r="0" t="0"/>
                  <wp:docPr descr="" title="" id="41" name="Picture"/>
                  <a:graphic>
                    <a:graphicData uri="http://schemas.openxmlformats.org/drawingml/2006/picture">
                      <pic:pic>
                        <pic:nvPicPr>
                          <pic:cNvPr descr="final_report_run_cost_files/figure-docx/fig-run-review-tokens-output-1.png" id="42" name="Picture"/>
                          <pic:cNvPicPr>
                            <a:picLocks noChangeArrowheads="1" noChangeAspect="1"/>
                          </pic:cNvPicPr>
                        </pic:nvPicPr>
                        <pic:blipFill>
                          <a:blip r:embed="rId40"/>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Mean tokens processed per self-review by reviewer and condition · All conditions, self-review</w:t>
            </w:r>
          </w:p>
          <w:bookmarkEnd w:id="43"/>
        </w:tc>
      </w:tr>
    </w:tbl>
    <w:p>
      <w:pPr>
        <w:pStyle w:val="BodyText"/>
      </w:pPr>
      <w:hyperlink w:anchor="fig-run-review-tokens">
        <w:r>
          <w:rPr>
            <w:rStyle w:val="Hyperlink"/>
          </w:rPr>
          <w:t xml:space="preserve">Figure 6</w:t>
        </w:r>
      </w:hyperlink>
      <w:r>
        <w:t xml:space="preserve"> </w:t>
      </w:r>
      <w:r>
        <w:t xml:space="preserve">shows Qwen processing the most tokens per self-review in every condition, followed by Antigravity. Security-informed is the highest condition for Antigravity, Claude and Codex, while Qwen’s Security-informed bar is lower than its Basic and Security-aware bars.</w:t>
      </w:r>
    </w:p>
    <w:tbl>
      <w:tblPr>
        <w:tblStyle w:val="Table"/>
        <w:tblW w:type="pct" w:w="5000"/>
        <w:tblLayout w:type="fixed"/>
        <w:tblLook w:firstRow="0" w:lastRow="0" w:firstColumn="0" w:lastColumn="0" w:noHBand="0" w:noVBand="0" w:val="0000"/>
      </w:tblPr>
      <w:tblGrid>
        <w:gridCol w:w="7920"/>
      </w:tblGrid>
      <w:tr>
        <w:tc>
          <w:tcPr/>
          <w:bookmarkStart w:id="47" w:name="fig-run-review-matrix"/>
          <w:p>
            <w:pPr>
              <w:pStyle w:val="Compact"/>
              <w:jc w:val="center"/>
            </w:pPr>
            <w:r>
              <w:drawing>
                <wp:inline>
                  <wp:extent cx="5334000" cy="2219379"/>
                  <wp:effectExtent b="0" l="0" r="0" t="0"/>
                  <wp:docPr descr="" title="" id="45" name="Picture"/>
                  <a:graphic>
                    <a:graphicData uri="http://schemas.openxmlformats.org/drawingml/2006/picture">
                      <pic:pic>
                        <pic:nvPicPr>
                          <pic:cNvPr descr="final_report_run_cost_files/figure-docx/fig-run-review-matrix-output-1.png" id="46" name="Picture"/>
                          <pic:cNvPicPr>
                            <a:picLocks noChangeArrowheads="1" noChangeAspect="1"/>
                          </pic:cNvPicPr>
                        </pic:nvPicPr>
                        <pic:blipFill>
                          <a:blip r:embed="rId44"/>
                          <a:stretch>
                            <a:fillRect/>
                          </a:stretch>
                        </pic:blipFill>
                        <pic:spPr bwMode="auto">
                          <a:xfrm>
                            <a:off x="0" y="0"/>
                            <a:ext cx="5334000" cy="221937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Mean tokens per review, reviewer × generator · Security-informed, all four reviewers</w:t>
            </w:r>
          </w:p>
          <w:bookmarkEnd w:id="47"/>
        </w:tc>
      </w:tr>
    </w:tbl>
    <w:p>
      <w:pPr>
        <w:pStyle w:val="BodyText"/>
      </w:pPr>
      <w:r>
        <w:t xml:space="preserve">In the processed-token panel of</w:t>
      </w:r>
      <w:r>
        <w:t xml:space="preserve"> </w:t>
      </w:r>
      <w:hyperlink w:anchor="fig-run-review-matrix">
        <w:r>
          <w:rPr>
            <w:rStyle w:val="Hyperlink"/>
          </w:rPr>
          <w:t xml:space="preserve">Figure 7</w:t>
        </w:r>
      </w:hyperlink>
      <w:r>
        <w:t xml:space="preserve">, Qwen is the highest-volume reviewer for every generator, and every reviewer processes the most tokens when reviewing Qwen-generated programs. The generated-token panel is less uniform: Antigravity’s output is fairly even across generators, while Qwen’s output varies markedly by generator.</w:t>
      </w:r>
    </w:p>
    <w:bookmarkEnd w:id="48"/>
    <w:bookmarkStart w:id="50" w:name="sec-run-sonnet"/>
    <w:p>
      <w:pPr>
        <w:pStyle w:val="Heading2"/>
      </w:pPr>
      <w:r>
        <w:t xml:space="preserve">Claude at maximum effort in the pilot</w:t>
      </w:r>
    </w:p>
    <w:p>
      <w:pPr>
        <w:pStyle w:val="FirstParagraph"/>
      </w:pPr>
      <w:r>
        <w:t xml:space="preserve">This section compares the recovered Claude Sonnet 5 max-effort pilot with Claude Opus 5 at medium effort for the same Basic generation task. It also places the pilot beside the Opus mean across all 12 Basic runs, covering minutes, output and thinking tokens, processed tokens and turns.</w:t>
      </w:r>
    </w:p>
    <w:tbl>
      <w:tblPr>
        <w:tblStyle w:val="Table"/>
        <w:tblW w:type="pct" w:w="5000"/>
        <w:tblLayout w:type="fixed"/>
        <w:tblLook w:firstRow="0" w:lastRow="0" w:firstColumn="0" w:lastColumn="0" w:noHBand="0" w:noVBand="0" w:val="0000"/>
      </w:tblPr>
      <w:tblGrid>
        <w:gridCol w:w="7920"/>
      </w:tblGrid>
      <w:tr>
        <w:tc>
          <w:tcPr/>
          <w:bookmarkStart w:id="49" w:name="tbl-run-sonnet"/>
          <w:p>
            <w:pPr>
              <w:jc w:val="center"/>
            </w:pPr>
            <w:pPr>
              <w:jc w:val="left"/>
              <w:spacing w:before="200"/>
              <w:pStyle w:val="ImageCaption"/>
            </w:pPr>
            <w:r>
              <w:t xml:space="preserve">Table 4: Claude Sonnet 5 at max effort (recovered pilot run) against Claude Opus 5 at medium · Task 1 Basic, generation; Opus mean over its 12 Basic runs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measure</w:t>
                  </w:r>
                </w:p>
              </w:tc>
              <w:tc>
                <w:tcPr/>
                <w:p>
                  <w:pPr>
                    <w:pStyle w:val="Compact"/>
                    <w:jc w:val="right"/>
                    <w:jc w:val="center"/>
                  </w:pPr>
                  <w:r>
                    <w:t xml:space="preserve">Sonnet 5 max, pilot</w:t>
                  </w:r>
                </w:p>
              </w:tc>
              <w:tc>
                <w:tcPr/>
                <w:p>
                  <w:pPr>
                    <w:pStyle w:val="Compact"/>
                    <w:jc w:val="right"/>
                    <w:jc w:val="center"/>
                  </w:pPr>
                  <w:r>
                    <w:t xml:space="preserve">Opus 5 medium, same task</w:t>
                  </w:r>
                </w:p>
              </w:tc>
              <w:tc>
                <w:tcPr/>
                <w:p>
                  <w:pPr>
                    <w:pStyle w:val="Compact"/>
                    <w:jc w:val="right"/>
                    <w:jc w:val="center"/>
                  </w:pPr>
                  <w:r>
                    <w:t xml:space="preserve">Sonnet / Opus</w:t>
                  </w:r>
                </w:p>
              </w:tc>
              <w:tc>
                <w:tcPr/>
                <w:p>
                  <w:pPr>
                    <w:pStyle w:val="Compact"/>
                    <w:jc w:val="right"/>
                    <w:jc w:val="center"/>
                  </w:pPr>
                  <w:r>
                    <w:t xml:space="preserve">Opus 5 medium, mean of 12 Basic runs</w:t>
                  </w:r>
                </w:p>
              </w:tc>
            </w:tr>
            <w:tr>
              <w:tc>
                <w:tcPr/>
                <w:p>
                  <w:pPr>
                    <w:pStyle w:val="Compact"/>
                    <w:jc w:val="left"/>
                    <w:jc w:val="center"/>
                  </w:pPr>
                  <w:r>
                    <w:t xml:space="preserve">minutes</w:t>
                  </w:r>
                </w:p>
              </w:tc>
              <w:tc>
                <w:tcPr/>
                <w:p>
                  <w:pPr>
                    <w:pStyle w:val="Compact"/>
                    <w:jc w:val="right"/>
                    <w:jc w:val="center"/>
                  </w:pPr>
                  <w:r>
                    <w:t xml:space="preserve">30.24</w:t>
                  </w:r>
                </w:p>
              </w:tc>
              <w:tc>
                <w:tcPr/>
                <w:p>
                  <w:pPr>
                    <w:pStyle w:val="Compact"/>
                    <w:jc w:val="right"/>
                    <w:jc w:val="center"/>
                  </w:pPr>
                  <w:r>
                    <w:t xml:space="preserve">4.38</w:t>
                  </w:r>
                </w:p>
              </w:tc>
              <w:tc>
                <w:tcPr/>
                <w:p>
                  <w:pPr>
                    <w:pStyle w:val="Compact"/>
                    <w:jc w:val="right"/>
                    <w:jc w:val="center"/>
                  </w:pPr>
                  <w:r>
                    <w:t xml:space="preserve">6.91</w:t>
                  </w:r>
                </w:p>
              </w:tc>
              <w:tc>
                <w:tcPr/>
                <w:p>
                  <w:pPr>
                    <w:pStyle w:val="Compact"/>
                    <w:jc w:val="right"/>
                    <w:jc w:val="center"/>
                  </w:pPr>
                  <w:r>
                    <w:t xml:space="preserve">2.81</w:t>
                  </w:r>
                </w:p>
              </w:tc>
            </w:tr>
            <w:tr>
              <w:tc>
                <w:tcPr/>
                <w:p>
                  <w:pPr>
                    <w:pStyle w:val="Compact"/>
                    <w:jc w:val="left"/>
                    <w:jc w:val="center"/>
                  </w:pPr>
                  <w:r>
                    <w:t xml:space="preserve">output tokens</w:t>
                  </w:r>
                </w:p>
              </w:tc>
              <w:tc>
                <w:tcPr/>
                <w:p>
                  <w:pPr>
                    <w:pStyle w:val="Compact"/>
                    <w:jc w:val="right"/>
                    <w:jc w:val="center"/>
                  </w:pPr>
                  <w:r>
                    <w:t xml:space="preserve">166076.0</w:t>
                  </w:r>
                </w:p>
              </w:tc>
              <w:tc>
                <w:tcPr/>
                <w:p>
                  <w:pPr>
                    <w:pStyle w:val="Compact"/>
                    <w:jc w:val="right"/>
                    <w:jc w:val="center"/>
                  </w:pPr>
                  <w:r>
                    <w:t xml:space="preserve">23639.0</w:t>
                  </w:r>
                </w:p>
              </w:tc>
              <w:tc>
                <w:tcPr/>
                <w:p>
                  <w:pPr>
                    <w:pStyle w:val="Compact"/>
                    <w:jc w:val="right"/>
                    <w:jc w:val="center"/>
                  </w:pPr>
                  <w:r>
                    <w:t xml:space="preserve">7.03</w:t>
                  </w:r>
                </w:p>
              </w:tc>
              <w:tc>
                <w:tcPr/>
                <w:p>
                  <w:pPr>
                    <w:pStyle w:val="Compact"/>
                    <w:jc w:val="right"/>
                    <w:jc w:val="center"/>
                  </w:pPr>
                  <w:r>
                    <w:t xml:space="preserve">13680.0</w:t>
                  </w:r>
                </w:p>
              </w:tc>
            </w:tr>
            <w:tr>
              <w:tc>
                <w:tcPr/>
                <w:p>
                  <w:pPr>
                    <w:pStyle w:val="Compact"/>
                    <w:jc w:val="left"/>
                    <w:jc w:val="center"/>
                  </w:pPr>
                  <w:r>
                    <w:t xml:space="preserve">thinking tokens</w:t>
                  </w:r>
                </w:p>
              </w:tc>
              <w:tc>
                <w:tcPr/>
                <w:p>
                  <w:pPr>
                    <w:pStyle w:val="Compact"/>
                    <w:jc w:val="right"/>
                    <w:jc w:val="center"/>
                  </w:pPr>
                  <w:r>
                    <w:t xml:space="preserve">139895.0</w:t>
                  </w:r>
                </w:p>
              </w:tc>
              <w:tc>
                <w:tcPr/>
                <w:p>
                  <w:pPr>
                    <w:pStyle w:val="Compact"/>
                    <w:jc w:val="right"/>
                    <w:jc w:val="center"/>
                  </w:pPr>
                  <w:r>
                    <w:t xml:space="preserve">7475.0</w:t>
                  </w:r>
                </w:p>
              </w:tc>
              <w:tc>
                <w:tcPr/>
                <w:p>
                  <w:pPr>
                    <w:pStyle w:val="Compact"/>
                    <w:jc w:val="right"/>
                    <w:jc w:val="center"/>
                  </w:pPr>
                  <w:r>
                    <w:t xml:space="preserve">18.72</w:t>
                  </w:r>
                </w:p>
              </w:tc>
              <w:tc>
                <w:tcPr/>
                <w:p>
                  <w:pPr>
                    <w:pStyle w:val="Compact"/>
                    <w:jc w:val="right"/>
                    <w:jc w:val="center"/>
                  </w:pPr>
                  <w:r>
                    <w:t xml:space="preserve">3234.25</w:t>
                  </w:r>
                </w:p>
              </w:tc>
            </w:tr>
            <w:tr>
              <w:tc>
                <w:tcPr/>
                <w:p>
                  <w:pPr>
                    <w:pStyle w:val="Compact"/>
                    <w:jc w:val="left"/>
                    <w:jc w:val="center"/>
                  </w:pPr>
                  <w:r>
                    <w:t xml:space="preserve">thinking share of output %</w:t>
                  </w:r>
                </w:p>
              </w:tc>
              <w:tc>
                <w:tcPr/>
                <w:p>
                  <w:pPr>
                    <w:pStyle w:val="Compact"/>
                    <w:jc w:val="right"/>
                    <w:jc w:val="center"/>
                  </w:pPr>
                  <w:r>
                    <w:t xml:space="preserve">84.24</w:t>
                  </w:r>
                </w:p>
              </w:tc>
              <w:tc>
                <w:tcPr/>
                <w:p>
                  <w:pPr>
                    <w:pStyle w:val="Compact"/>
                    <w:jc w:val="right"/>
                    <w:jc w:val="center"/>
                  </w:pPr>
                  <w:r>
                    <w:t xml:space="preserve">31.62</w:t>
                  </w:r>
                </w:p>
              </w:tc>
              <w:tc>
                <w:tcPr/>
                <w:p>
                  <w:pPr>
                    <w:pStyle w:val="Compact"/>
                    <w:jc w:val="right"/>
                    <w:jc w:val="center"/>
                  </w:pPr>
                  <w:r>
                    <w:t xml:space="preserve">2.66</w:t>
                  </w:r>
                </w:p>
              </w:tc>
              <w:tc>
                <w:tcPr/>
                <w:p>
                  <w:pPr>
                    <w:pStyle w:val="Compact"/>
                    <w:jc w:val="right"/>
                    <w:jc w:val="center"/>
                  </w:pPr>
                  <w:r>
                    <w:t xml:space="preserve">23.64</w:t>
                  </w:r>
                </w:p>
              </w:tc>
            </w:tr>
            <w:tr>
              <w:tc>
                <w:tcPr/>
                <w:p>
                  <w:pPr>
                    <w:pStyle w:val="Compact"/>
                    <w:jc w:val="left"/>
                    <w:jc w:val="center"/>
                  </w:pPr>
                  <w:r>
                    <w:t xml:space="preserve">tokens processed (M)</w:t>
                  </w:r>
                </w:p>
              </w:tc>
              <w:tc>
                <w:tcPr/>
                <w:p>
                  <w:pPr>
                    <w:pStyle w:val="Compact"/>
                    <w:jc w:val="right"/>
                    <w:jc w:val="center"/>
                  </w:pPr>
                  <w:r>
                    <w:t xml:space="preserve">1.24</w:t>
                  </w:r>
                </w:p>
              </w:tc>
              <w:tc>
                <w:tcPr/>
                <w:p>
                  <w:pPr>
                    <w:pStyle w:val="Compact"/>
                    <w:jc w:val="right"/>
                    <w:jc w:val="center"/>
                  </w:pPr>
                  <w:r>
                    <w:t xml:space="preserve">0.24</w:t>
                  </w:r>
                </w:p>
              </w:tc>
              <w:tc>
                <w:tcPr/>
                <w:p>
                  <w:pPr>
                    <w:pStyle w:val="Compact"/>
                    <w:jc w:val="right"/>
                    <w:jc w:val="center"/>
                  </w:pPr>
                  <w:r>
                    <w:t xml:space="preserve">5.12</w:t>
                  </w:r>
                </w:p>
              </w:tc>
              <w:tc>
                <w:tcPr/>
                <w:p>
                  <w:pPr>
                    <w:pStyle w:val="Compact"/>
                    <w:jc w:val="right"/>
                    <w:jc w:val="center"/>
                  </w:pPr>
                  <w:r>
                    <w:t xml:space="preserve">0.16</w:t>
                  </w:r>
                </w:p>
              </w:tc>
            </w:tr>
            <w:tr>
              <w:tc>
                <w:tcPr/>
                <w:p>
                  <w:pPr>
                    <w:pStyle w:val="Compact"/>
                    <w:jc w:val="left"/>
                    <w:jc w:val="center"/>
                  </w:pPr>
                  <w:r>
                    <w:t xml:space="preserve">turns</w:t>
                  </w:r>
                </w:p>
              </w:tc>
              <w:tc>
                <w:tcPr/>
                <w:p>
                  <w:pPr>
                    <w:pStyle w:val="Compact"/>
                    <w:jc w:val="right"/>
                    <w:jc w:val="center"/>
                  </w:pPr>
                  <w:r>
                    <w:t xml:space="preserve">21.0</w:t>
                  </w:r>
                </w:p>
              </w:tc>
              <w:tc>
                <w:tcPr/>
                <w:p>
                  <w:pPr>
                    <w:pStyle w:val="Compact"/>
                    <w:jc w:val="right"/>
                    <w:jc w:val="center"/>
                  </w:pPr>
                  <w:r>
                    <w:t xml:space="preserve">12.0</w:t>
                  </w:r>
                </w:p>
              </w:tc>
              <w:tc>
                <w:tcPr/>
                <w:p>
                  <w:pPr>
                    <w:pStyle w:val="Compact"/>
                    <w:jc w:val="right"/>
                    <w:jc w:val="center"/>
                  </w:pPr>
                  <w:r>
                    <w:t xml:space="preserve">1.75</w:t>
                  </w:r>
                </w:p>
              </w:tc>
              <w:tc>
                <w:tcPr/>
                <w:p>
                  <w:pPr>
                    <w:pStyle w:val="Compact"/>
                    <w:jc w:val="right"/>
                    <w:jc w:val="center"/>
                  </w:pPr>
                  <w:r>
                    <w:t xml:space="preserve">9.08</w:t>
                  </w:r>
                </w:p>
              </w:tc>
            </w:tr>
          </w:tbl>
          <w:bookmarkEnd w:id="49"/>
          <w:p/>
        </w:tc>
      </w:tr>
    </w:tbl>
    <w:p>
      <w:pPr>
        <w:pStyle w:val="BodyText"/>
      </w:pPr>
      <w:r>
        <w:t xml:space="preserve">In</w:t>
      </w:r>
      <w:r>
        <w:t xml:space="preserve"> </w:t>
      </w:r>
      <w:hyperlink w:anchor="tbl-run-sonnet">
        <w:r>
          <w:rPr>
            <w:rStyle w:val="Hyperlink"/>
          </w:rPr>
          <w:t xml:space="preserve">Table 4</w:t>
        </w:r>
      </w:hyperlink>
      <w:r>
        <w:t xml:space="preserve">, the Sonnet 5 max pilot took 30.24 minutes, produced 166076.0 output tokens, processed 1.24 million tokens and used 21.0 turns; the same-task Opus 5 medium run used 4.38 minutes, 23639.0 output tokens, 0.24 million processed tokens and 12.0 turns. The corresponding Sonnet / Opus ratios were 6.91, 7.03, 5.12 and 1.75. Sonnet reported 139895.0 thinking tokens and an 84.24% thinking share, compared with 7475.0 and 31.62% for the same-task Opus run.</w:t>
      </w:r>
    </w:p>
    <w:bookmarkEnd w:id="50"/>
    <w:bookmarkStart w:id="61" w:name="sec-run-qwen"/>
    <w:p>
      <w:pPr>
        <w:pStyle w:val="Heading2"/>
      </w:pPr>
      <w:r>
        <w:t xml:space="preserve">Qwen review effort</w:t>
      </w:r>
    </w:p>
    <w:p>
      <w:pPr>
        <w:pStyle w:val="FirstParagraph"/>
      </w:pPr>
      <w:r>
        <w:t xml:space="preserve">This section separates Qwen generation time from self-review time by condition and records the effort setting used for each stage. It then compares actual Security-informed review hours at medium effort with the report’s xhigh estimates for six self-reviews and for the full 24-review panel.</w:t>
      </w:r>
    </w:p>
    <w:tbl>
      <w:tblPr>
        <w:tblStyle w:val="Table"/>
        <w:tblW w:type="pct" w:w="5000"/>
        <w:tblLayout w:type="fixed"/>
        <w:tblLook w:firstRow="0" w:lastRow="0" w:firstColumn="0" w:lastColumn="0" w:noHBand="0" w:noVBand="0" w:val="0000"/>
      </w:tblPr>
      <w:tblGrid>
        <w:gridCol w:w="7920"/>
      </w:tblGrid>
      <w:tr>
        <w:tc>
          <w:tcPr/>
          <w:bookmarkStart w:id="54" w:name="fig-run-qwen-effort"/>
          <w:p>
            <w:pPr>
              <w:pStyle w:val="Compact"/>
              <w:jc w:val="center"/>
            </w:pPr>
            <w:r>
              <w:drawing>
                <wp:inline>
                  <wp:extent cx="5334000" cy="2911493"/>
                  <wp:effectExtent b="0" l="0" r="0" t="0"/>
                  <wp:docPr descr="" title="" id="52" name="Picture"/>
                  <a:graphic>
                    <a:graphicData uri="http://schemas.openxmlformats.org/drawingml/2006/picture">
                      <pic:pic>
                        <pic:nvPicPr>
                          <pic:cNvPr descr="final_report_run_cost_files/figure-docx/fig-run-qwen-effort-output-1.png" id="53" name="Picture"/>
                          <pic:cNvPicPr>
                            <a:picLocks noChangeArrowheads="1" noChangeAspect="1"/>
                          </pic:cNvPicPr>
                        </pic:nvPicPr>
                        <pic:blipFill>
                          <a:blip r:embed="rId51"/>
                          <a:stretch>
                            <a:fillRect/>
                          </a:stretch>
                        </pic:blipFill>
                        <pic:spPr bwMode="auto">
                          <a:xfrm>
                            <a:off x="0" y="0"/>
                            <a:ext cx="5334000" cy="2911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Qwen mean minutes to generate a program and to self-review it, with effort settings · All conditions, Qwen generation and self-review</w:t>
            </w:r>
          </w:p>
          <w:bookmarkEnd w:id="54"/>
        </w:tc>
      </w:tr>
    </w:tbl>
    <w:p>
      <w:pPr>
        <w:pStyle w:val="BodyText"/>
      </w:pPr>
      <w:hyperlink w:anchor="fig-run-qwen-effort">
        <w:r>
          <w:rPr>
            <w:rStyle w:val="Hyperlink"/>
          </w:rPr>
          <w:t xml:space="preserve">Figure 8</w:t>
        </w:r>
      </w:hyperlink>
      <w:r>
        <w:t xml:space="preserve"> </w:t>
      </w:r>
      <w:r>
        <w:t xml:space="preserve">shows self-review taking slightly longer than generation for Basic and Security-aware programs when both stages use xhigh effort. For Security-informed programs, generation at xhigh is much longer than self-review at medium.</w:t>
      </w:r>
    </w:p>
    <w:tbl>
      <w:tblPr>
        <w:tblStyle w:val="Table"/>
        <w:tblW w:type="pct" w:w="5000"/>
        <w:tblLayout w:type="fixed"/>
        <w:tblLook w:firstRow="0" w:lastRow="0" w:firstColumn="0" w:lastColumn="0" w:noHBand="0" w:noVBand="0" w:val="0000"/>
      </w:tblPr>
      <w:tblGrid>
        <w:gridCol w:w="7920"/>
      </w:tblGrid>
      <w:tr>
        <w:tc>
          <w:tcPr/>
          <w:bookmarkStart w:id="55" w:name="tbl-run-qwen-effort"/>
          <w:p>
            <w:pPr>
              <w:jc w:val="center"/>
            </w:pPr>
            <w:pPr>
              <w:jc w:val="left"/>
              <w:spacing w:before="200"/>
              <w:pStyle w:val="ImageCaption"/>
            </w:pPr>
            <w:r>
              <w:t xml:space="preserve">Table 5: Qwen generation and self-review time per program, with effort settings · All conditions, Qwen generation and self-review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condition</w:t>
                  </w:r>
                </w:p>
              </w:tc>
              <w:tc>
                <w:tcPr/>
                <w:p>
                  <w:pPr>
                    <w:pStyle w:val="Compact"/>
                    <w:jc w:val="right"/>
                    <w:jc w:val="center"/>
                  </w:pPr>
                  <w:r>
                    <w:t xml:space="preserve">programs</w:t>
                  </w:r>
                </w:p>
              </w:tc>
              <w:tc>
                <w:tcPr/>
                <w:p>
                  <w:pPr>
                    <w:pStyle w:val="Compact"/>
                    <w:jc w:val="left"/>
                    <w:jc w:val="center"/>
                  </w:pPr>
                  <w:r>
                    <w:t xml:space="preserve">generation effort</w:t>
                  </w:r>
                </w:p>
              </w:tc>
              <w:tc>
                <w:tcPr/>
                <w:p>
                  <w:pPr>
                    <w:pStyle w:val="Compact"/>
                    <w:jc w:val="left"/>
                    <w:jc w:val="center"/>
                  </w:pPr>
                  <w:r>
                    <w:t xml:space="preserve">review effort</w:t>
                  </w:r>
                </w:p>
              </w:tc>
              <w:tc>
                <w:tcPr/>
                <w:p>
                  <w:pPr>
                    <w:pStyle w:val="Compact"/>
                    <w:jc w:val="right"/>
                    <w:jc w:val="center"/>
                  </w:pPr>
                  <w:r>
                    <w:t xml:space="preserve">generation minutes</w:t>
                  </w:r>
                </w:p>
              </w:tc>
              <w:tc>
                <w:tcPr/>
                <w:p>
                  <w:pPr>
                    <w:pStyle w:val="Compact"/>
                    <w:jc w:val="right"/>
                    <w:jc w:val="center"/>
                  </w:pPr>
                  <w:r>
                    <w:t xml:space="preserve">self-review minutes</w:t>
                  </w:r>
                </w:p>
              </w:tc>
              <w:tc>
                <w:tcPr/>
                <w:p>
                  <w:pPr>
                    <w:pStyle w:val="Compact"/>
                    <w:jc w:val="right"/>
                    <w:jc w:val="center"/>
                  </w:pPr>
                  <w:r>
                    <w:t xml:space="preserve">review / generation</w:t>
                  </w:r>
                </w:p>
              </w:tc>
            </w:tr>
            <w:tr>
              <w:tc>
                <w:tcPr/>
                <w:p>
                  <w:pPr>
                    <w:pStyle w:val="Compact"/>
                    <w:jc w:val="left"/>
                    <w:jc w:val="center"/>
                  </w:pPr>
                  <w:r>
                    <w:t xml:space="preserve">Basic</w:t>
                  </w:r>
                </w:p>
              </w:tc>
              <w:tc>
                <w:tcPr/>
                <w:p>
                  <w:pPr>
                    <w:pStyle w:val="Compact"/>
                    <w:jc w:val="right"/>
                    <w:jc w:val="center"/>
                  </w:pPr>
                  <w:r>
                    <w:t xml:space="preserve">12</w:t>
                  </w:r>
                </w:p>
              </w:tc>
              <w:tc>
                <w:tcPr/>
                <w:p>
                  <w:pPr>
                    <w:pStyle w:val="Compact"/>
                    <w:jc w:val="left"/>
                    <w:jc w:val="center"/>
                  </w:pPr>
                  <w:r>
                    <w:t xml:space="preserve">xhigh</w:t>
                  </w:r>
                </w:p>
              </w:tc>
              <w:tc>
                <w:tcPr/>
                <w:p>
                  <w:pPr>
                    <w:pStyle w:val="Compact"/>
                    <w:jc w:val="left"/>
                    <w:jc w:val="center"/>
                  </w:pPr>
                  <w:r>
                    <w:t xml:space="preserve">xhigh</w:t>
                  </w:r>
                </w:p>
              </w:tc>
              <w:tc>
                <w:tcPr/>
                <w:p>
                  <w:pPr>
                    <w:pStyle w:val="Compact"/>
                    <w:jc w:val="right"/>
                    <w:jc w:val="center"/>
                  </w:pPr>
                  <w:r>
                    <w:t xml:space="preserve">36.11</w:t>
                  </w:r>
                </w:p>
              </w:tc>
              <w:tc>
                <w:tcPr/>
                <w:p>
                  <w:pPr>
                    <w:pStyle w:val="Compact"/>
                    <w:jc w:val="right"/>
                    <w:jc w:val="center"/>
                  </w:pPr>
                  <w:r>
                    <w:t xml:space="preserve">51.75</w:t>
                  </w:r>
                </w:p>
              </w:tc>
              <w:tc>
                <w:tcPr/>
                <w:p>
                  <w:pPr>
                    <w:pStyle w:val="Compact"/>
                    <w:jc w:val="right"/>
                    <w:jc w:val="center"/>
                  </w:pPr>
                  <w:r>
                    <w:t xml:space="preserve">1.43</w:t>
                  </w:r>
                </w:p>
              </w:tc>
            </w:tr>
            <w:tr>
              <w:tc>
                <w:tcPr/>
                <w:p>
                  <w:pPr>
                    <w:pStyle w:val="Compact"/>
                    <w:jc w:val="left"/>
                    <w:jc w:val="center"/>
                  </w:pPr>
                  <w:r>
                    <w:t xml:space="preserve">Security-aware</w:t>
                  </w:r>
                </w:p>
              </w:tc>
              <w:tc>
                <w:tcPr/>
                <w:p>
                  <w:pPr>
                    <w:pStyle w:val="Compact"/>
                    <w:jc w:val="right"/>
                    <w:jc w:val="center"/>
                  </w:pPr>
                  <w:r>
                    <w:t xml:space="preserve">12</w:t>
                  </w:r>
                </w:p>
              </w:tc>
              <w:tc>
                <w:tcPr/>
                <w:p>
                  <w:pPr>
                    <w:pStyle w:val="Compact"/>
                    <w:jc w:val="left"/>
                    <w:jc w:val="center"/>
                  </w:pPr>
                  <w:r>
                    <w:t xml:space="preserve">xhigh</w:t>
                  </w:r>
                </w:p>
              </w:tc>
              <w:tc>
                <w:tcPr/>
                <w:p>
                  <w:pPr>
                    <w:pStyle w:val="Compact"/>
                    <w:jc w:val="left"/>
                    <w:jc w:val="center"/>
                  </w:pPr>
                  <w:r>
                    <w:t xml:space="preserve">xhigh</w:t>
                  </w:r>
                </w:p>
              </w:tc>
              <w:tc>
                <w:tcPr/>
                <w:p>
                  <w:pPr>
                    <w:pStyle w:val="Compact"/>
                    <w:jc w:val="right"/>
                    <w:jc w:val="center"/>
                  </w:pPr>
                  <w:r>
                    <w:t xml:space="preserve">39.56</w:t>
                  </w:r>
                </w:p>
              </w:tc>
              <w:tc>
                <w:tcPr/>
                <w:p>
                  <w:pPr>
                    <w:pStyle w:val="Compact"/>
                    <w:jc w:val="right"/>
                    <w:jc w:val="center"/>
                  </w:pPr>
                  <w:r>
                    <w:t xml:space="preserve">48.76</w:t>
                  </w:r>
                </w:p>
              </w:tc>
              <w:tc>
                <w:tcPr/>
                <w:p>
                  <w:pPr>
                    <w:pStyle w:val="Compact"/>
                    <w:jc w:val="right"/>
                    <w:jc w:val="center"/>
                  </w:pPr>
                  <w:r>
                    <w:t xml:space="preserve">1.23</w:t>
                  </w:r>
                </w:p>
              </w:tc>
            </w:tr>
            <w:tr>
              <w:tc>
                <w:tcPr/>
                <w:p>
                  <w:pPr>
                    <w:pStyle w:val="Compact"/>
                    <w:jc w:val="left"/>
                    <w:jc w:val="center"/>
                  </w:pPr>
                  <w:r>
                    <w:t xml:space="preserve">Security-informed</w:t>
                  </w:r>
                </w:p>
              </w:tc>
              <w:tc>
                <w:tcPr/>
                <w:p>
                  <w:pPr>
                    <w:pStyle w:val="Compact"/>
                    <w:jc w:val="right"/>
                    <w:jc w:val="center"/>
                  </w:pPr>
                  <w:r>
                    <w:t xml:space="preserve">6</w:t>
                  </w:r>
                </w:p>
              </w:tc>
              <w:tc>
                <w:tcPr/>
                <w:p>
                  <w:pPr>
                    <w:pStyle w:val="Compact"/>
                    <w:jc w:val="left"/>
                    <w:jc w:val="center"/>
                  </w:pPr>
                  <w:r>
                    <w:t xml:space="preserve">xhigh</w:t>
                  </w:r>
                </w:p>
              </w:tc>
              <w:tc>
                <w:tcPr/>
                <w:p>
                  <w:pPr>
                    <w:pStyle w:val="Compact"/>
                    <w:jc w:val="left"/>
                    <w:jc w:val="center"/>
                  </w:pPr>
                  <w:r>
                    <w:t xml:space="preserve">medium</w:t>
                  </w:r>
                </w:p>
              </w:tc>
              <w:tc>
                <w:tcPr/>
                <w:p>
                  <w:pPr>
                    <w:pStyle w:val="Compact"/>
                    <w:jc w:val="right"/>
                    <w:jc w:val="center"/>
                  </w:pPr>
                  <w:r>
                    <w:t xml:space="preserve">358.46</w:t>
                  </w:r>
                </w:p>
              </w:tc>
              <w:tc>
                <w:tcPr/>
                <w:p>
                  <w:pPr>
                    <w:pStyle w:val="Compact"/>
                    <w:jc w:val="right"/>
                    <w:jc w:val="center"/>
                  </w:pPr>
                  <w:r>
                    <w:t xml:space="preserve">46.38</w:t>
                  </w:r>
                </w:p>
              </w:tc>
              <w:tc>
                <w:tcPr/>
                <w:p>
                  <w:pPr>
                    <w:pStyle w:val="Compact"/>
                    <w:jc w:val="right"/>
                    <w:jc w:val="center"/>
                  </w:pPr>
                  <w:r>
                    <w:t xml:space="preserve">0.13</w:t>
                  </w:r>
                </w:p>
              </w:tc>
            </w:tr>
          </w:tbl>
          <w:bookmarkEnd w:id="55"/>
          <w:p/>
        </w:tc>
      </w:tr>
    </w:tbl>
    <w:p>
      <w:pPr>
        <w:pStyle w:val="BodyText"/>
      </w:pPr>
      <w:r>
        <w:t xml:space="preserve">In</w:t>
      </w:r>
      <w:r>
        <w:t xml:space="preserve"> </w:t>
      </w:r>
      <w:hyperlink w:anchor="tbl-run-qwen-effort">
        <w:r>
          <w:rPr>
            <w:rStyle w:val="Hyperlink"/>
          </w:rPr>
          <w:t xml:space="preserve">Table 5</w:t>
        </w:r>
      </w:hyperlink>
      <w:r>
        <w:t xml:space="preserve">, Qwen generation and self-review averaged 36.11 and 51.75 minutes for Basic programs and 39.56 and 48.76 minutes for Security-aware programs, yielding review / generation values of 1.43 and 1.23. For Security-informed programs, xhigh generation averaged 358.46 minutes and medium self-review averaged 46.38 minutes, with a review / generation value of 0.13.</w:t>
      </w:r>
    </w:p>
    <w:tbl>
      <w:tblPr>
        <w:tblStyle w:val="Table"/>
        <w:tblW w:type="pct" w:w="5000"/>
        <w:tblLayout w:type="fixed"/>
        <w:tblLook w:firstRow="0" w:lastRow="0" w:firstColumn="0" w:lastColumn="0" w:noHBand="0" w:noVBand="0" w:val="0000"/>
      </w:tblPr>
      <w:tblGrid>
        <w:gridCol w:w="7920"/>
      </w:tblGrid>
      <w:tr>
        <w:tc>
          <w:tcPr/>
          <w:bookmarkStart w:id="56" w:name="tbl-run-qwen-estimate"/>
          <w:p>
            <w:pPr>
              <w:jc w:val="center"/>
            </w:pPr>
            <w:pPr>
              <w:jc w:val="left"/>
              <w:spacing w:before="200"/>
              <w:pStyle w:val="ImageCaption"/>
            </w:pPr>
            <w:r>
              <w:t xml:space="preserve">Table 6: Qwen panel review hours at medium, and estimated at xhigh · Security-informed, Qwen as reviewer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Qwen panel reviews</w:t>
                  </w:r>
                </w:p>
              </w:tc>
              <w:tc>
                <w:tcPr/>
                <w:p>
                  <w:pPr>
                    <w:pStyle w:val="Compact"/>
                    <w:jc w:val="right"/>
                    <w:jc w:val="center"/>
                  </w:pPr>
                  <w:r>
                    <w:t xml:space="preserve">actual hours at medium</w:t>
                  </w:r>
                </w:p>
              </w:tc>
              <w:tc>
                <w:tcPr/>
                <w:p>
                  <w:pPr>
                    <w:pStyle w:val="Compact"/>
                    <w:jc w:val="right"/>
                    <w:jc w:val="center"/>
                  </w:pPr>
                  <w:r>
                    <w:t xml:space="preserve">estimated hours at xhigh</w:t>
                  </w:r>
                </w:p>
              </w:tc>
            </w:tr>
            <w:tr>
              <w:tc>
                <w:tcPr/>
                <w:p>
                  <w:pPr>
                    <w:pStyle w:val="Compact"/>
                    <w:jc w:val="left"/>
                    <w:jc w:val="center"/>
                  </w:pPr>
                  <w:r>
                    <w:t xml:space="preserve">6 self-reviews</w:t>
                  </w:r>
                </w:p>
              </w:tc>
              <w:tc>
                <w:tcPr/>
                <w:p>
                  <w:pPr>
                    <w:pStyle w:val="Compact"/>
                    <w:jc w:val="right"/>
                    <w:jc w:val="center"/>
                  </w:pPr>
                  <w:r>
                    <w:t xml:space="preserve">4.6</w:t>
                  </w:r>
                </w:p>
              </w:tc>
              <w:tc>
                <w:tcPr/>
                <w:p>
                  <w:pPr>
                    <w:pStyle w:val="Compact"/>
                    <w:jc w:val="right"/>
                    <w:jc w:val="center"/>
                  </w:pPr>
                  <w:r>
                    <w:t xml:space="preserve">47.6</w:t>
                  </w:r>
                </w:p>
              </w:tc>
            </w:tr>
            <w:tr>
              <w:tc>
                <w:tcPr/>
                <w:p>
                  <w:pPr>
                    <w:pStyle w:val="Compact"/>
                    <w:jc w:val="left"/>
                    <w:jc w:val="center"/>
                  </w:pPr>
                  <w:r>
                    <w:t xml:space="preserve">24 reviews (all four generators)</w:t>
                  </w:r>
                </w:p>
              </w:tc>
              <w:tc>
                <w:tcPr/>
                <w:p>
                  <w:pPr>
                    <w:pStyle w:val="Compact"/>
                    <w:jc w:val="right"/>
                    <w:jc w:val="center"/>
                  </w:pPr>
                  <w:r>
                    <w:t xml:space="preserve">14.4</w:t>
                  </w:r>
                </w:p>
              </w:tc>
              <w:tc>
                <w:tcPr/>
                <w:p>
                  <w:pPr>
                    <w:pStyle w:val="Compact"/>
                    <w:jc w:val="right"/>
                    <w:jc w:val="center"/>
                  </w:pPr>
                  <w:r>
                    <w:t xml:space="preserve">190.5</w:t>
                  </w:r>
                </w:p>
              </w:tc>
            </w:tr>
          </w:tbl>
          <w:bookmarkEnd w:id="56"/>
          <w:p/>
        </w:tc>
      </w:tr>
    </w:tbl>
    <w:p>
      <w:pPr>
        <w:pStyle w:val="BodyText"/>
      </w:pPr>
      <w:hyperlink w:anchor="tbl-run-qwen-estimate">
        <w:r>
          <w:rPr>
            <w:rStyle w:val="Hyperlink"/>
          </w:rPr>
          <w:t xml:space="preserve">Table 6</w:t>
        </w:r>
      </w:hyperlink>
      <w:r>
        <w:t xml:space="preserve"> </w:t>
      </w:r>
      <w:r>
        <w:t xml:space="preserve">reports 4.6 actual hours at medium and 47.6 estimated hours at xhigh for six Qwen self-reviews. For all 24 panel reviews, it reports 14.4 actual hours at medium and 190.5 estimated hours at xhigh.</w:t>
      </w:r>
    </w:p>
    <w:tbl>
      <w:tblPr>
        <w:tblStyle w:val="Table"/>
        <w:tblW w:type="pct" w:w="5000"/>
        <w:tblLayout w:type="fixed"/>
        <w:tblLook w:firstRow="0" w:lastRow="0" w:firstColumn="0" w:lastColumn="0" w:noHBand="0" w:noVBand="0" w:val="0000"/>
      </w:tblPr>
      <w:tblGrid>
        <w:gridCol w:w="7920"/>
      </w:tblGrid>
      <w:tr>
        <w:tc>
          <w:tcPr/>
          <w:bookmarkStart w:id="60" w:name="fig-run-qwen"/>
          <w:p>
            <w:pPr>
              <w:pStyle w:val="Compact"/>
              <w:jc w:val="center"/>
            </w:pPr>
            <w:r>
              <w:drawing>
                <wp:inline>
                  <wp:extent cx="5334000" cy="2820220"/>
                  <wp:effectExtent b="0" l="0" r="0" t="0"/>
                  <wp:docPr descr="" title="" id="58" name="Picture"/>
                  <a:graphic>
                    <a:graphicData uri="http://schemas.openxmlformats.org/drawingml/2006/picture">
                      <pic:pic>
                        <pic:nvPicPr>
                          <pic:cNvPr descr="final_report_run_cost_files/figure-docx/fig-run-qwen-output-1.png" id="59" name="Picture"/>
                          <pic:cNvPicPr>
                            <a:picLocks noChangeArrowheads="1" noChangeAspect="1"/>
                          </pic:cNvPicPr>
                        </pic:nvPicPr>
                        <pic:blipFill>
                          <a:blip r:embed="rId57"/>
                          <a:stretch>
                            <a:fillRect/>
                          </a:stretch>
                        </pic:blipFill>
                        <pic:spPr bwMode="auto">
                          <a:xfrm>
                            <a:off x="0" y="0"/>
                            <a:ext cx="5334000" cy="2820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Qwen panel review hours: actual at medium and estimated at xhigh · Security-informed, Qwen as reviewer</w:t>
            </w:r>
          </w:p>
          <w:bookmarkEnd w:id="60"/>
        </w:tc>
      </w:tr>
    </w:tbl>
    <w:p>
      <w:pPr>
        <w:pStyle w:val="BodyText"/>
      </w:pPr>
      <w:hyperlink w:anchor="fig-run-qwen">
        <w:r>
          <w:rPr>
            <w:rStyle w:val="Hyperlink"/>
          </w:rPr>
          <w:t xml:space="preserve">Figure 9</w:t>
        </w:r>
      </w:hyperlink>
      <w:r>
        <w:t xml:space="preserve"> </w:t>
      </w:r>
      <w:r>
        <w:t xml:space="preserve">shows the estimated xhigh review time well above the actual medium-effort time for both the six self-reviews and the 24-review panel. The full panel is higher than the self-review subset under both effort presentations.</w:t>
      </w:r>
    </w:p>
    <w:bookmarkEnd w:id="61"/>
    <w:bookmarkStart w:id="62" w:name="sec-run-reading"/>
    <w:p>
      <w:pPr>
        <w:pStyle w:val="Heading2"/>
      </w:pPr>
      <w:r>
        <w:t xml:space="preserve">Reading these numbers</w:t>
      </w:r>
    </w:p>
    <w:p>
      <w:pPr>
        <w:pStyle w:val="FirstParagraph"/>
      </w:pPr>
      <w:r>
        <w:t xml:space="preserve">The tables report each CLI’s recorded time, tokens and turns, with missing values left unreported. Time comparisons therefore exclude Codex, while token comparisons use the common processed-token definition shown earlier. Condition, task, stage, reviewer and generator breakdowns are presented separately so the displayed totals and means retain their stated scope.</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44" Target="media/rId44.png" /><Relationship Type="http://schemas.openxmlformats.org/officeDocument/2006/relationships/image" Id="rId36" Target="media/rId36.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 cost data report</dc:title>
  <dc:creator/>
  <cp:keywords/>
  <dcterms:created xsi:type="dcterms:W3CDTF">2026-10-20T01:55:09Z</dcterms:created>
  <dcterms:modified xsi:type="dcterms:W3CDTF">2026-10-20T01:55:09Z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jupyter">
    <vt:lpwstr>python3</vt:lpwstr>
  </property>
  <property fmtid="{D5CDD505-2E9C-101B-9397-08002B2CF9AE}" pid="8" name="labels">
    <vt:lpwstr/>
  </property>
  <property fmtid="{D5CDD505-2E9C-101B-9397-08002B2CF9AE}" pid="9" name="toc-title">
    <vt:lpwstr>Table of contents</vt:lpwstr>
  </property>
</Properties>
</file>