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19.png" ContentType="image/png"/>
  <Override PartName="/word/media/rId23.png" ContentType="image/png"/>
  <Override PartName="/word/media/rId51.png" ContentType="image/png"/>
  <Override PartName="/word/media/rId57.png" ContentType="image/png"/>
  <Override PartName="/word/media/rId44.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 cost data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mmary"/>
    <w:p>
      <w:pPr>
        <w:pStyle w:val="Heading2"/>
      </w:pPr>
      <w:r>
        <w:t xml:space="preserve">Summary</w:t>
      </w:r>
    </w:p>
    <w:p>
      <w:pPr>
        <w:pStyle w:val="Compact"/>
        <w:numPr>
          <w:ilvl w:val="0"/>
          <w:numId w:val="1001"/>
        </w:numPr>
      </w:pPr>
      <w:r>
        <w:t xml:space="preserve">All 30 generation runs succeeded for Claude, Codex and Qwen; Antigravity had 29 successes and 1 error, with 7 empty replies. All 48 review runs for each assistant succeeded with no empty replies.</w:t>
      </w:r>
    </w:p>
    <w:p>
      <w:pPr>
        <w:pStyle w:val="Compact"/>
        <w:numPr>
          <w:ilvl w:val="0"/>
          <w:numId w:val="1001"/>
        </w:numPr>
      </w:pPr>
      <w:r>
        <w:t xml:space="preserve">Qwen had the largest reported generation cost, totaling 50.98 hours and 709.11 million tokens processed across 30 runs; Codex processed 8.28 million tokens, while its run time was not reported.</w:t>
      </w:r>
    </w:p>
    <w:p>
      <w:pPr>
        <w:pStyle w:val="Compact"/>
        <w:numPr>
          <w:ilvl w:val="0"/>
          <w:numId w:val="1001"/>
        </w:numPr>
      </w:pPr>
      <w:r>
        <w:t xml:space="preserve">Across 48 review runs, Qwen reported 34.53 total hours and 402.96 million tokens processed. Antigravity, Claude and Codex processed 141.09 million, 56.78 million and 65.42 million review tokens, respectively, and Codex review time was not reported.</w:t>
      </w:r>
    </w:p>
    <w:p>
      <w:pPr>
        <w:pStyle w:val="Compact"/>
        <w:numPr>
          <w:ilvl w:val="0"/>
          <w:numId w:val="1001"/>
        </w:numPr>
      </w:pPr>
      <w:r>
        <w:t xml:space="preserve">The generation figures show that Qwen’s security-informed runs stand apart from the other conditions in both time and processed tokens, while the other assistants show smaller condition-to-condition shifts.</w:t>
      </w:r>
    </w:p>
    <w:p>
      <w:pPr>
        <w:pStyle w:val="Compact"/>
        <w:numPr>
          <w:ilvl w:val="0"/>
          <w:numId w:val="1001"/>
        </w:numPr>
      </w:pPr>
      <w:r>
        <w:t xml:space="preserve">In the recovered pilot, Claude Sonnet 5 at max effort used 30.24 minutes, 1.24 million processed tokens and 21.0 turns for Task 1 Basic, compared with 4.38 minutes, 0.24 million processed tokens and 12.0 turns for Claude Opus 5 at medium on the same task.</w:t>
      </w:r>
    </w:p>
    <w:p>
      <w:pPr>
        <w:pStyle w:val="Compact"/>
        <w:numPr>
          <w:ilvl w:val="0"/>
          <w:numId w:val="1001"/>
        </w:numPr>
      </w:pPr>
      <w:r>
        <w:t xml:space="preserve">Qwen’s security-informed setting combined xhigh generation with medium review: generation averaged 358.46 minutes and self-review 46.38 minutes, and the 24-review panel totaled 14.4 actual hours at medium versus 190.5 estimated hours at xhigh.</w:t>
      </w:r>
    </w:p>
    <w:p>
      <w:pPr>
        <w:pStyle w:val="BlockText"/>
      </w:pPr>
      <w:r>
        <w:rPr>
          <w:b/>
          <w:bCs/>
        </w:rPr>
        <w:t xml:space="preserve">Reader’s rule:</w:t>
      </w:r>
      <w:r>
        <w:t xml:space="preserve"> </w:t>
      </w:r>
      <w:r>
        <w:t xml:space="preserve">time and tokens describe the coding assistant as configured (model, effort setting, scaffolding and hardware), not the model alone. Codex records no run time, so it is absent from every time figure.</w:t>
      </w:r>
    </w:p>
    <w:bookmarkEnd w:id="9"/>
    <w:bookmarkStart w:id="13" w:name="what-was-measured"/>
    <w:p>
      <w:pPr>
        <w:pStyle w:val="Heading2"/>
      </w:pPr>
      <w:r>
        <w:t xml:space="preserve">What was measured</w:t>
      </w:r>
    </w:p>
    <w:bookmarkStart w:id="10" w:name="source-of-the-numbers"/>
    <w:p>
      <w:pPr>
        <w:pStyle w:val="Heading3"/>
      </w:pPr>
      <w:r>
        <w:t xml:space="preserve">Source of the numbers</w:t>
      </w:r>
    </w:p>
    <w:p>
      <w:pPr>
        <w:pStyle w:val="FirstParagraph"/>
      </w:pPr>
      <w:r>
        <w:t xml:space="preserve">This section distinguishes generation runs, whose reported cost is assigned to the generator, from review runs, whose reported cost is assigned to the reviewer. The report covers 30 generation runs and 48 review runs for each assistant, as summarized in the later completion and cost tables.</w:t>
      </w:r>
    </w:p>
    <w:p>
      <w:pPr>
        <w:pStyle w:val="Compact"/>
        <w:numPr>
          <w:ilvl w:val="0"/>
          <w:numId w:val="1002"/>
        </w:numPr>
      </w:pPr>
      <w:r>
        <w:t xml:space="preserve">A</w:t>
      </w:r>
      <w:r>
        <w:t xml:space="preserve"> </w:t>
      </w:r>
      <w:r>
        <w:rPr>
          <w:b/>
          <w:bCs/>
        </w:rPr>
        <w:t xml:space="preserve">generation run</w:t>
      </w:r>
      <w:r>
        <w:t xml:space="preserve"> </w:t>
      </w:r>
      <w:r>
        <w:t xml:space="preserve">is one assistant writing one program. Its cost belongs to the generator.</w:t>
      </w:r>
    </w:p>
    <w:p>
      <w:pPr>
        <w:pStyle w:val="Compact"/>
        <w:numPr>
          <w:ilvl w:val="0"/>
          <w:numId w:val="1002"/>
        </w:numPr>
      </w:pPr>
      <w:r>
        <w:t xml:space="preserve">A</w:t>
      </w:r>
      <w:r>
        <w:t xml:space="preserve"> </w:t>
      </w:r>
      <w:r>
        <w:rPr>
          <w:b/>
          <w:bCs/>
        </w:rPr>
        <w:t xml:space="preserve">review run</w:t>
      </w:r>
      <w:r>
        <w:t xml:space="preserve"> </w:t>
      </w:r>
      <w:r>
        <w:t xml:space="preserve">is one reviewer reading one program. Its cost belongs to the reviewer.</w:t>
      </w:r>
    </w:p>
    <w:bookmarkEnd w:id="10"/>
    <w:bookmarkStart w:id="11" w:name="X3fb4247fd7629a8a6350ecc3e551eb2ba14b568"/>
    <w:p>
      <w:pPr>
        <w:pStyle w:val="Heading3"/>
      </w:pPr>
      <w:r>
        <w:t xml:space="preserve">Two token measures, one rule for every assistant</w:t>
      </w:r>
    </w:p>
    <w:p>
      <w:pPr>
        <w:pStyle w:val="FirstParagraph"/>
      </w:pPr>
      <w:r>
        <w:t xml:space="preserve">The table sets out what each assistant includes in input, cached and total token counts. It also defines tokens processed consistently as all reported input, cache-related and output tokens available for each assistant.</w:t>
      </w:r>
    </w:p>
    <w:p>
      <w:pPr>
        <w:pStyle w:val="TableCaption"/>
      </w:pPr>
      <w:r>
        <w:t xml:space="preserve">How each assistant reports tokens, and the measure this report derives from them</w:t>
      </w:r>
    </w:p>
    <w:tbl>
      <w:tblPr>
        <w:tblStyle w:val="Table"/>
        <w:tblW w:type="pct" w:w="5000"/>
        <w:tblLayout w:type="fixed"/>
        <w:tblLook w:firstRow="1" w:lastRow="0" w:firstColumn="0" w:lastColumn="0" w:noHBand="0" w:noVBand="0" w:val="0020"/>
        <w:tblCaption w:val="How each assistant reports tokens, and the measure this report derives from them"/>
      </w:tblPr>
      <w:tblGrid>
        <w:gridCol w:w="1584"/>
        <w:gridCol w:w="1584"/>
        <w:gridCol w:w="1584"/>
        <w:gridCol w:w="1584"/>
        <w:gridCol w:w="1584"/>
      </w:tblGrid>
      <w:tr>
        <w:trPr>
          <w:tblHeader w:val="on"/>
        </w:trPr>
        <w:tc>
          <w:tcPr/>
          <w:p>
            <w:pPr>
              <w:pStyle w:val="Compact"/>
              <w:jc w:val="left"/>
            </w:pPr>
            <w:r>
              <w:t xml:space="preserve">Assistant</w:t>
            </w:r>
          </w:p>
        </w:tc>
        <w:tc>
          <w:tcPr/>
          <w:p>
            <w:pPr>
              <w:pStyle w:val="Compact"/>
              <w:jc w:val="left"/>
            </w:pPr>
            <w:r>
              <w:t xml:space="preserve">What</w:t>
            </w:r>
            <w:r>
              <w:t xml:space="preserve"> </w:t>
            </w:r>
            <w:r>
              <w:t xml:space="preserve">“input”</w:t>
            </w:r>
            <w:r>
              <w:t xml:space="preserve"> </w:t>
            </w:r>
            <w:r>
              <w:t xml:space="preserve">counts</w:t>
            </w:r>
          </w:p>
        </w:tc>
        <w:tc>
          <w:tcPr/>
          <w:p>
            <w:pPr>
              <w:pStyle w:val="Compact"/>
              <w:jc w:val="left"/>
            </w:pPr>
            <w:r>
              <w:t xml:space="preserve">Cached tokens</w:t>
            </w:r>
          </w:p>
        </w:tc>
        <w:tc>
          <w:tcPr/>
          <w:p>
            <w:pPr>
              <w:pStyle w:val="Compact"/>
              <w:jc w:val="left"/>
            </w:pPr>
            <w:r>
              <w:t xml:space="preserve">Tool’s own total</w:t>
            </w:r>
          </w:p>
        </w:tc>
        <w:tc>
          <w:tcPr/>
          <w:p>
            <w:pPr>
              <w:pStyle w:val="Compact"/>
              <w:jc w:val="left"/>
            </w:pPr>
            <w:r>
              <w:t xml:space="preserve">Tokens processed, as used here</w:t>
            </w:r>
          </w:p>
        </w:tc>
      </w:tr>
      <w:tr>
        <w:tc>
          <w:tcPr/>
          <w:p>
            <w:pPr>
              <w:pStyle w:val="Compact"/>
              <w:jc w:val="left"/>
            </w:pPr>
            <w:r>
              <w:t xml:space="preserve">Antigravity</w:t>
            </w:r>
          </w:p>
        </w:tc>
        <w:tc>
          <w:tcPr/>
          <w:p>
            <w:pPr>
              <w:pStyle w:val="Compact"/>
              <w:jc w:val="left"/>
            </w:pPr>
            <w:r>
              <w:t xml:space="preserve">input not read from cache</w:t>
            </w:r>
          </w:p>
        </w:tc>
        <w:tc>
          <w:tcPr/>
          <w:p>
            <w:pPr>
              <w:pStyle w:val="Compact"/>
              <w:jc w:val="left"/>
            </w:pPr>
            <w:r>
              <w:t xml:space="preserve">reported separately</w:t>
            </w:r>
          </w:p>
        </w:tc>
        <w:tc>
          <w:tcPr/>
          <w:p>
            <w:pPr>
              <w:pStyle w:val="Compact"/>
              <w:jc w:val="left"/>
            </w:pPr>
            <w:r>
              <w:t xml:space="preserve">input + output</w:t>
            </w:r>
          </w:p>
        </w:tc>
        <w:tc>
          <w:tcPr/>
          <w:p>
            <w:pPr>
              <w:pStyle w:val="Compact"/>
              <w:jc w:val="left"/>
            </w:pPr>
            <w:r>
              <w:t xml:space="preserve">input + cached read + output</w:t>
            </w:r>
          </w:p>
        </w:tc>
      </w:tr>
      <w:tr>
        <w:tc>
          <w:tcPr/>
          <w:p>
            <w:pPr>
              <w:pStyle w:val="Compact"/>
              <w:jc w:val="left"/>
            </w:pPr>
            <w:r>
              <w:t xml:space="preserve">Claude Code</w:t>
            </w:r>
          </w:p>
        </w:tc>
        <w:tc>
          <w:tcPr/>
          <w:p>
            <w:pPr>
              <w:pStyle w:val="Compact"/>
              <w:jc w:val="left"/>
            </w:pPr>
            <w:r>
              <w:t xml:space="preserve">input not read from or written to cache</w:t>
            </w:r>
          </w:p>
        </w:tc>
        <w:tc>
          <w:tcPr/>
          <w:p>
            <w:pPr>
              <w:pStyle w:val="Compact"/>
              <w:jc w:val="left"/>
            </w:pPr>
            <w:r>
              <w:t xml:space="preserve">reported separately, plus cache creation</w:t>
            </w:r>
          </w:p>
        </w:tc>
        <w:tc>
          <w:tcPr/>
          <w:p>
            <w:pPr>
              <w:pStyle w:val="Compact"/>
              <w:jc w:val="left"/>
            </w:pPr>
            <w:r>
              <w:t xml:space="preserve">input + output</w:t>
            </w:r>
          </w:p>
        </w:tc>
        <w:tc>
          <w:tcPr/>
          <w:p>
            <w:pPr>
              <w:pStyle w:val="Compact"/>
              <w:jc w:val="left"/>
            </w:pPr>
            <w:r>
              <w:t xml:space="preserve">input + cache creation + cached read + output</w:t>
            </w:r>
          </w:p>
        </w:tc>
      </w:tr>
      <w:tr>
        <w:tc>
          <w:tcPr/>
          <w:p>
            <w:pPr>
              <w:pStyle w:val="Compact"/>
              <w:jc w:val="left"/>
            </w:pPr>
            <w:r>
              <w:t xml:space="preserve">Codex</w:t>
            </w:r>
          </w:p>
        </w:tc>
        <w:tc>
          <w:tcPr/>
          <w:p>
            <w:pPr>
              <w:pStyle w:val="Compact"/>
              <w:jc w:val="left"/>
            </w:pPr>
            <w:r>
              <w:t xml:space="preserve">all input, cached included</w:t>
            </w:r>
          </w:p>
        </w:tc>
        <w:tc>
          <w:tcPr/>
          <w:p>
            <w:pPr>
              <w:pStyle w:val="Compact"/>
              <w:jc w:val="left"/>
            </w:pPr>
            <w:r>
              <w:t xml:space="preserve">already inside input</w:t>
            </w:r>
          </w:p>
        </w:tc>
        <w:tc>
          <w:tcPr/>
          <w:p>
            <w:pPr>
              <w:pStyle w:val="Compact"/>
              <w:jc w:val="left"/>
            </w:pPr>
            <w:r>
              <w:t xml:space="preserve">input + output</w:t>
            </w:r>
          </w:p>
        </w:tc>
        <w:tc>
          <w:tcPr/>
          <w:p>
            <w:pPr>
              <w:pStyle w:val="Compact"/>
              <w:jc w:val="left"/>
            </w:pPr>
            <w:r>
              <w:t xml:space="preserve">input + output</w:t>
            </w:r>
          </w:p>
        </w:tc>
      </w:tr>
      <w:tr>
        <w:tc>
          <w:tcPr/>
          <w:p>
            <w:pPr>
              <w:pStyle w:val="Compact"/>
              <w:jc w:val="left"/>
            </w:pPr>
            <w:r>
              <w:t xml:space="preserve">Qwen Code</w:t>
            </w:r>
          </w:p>
        </w:tc>
        <w:tc>
          <w:tcPr/>
          <w:p>
            <w:pPr>
              <w:pStyle w:val="Compact"/>
              <w:jc w:val="left"/>
            </w:pPr>
            <w:r>
              <w:t xml:space="preserve">the whole prompt, re-sent on every request</w:t>
            </w:r>
          </w:p>
        </w:tc>
        <w:tc>
          <w:tcPr/>
          <w:p>
            <w:pPr>
              <w:pStyle w:val="Compact"/>
              <w:jc w:val="left"/>
            </w:pPr>
            <w:r>
              <w:t xml:space="preserve">not reported</w:t>
            </w:r>
          </w:p>
        </w:tc>
        <w:tc>
          <w:tcPr/>
          <w:p>
            <w:pPr>
              <w:pStyle w:val="Compact"/>
              <w:jc w:val="left"/>
            </w:pPr>
            <w:r>
              <w:t xml:space="preserve">input + output</w:t>
            </w:r>
          </w:p>
        </w:tc>
        <w:tc>
          <w:tcPr/>
          <w:p>
            <w:pPr>
              <w:pStyle w:val="Compact"/>
              <w:jc w:val="left"/>
            </w:pPr>
            <w:r>
              <w:t xml:space="preserve">input + output</w:t>
            </w:r>
          </w:p>
        </w:tc>
      </w:tr>
    </w:tbl>
    <w:bookmarkEnd w:id="11"/>
    <w:bookmarkStart w:id="12" w:name="gaps-in-the-data"/>
    <w:p>
      <w:pPr>
        <w:pStyle w:val="Heading3"/>
      </w:pPr>
      <w:r>
        <w:t xml:space="preserve">Gaps in the data</w:t>
      </w:r>
    </w:p>
    <w:p>
      <w:pPr>
        <w:pStyle w:val="FirstParagraph"/>
      </w:pPr>
      <w:r>
        <w:t xml:space="preserve">Codex did not report run time, so its time values are missing from the overall table and it does not appear in the time figures. The completion tables also distinguish an ERROR from successful runs that returned an empty reply, preserving both kinds of gaps in the run record.</w:t>
      </w:r>
    </w:p>
    <w:bookmarkEnd w:id="12"/>
    <w:bookmarkEnd w:id="13"/>
    <w:bookmarkStart w:id="16" w:name="sec-run-completion"/>
    <w:p>
      <w:pPr>
        <w:pStyle w:val="Heading2"/>
      </w:pPr>
      <w:r>
        <w:t xml:space="preserve">How the runs finished</w:t>
      </w:r>
    </w:p>
    <w:tbl>
      <w:tblPr>
        <w:tblStyle w:val="Table"/>
        <w:tblW w:type="pct" w:w="5000"/>
        <w:tblLayout w:type="fixed"/>
        <w:tblLook w:firstRow="0" w:lastRow="0" w:firstColumn="0" w:lastColumn="0" w:noHBand="0" w:noVBand="0" w:val="0000"/>
      </w:tblPr>
      <w:tblGrid>
        <w:gridCol w:w="7920"/>
      </w:tblGrid>
      <w:tr>
        <w:tc>
          <w:tcPr/>
          <w:bookmarkStart w:id="14" w:name="tbl-run-completion"/>
          <w:p>
            <w:pPr>
              <w:jc w:val="center"/>
            </w:pPr>
            <w:pPr>
              <w:jc w:val="left"/>
              <w:spacing w:before="200"/>
              <w:pStyle w:val="ImageCaption"/>
            </w:pPr>
            <w:r>
              <w:t xml:space="preserve">Table 1: Run status and empty replies by assistant · All generation and review runs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status SUCCESS</w:t>
                  </w:r>
                </w:p>
              </w:tc>
              <w:tc>
                <w:tcPr/>
                <w:p>
                  <w:pPr>
                    <w:pStyle w:val="Compact"/>
                    <w:jc w:val="right"/>
                    <w:jc w:val="center"/>
                  </w:pPr>
                  <w:r>
                    <w:t xml:space="preserve">status ERROR</w:t>
                  </w:r>
                </w:p>
              </w:tc>
              <w:tc>
                <w:tcPr/>
                <w:p>
                  <w:pPr>
                    <w:pStyle w:val="Compact"/>
                    <w:jc w:val="right"/>
                    <w:jc w:val="center"/>
                  </w:pPr>
                  <w:r>
                    <w:t xml:space="preserve">empty reply</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1</w:t>
                  </w:r>
                </w:p>
              </w:tc>
              <w:tc>
                <w:tcPr/>
                <w:p>
                  <w:pPr>
                    <w:pStyle w:val="Compact"/>
                    <w:jc w:val="right"/>
                    <w:jc w:val="center"/>
                  </w:pPr>
                  <w:r>
                    <w:t xml:space="preserve">7</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30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48</w:t>
                  </w:r>
                </w:p>
              </w:tc>
              <w:tc>
                <w:tcPr/>
                <w:p>
                  <w:pPr>
                    <w:pStyle w:val="Compact"/>
                    <w:jc w:val="right"/>
                    <w:jc w:val="center"/>
                  </w:pPr>
                  <w:r>
                    <w:t xml:space="preserve">0</w:t>
                  </w:r>
                </w:p>
              </w:tc>
              <w:tc>
                <w:tcPr/>
                <w:p>
                  <w:pPr>
                    <w:pStyle w:val="Compact"/>
                    <w:jc w:val="right"/>
                    <w:jc w:val="center"/>
                  </w:pPr>
                  <w:r>
                    <w:t xml:space="preserve">0</w:t>
                  </w:r>
                </w:p>
              </w:tc>
            </w:tr>
          </w:tbl>
          <w:bookmarkEnd w:id="14"/>
          <w:p/>
        </w:tc>
      </w:tr>
    </w:tbl>
    <w:p>
      <w:pPr>
        <w:pStyle w:val="BodyText"/>
      </w:pPr>
      <w:hyperlink w:anchor="tbl-run-completion">
        <w:r>
          <w:rPr>
            <w:rStyle w:val="Hyperlink"/>
          </w:rPr>
          <w:t xml:space="preserve">Table 1</w:t>
        </w:r>
      </w:hyperlink>
      <w:r>
        <w:t xml:space="preserve"> </w:t>
      </w:r>
      <w:r>
        <w:t xml:space="preserve">shows that Claude, Codex and Qwen each completed all 30 generation runs successfully, while Antigravity recorded 29 successes, 1 error and 7 empty replies. All four assistants completed their 48 review runs successfully with 0 empty replies.</w:t>
      </w:r>
    </w:p>
    <w:tbl>
      <w:tblPr>
        <w:tblStyle w:val="Table"/>
        <w:tblW w:type="pct" w:w="5000"/>
        <w:tblLayout w:type="fixed"/>
        <w:tblLook w:firstRow="0" w:lastRow="0" w:firstColumn="0" w:lastColumn="0" w:noHBand="0" w:noVBand="0" w:val="0000"/>
      </w:tblPr>
      <w:tblGrid>
        <w:gridCol w:w="7920"/>
      </w:tblGrid>
      <w:tr>
        <w:tc>
          <w:tcPr/>
          <w:bookmarkStart w:id="15" w:name="tbl-run-problems"/>
          <w:p>
            <w:pPr>
              <w:jc w:val="center"/>
            </w:pPr>
            <w:pPr>
              <w:jc w:val="left"/>
              <w:spacing w:before="200"/>
              <w:pStyle w:val="ImageCaption"/>
            </w:pPr>
            <w:r>
              <w:t xml:space="preserve">Table 2: Runs that ended in ERROR or returned no reply · All generation and review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run</w:t>
                  </w:r>
                </w:p>
              </w:tc>
              <w:tc>
                <w:tcPr/>
                <w:p>
                  <w:pPr>
                    <w:pStyle w:val="Compact"/>
                    <w:jc w:val="left"/>
                    <w:jc w:val="center"/>
                  </w:pPr>
                  <w:r>
                    <w:t xml:space="preserve">stage</w:t>
                  </w:r>
                </w:p>
              </w:tc>
              <w:tc>
                <w:tcPr/>
                <w:p>
                  <w:pPr>
                    <w:pStyle w:val="Compact"/>
                    <w:jc w:val="left"/>
                    <w:jc w:val="center"/>
                  </w:pPr>
                  <w:r>
                    <w:t xml:space="preserve">status</w:t>
                  </w:r>
                </w:p>
              </w:tc>
              <w:tc>
                <w:tcPr/>
                <w:p>
                  <w:pPr>
                    <w:pStyle w:val="Compact"/>
                    <w:jc w:val="left"/>
                    <w:jc w:val="center"/>
                  </w:pPr>
                  <w:r>
                    <w:t xml:space="preserve">empty reply</w:t>
                  </w:r>
                </w:p>
              </w:tc>
              <w:tc>
                <w:tcPr/>
                <w:p>
                  <w:pPr>
                    <w:pStyle w:val="Compact"/>
                    <w:jc w:val="right"/>
                    <w:jc w:val="center"/>
                  </w:pPr>
                  <w:r>
                    <w:t xml:space="preserve">minutes</w:t>
                  </w:r>
                </w:p>
              </w:tc>
            </w:tr>
            <w:tr>
              <w:tc>
                <w:tcPr/>
                <w:p>
                  <w:pPr>
                    <w:pStyle w:val="Compact"/>
                    <w:jc w:val="left"/>
                    <w:jc w:val="center"/>
                  </w:pPr>
                  <w:r>
                    <w:t xml:space="preserve">agy/post_research/1/security/</w:t>
                  </w:r>
                </w:p>
              </w:tc>
              <w:tc>
                <w:tcPr/>
                <w:p>
                  <w:pPr>
                    <w:pStyle w:val="Compact"/>
                    <w:jc w:val="left"/>
                    <w:jc w:val="center"/>
                  </w:pPr>
                  <w:r>
                    <w:t xml:space="preserve">generation</w:t>
                  </w:r>
                </w:p>
              </w:tc>
              <w:tc>
                <w:tcPr/>
                <w:p>
                  <w:pPr>
                    <w:pStyle w:val="Compact"/>
                    <w:jc w:val="left"/>
                    <w:jc w:val="center"/>
                  </w:pPr>
                  <w:r>
                    <w:t xml:space="preserve">ERROR</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agy/ruth/5/basic/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5.0</w:t>
                  </w:r>
                </w:p>
              </w:tc>
            </w:tr>
            <w:tr>
              <w:tc>
                <w:tcPr/>
                <w:p>
                  <w:pPr>
                    <w:pStyle w:val="Compact"/>
                    <w:jc w:val="left"/>
                    <w:jc w:val="center"/>
                  </w:pPr>
                  <w:r>
                    <w:t xml:space="preserve">agy/ruth/5/security/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agy/sallie/1/security/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4.8</w:t>
                  </w:r>
                </w:p>
              </w:tc>
            </w:tr>
            <w:tr>
              <w:tc>
                <w:tcPr/>
                <w:p>
                  <w:pPr>
                    <w:pStyle w:val="Compact"/>
                    <w:jc w:val="left"/>
                    <w:jc w:val="center"/>
                  </w:pPr>
                  <w:r>
                    <w:t xml:space="preserve">agy/sallie/3/basic/</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r>
              <w:tc>
                <w:tcPr/>
                <w:p>
                  <w:pPr>
                    <w:pStyle w:val="Compact"/>
                    <w:jc w:val="left"/>
                    <w:jc w:val="center"/>
                  </w:pPr>
                  <w:r>
                    <w:t xml:space="preserve">agy/sallie/3/security/</w:t>
                  </w:r>
                </w:p>
              </w:tc>
              <w:tc>
                <w:tcPr/>
                <w:p>
                  <w:pPr>
                    <w:pStyle w:val="Compact"/>
                    <w:jc w:val="left"/>
                    <w:jc w:val="center"/>
                  </w:pPr>
                  <w:r>
                    <w:t xml:space="preserve">generation</w:t>
                  </w:r>
                </w:p>
              </w:tc>
              <w:tc>
                <w:tcPr/>
                <w:p>
                  <w:pPr>
                    <w:pStyle w:val="Compact"/>
                    <w:jc w:val="left"/>
                    <w:jc w:val="center"/>
                  </w:pPr>
                  <w:r>
                    <w:t xml:space="preserve">SUCCESS</w:t>
                  </w:r>
                </w:p>
              </w:tc>
              <w:tc>
                <w:tcPr/>
                <w:p>
                  <w:pPr>
                    <w:pStyle w:val="Compact"/>
                    <w:jc w:val="left"/>
                    <w:jc w:val="center"/>
                  </w:pPr>
                  <w:r>
                    <w:t xml:space="preserve">yes</w:t>
                  </w:r>
                </w:p>
              </w:tc>
              <w:tc>
                <w:tcPr/>
                <w:p>
                  <w:pPr>
                    <w:pStyle w:val="Compact"/>
                    <w:jc w:val="right"/>
                    <w:jc w:val="center"/>
                  </w:pPr>
                  <w:r>
                    <w:t xml:space="preserve">4.9</w:t>
                  </w:r>
                </w:p>
              </w:tc>
            </w:tr>
          </w:tbl>
          <w:bookmarkEnd w:id="15"/>
          <w:p/>
        </w:tc>
      </w:tr>
    </w:tbl>
    <w:p>
      <w:pPr>
        <w:pStyle w:val="BodyText"/>
      </w:pPr>
      <w:r>
        <w:t xml:space="preserve">All seven problem entries in</w:t>
      </w:r>
      <w:r>
        <w:t xml:space="preserve"> </w:t>
      </w:r>
      <w:hyperlink w:anchor="tbl-run-problems">
        <w:r>
          <w:rPr>
            <w:rStyle w:val="Hyperlink"/>
          </w:rPr>
          <w:t xml:space="preserve">Table 2</w:t>
        </w:r>
      </w:hyperlink>
      <w:r>
        <w:t xml:space="preserve"> </w:t>
      </w:r>
      <w:r>
        <w:t xml:space="preserve">are Antigravity generation runs: 1 ended in ERROR and 6 had SUCCESS status with an empty reply. Their reported times range from 4.8 to 5.0 minutes.</w:t>
      </w:r>
    </w:p>
    <w:bookmarkEnd w:id="16"/>
    <w:bookmarkStart w:id="18" w:name="sec-run-overall"/>
    <w:p>
      <w:pPr>
        <w:pStyle w:val="Heading2"/>
      </w:pPr>
      <w:r>
        <w:t xml:space="preserve">Overall cost per assistant</w:t>
      </w:r>
    </w:p>
    <w:tbl>
      <w:tblPr>
        <w:tblStyle w:val="Table"/>
        <w:tblW w:type="pct" w:w="5000"/>
        <w:tblLayout w:type="fixed"/>
        <w:tblLook w:firstRow="0" w:lastRow="0" w:firstColumn="0" w:lastColumn="0" w:noHBand="0" w:noVBand="0" w:val="0000"/>
      </w:tblPr>
      <w:tblGrid>
        <w:gridCol w:w="7920"/>
      </w:tblGrid>
      <w:tr>
        <w:tc>
          <w:tcPr/>
          <w:bookmarkStart w:id="17" w:name="tbl-run-headline"/>
          <w:p>
            <w:pPr>
              <w:jc w:val="center"/>
            </w:pPr>
            <w:pPr>
              <w:jc w:val="left"/>
              <w:spacing w:before="200"/>
              <w:pStyle w:val="ImageCaption"/>
            </w:pPr>
            <w:r>
              <w:t xml:space="preserve">Table 3: Time and tokens per assistant · All generation runs (by generator) and all review runs (by reviewer); Codex records no time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assistant</w:t>
                  </w:r>
                </w:p>
              </w:tc>
              <w:tc>
                <w:tcPr/>
                <w:p>
                  <w:pPr>
                    <w:pStyle w:val="Compact"/>
                    <w:jc w:val="left"/>
                    <w:jc w:val="center"/>
                  </w:pPr>
                  <w:r>
                    <w:t xml:space="preserve">stage</w:t>
                  </w:r>
                </w:p>
              </w:tc>
              <w:tc>
                <w:tcPr/>
                <w:p>
                  <w:pPr>
                    <w:pStyle w:val="Compact"/>
                    <w:jc w:val="right"/>
                    <w:jc w:val="center"/>
                  </w:pPr>
                  <w:r>
                    <w:t xml:space="preserve">runs</w:t>
                  </w:r>
                </w:p>
              </w:tc>
              <w:tc>
                <w:tcPr/>
                <w:p>
                  <w:pPr>
                    <w:pStyle w:val="Compact"/>
                    <w:jc w:val="right"/>
                    <w:jc w:val="center"/>
                  </w:pPr>
                  <w:r>
                    <w:t xml:space="preserve">total hours</w:t>
                  </w:r>
                </w:p>
              </w:tc>
              <w:tc>
                <w:tcPr/>
                <w:p>
                  <w:pPr>
                    <w:pStyle w:val="Compact"/>
                    <w:jc w:val="right"/>
                    <w:jc w:val="center"/>
                  </w:pPr>
                  <w:r>
                    <w:t xml:space="preserve">mean minutes per run</w:t>
                  </w:r>
                </w:p>
              </w:tc>
              <w:tc>
                <w:tcPr/>
                <w:p>
                  <w:pPr>
                    <w:pStyle w:val="Compact"/>
                    <w:jc w:val="right"/>
                    <w:jc w:val="center"/>
                  </w:pPr>
                  <w:r>
                    <w:t xml:space="preserve">total tokens processed (M)</w:t>
                  </w:r>
                </w:p>
              </w:tc>
              <w:tc>
                <w:tcPr/>
                <w:p>
                  <w:pPr>
                    <w:pStyle w:val="Compact"/>
                    <w:jc w:val="right"/>
                    <w:jc w:val="center"/>
                  </w:pPr>
                  <w:r>
                    <w:t xml:space="preserve">mean tokens processed per run (M)</w:t>
                  </w:r>
                </w:p>
              </w:tc>
              <w:tc>
                <w:tcPr/>
                <w:p>
                  <w:pPr>
                    <w:pStyle w:val="Compact"/>
                    <w:jc w:val="right"/>
                    <w:jc w:val="center"/>
                  </w:pPr>
                  <w:r>
                    <w:t xml:space="preserve">mean tokens generated per run (k)</w:t>
                  </w:r>
                </w:p>
              </w:tc>
            </w:tr>
            <w:tr>
              <w:tc>
                <w:tcPr/>
                <w:p>
                  <w:pPr>
                    <w:pStyle w:val="Compact"/>
                    <w:jc w:val="left"/>
                    <w:jc w:val="center"/>
                  </w:pPr>
                  <w:r>
                    <w:t xml:space="preserve">agy</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2.47</w:t>
                  </w:r>
                </w:p>
              </w:tc>
              <w:tc>
                <w:tcPr/>
                <w:p>
                  <w:pPr>
                    <w:pStyle w:val="Compact"/>
                    <w:jc w:val="right"/>
                    <w:jc w:val="center"/>
                  </w:pPr>
                  <w:r>
                    <w:t xml:space="preserve">4.95</w:t>
                  </w:r>
                </w:p>
              </w:tc>
              <w:tc>
                <w:tcPr/>
                <w:p>
                  <w:pPr>
                    <w:pStyle w:val="Compact"/>
                    <w:jc w:val="right"/>
                    <w:jc w:val="center"/>
                  </w:pPr>
                  <w:r>
                    <w:t xml:space="preserve">68.09</w:t>
                  </w:r>
                </w:p>
              </w:tc>
              <w:tc>
                <w:tcPr/>
                <w:p>
                  <w:pPr>
                    <w:pStyle w:val="Compact"/>
                    <w:jc w:val="right"/>
                    <w:jc w:val="center"/>
                  </w:pPr>
                  <w:r>
                    <w:t xml:space="preserve">2.27</w:t>
                  </w:r>
                </w:p>
              </w:tc>
              <w:tc>
                <w:tcPr/>
                <w:p>
                  <w:pPr>
                    <w:pStyle w:val="Compact"/>
                    <w:jc w:val="right"/>
                    <w:jc w:val="center"/>
                  </w:pPr>
                  <w:r>
                    <w:t xml:space="preserve">45.8</w:t>
                  </w:r>
                </w:p>
              </w:tc>
            </w:tr>
            <w:tr>
              <w:tc>
                <w:tcPr/>
                <w:p>
                  <w:pPr>
                    <w:pStyle w:val="Compact"/>
                    <w:jc w:val="left"/>
                    <w:jc w:val="center"/>
                  </w:pPr>
                  <w:r>
                    <w:t xml:space="preserve">agy</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3.73</w:t>
                  </w:r>
                </w:p>
              </w:tc>
              <w:tc>
                <w:tcPr/>
                <w:p>
                  <w:pPr>
                    <w:pStyle w:val="Compact"/>
                    <w:jc w:val="right"/>
                    <w:jc w:val="center"/>
                  </w:pPr>
                  <w:r>
                    <w:t xml:space="preserve">4.66</w:t>
                  </w:r>
                </w:p>
              </w:tc>
              <w:tc>
                <w:tcPr/>
                <w:p>
                  <w:pPr>
                    <w:pStyle w:val="Compact"/>
                    <w:jc w:val="right"/>
                    <w:jc w:val="center"/>
                  </w:pPr>
                  <w:r>
                    <w:t xml:space="preserve">141.09</w:t>
                  </w:r>
                </w:p>
              </w:tc>
              <w:tc>
                <w:tcPr/>
                <w:p>
                  <w:pPr>
                    <w:pStyle w:val="Compact"/>
                    <w:jc w:val="right"/>
                    <w:jc w:val="center"/>
                  </w:pPr>
                  <w:r>
                    <w:t xml:space="preserve">2.94</w:t>
                  </w:r>
                </w:p>
              </w:tc>
              <w:tc>
                <w:tcPr/>
                <w:p>
                  <w:pPr>
                    <w:pStyle w:val="Compact"/>
                    <w:jc w:val="right"/>
                    <w:jc w:val="center"/>
                  </w:pPr>
                  <w:r>
                    <w:t xml:space="preserve">51.45</w:t>
                  </w:r>
                </w:p>
              </w:tc>
            </w:tr>
            <w:tr>
              <w:tc>
                <w:tcPr/>
                <w:p>
                  <w:pPr>
                    <w:pStyle w:val="Compact"/>
                    <w:jc w:val="left"/>
                    <w:jc w:val="center"/>
                  </w:pPr>
                  <w:r>
                    <w:t xml:space="preserve">claude</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2.84</w:t>
                  </w:r>
                </w:p>
              </w:tc>
              <w:tc>
                <w:tcPr/>
                <w:p>
                  <w:pPr>
                    <w:pStyle w:val="Compact"/>
                    <w:jc w:val="right"/>
                    <w:jc w:val="center"/>
                  </w:pPr>
                  <w:r>
                    <w:t xml:space="preserve">5.68</w:t>
                  </w:r>
                </w:p>
              </w:tc>
              <w:tc>
                <w:tcPr/>
                <w:p>
                  <w:pPr>
                    <w:pStyle w:val="Compact"/>
                    <w:jc w:val="right"/>
                    <w:jc w:val="center"/>
                  </w:pPr>
                  <w:r>
                    <w:t xml:space="preserve">15.81</w:t>
                  </w:r>
                </w:p>
              </w:tc>
              <w:tc>
                <w:tcPr/>
                <w:p>
                  <w:pPr>
                    <w:pStyle w:val="Compact"/>
                    <w:jc w:val="right"/>
                    <w:jc w:val="center"/>
                  </w:pPr>
                  <w:r>
                    <w:t xml:space="preserve">0.53</w:t>
                  </w:r>
                </w:p>
              </w:tc>
              <w:tc>
                <w:tcPr/>
                <w:p>
                  <w:pPr>
                    <w:pStyle w:val="Compact"/>
                    <w:jc w:val="right"/>
                    <w:jc w:val="center"/>
                  </w:pPr>
                  <w:r>
                    <w:t xml:space="preserve">27.11</w:t>
                  </w:r>
                </w:p>
              </w:tc>
            </w:tr>
            <w:tr>
              <w:tc>
                <w:tcPr/>
                <w:p>
                  <w:pPr>
                    <w:pStyle w:val="Compact"/>
                    <w:jc w:val="left"/>
                    <w:jc w:val="center"/>
                  </w:pPr>
                  <w:r>
                    <w:t xml:space="preserve">claude</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5.3</w:t>
                  </w:r>
                </w:p>
              </w:tc>
              <w:tc>
                <w:tcPr/>
                <w:p>
                  <w:pPr>
                    <w:pStyle w:val="Compact"/>
                    <w:jc w:val="right"/>
                    <w:jc w:val="center"/>
                  </w:pPr>
                  <w:r>
                    <w:t xml:space="preserve">6.63</w:t>
                  </w:r>
                </w:p>
              </w:tc>
              <w:tc>
                <w:tcPr/>
                <w:p>
                  <w:pPr>
                    <w:pStyle w:val="Compact"/>
                    <w:jc w:val="right"/>
                    <w:jc w:val="center"/>
                  </w:pPr>
                  <w:r>
                    <w:t xml:space="preserve">56.78</w:t>
                  </w:r>
                </w:p>
              </w:tc>
              <w:tc>
                <w:tcPr/>
                <w:p>
                  <w:pPr>
                    <w:pStyle w:val="Compact"/>
                    <w:jc w:val="right"/>
                    <w:jc w:val="center"/>
                  </w:pPr>
                  <w:r>
                    <w:t xml:space="preserve">1.18</w:t>
                  </w:r>
                </w:p>
              </w:tc>
              <w:tc>
                <w:tcPr/>
                <w:p>
                  <w:pPr>
                    <w:pStyle w:val="Compact"/>
                    <w:jc w:val="right"/>
                    <w:jc w:val="center"/>
                  </w:pPr>
                  <w:r>
                    <w:t xml:space="preserve">28.25</w:t>
                  </w:r>
                </w:p>
              </w:tc>
            </w:tr>
            <w:tr>
              <w:tc>
                <w:tcPr/>
                <w:p>
                  <w:pPr>
                    <w:pStyle w:val="Compact"/>
                    <w:jc w:val="left"/>
                    <w:jc w:val="center"/>
                  </w:pPr>
                  <w:r>
                    <w:t xml:space="preserve">codex</w:t>
                  </w:r>
                </w:p>
              </w:tc>
              <w:tc>
                <w:tcPr/>
                <w:p>
                  <w:pPr>
                    <w:pStyle w:val="Compact"/>
                    <w:jc w:val="left"/>
                    <w:jc w:val="center"/>
                  </w:pPr>
                  <w:r>
                    <w:t xml:space="preserve">generation</w:t>
                  </w:r>
                </w:p>
              </w:tc>
              <w:tc>
                <w:tcPr/>
                <w:p>
                  <w:pPr>
                    <w:pStyle w:val="Compact"/>
                    <w:jc w:val="right"/>
                    <w:jc w:val="center"/>
                  </w:pPr>
                  <w:r>
                    <w:t xml:space="preserve">30</w:t>
                  </w:r>
                </w:p>
              </w:tc>
              <w:tc>
                <w:tcPr/>
                <w:p>
                  <w:pPr>
                    <w:pStyle w:val="Compact"/>
                  </w:pPr>
                </w:p>
              </w:tc>
              <w:tc>
                <w:tcPr/>
                <w:p>
                  <w:pPr>
                    <w:pStyle w:val="Compact"/>
                  </w:pPr>
                </w:p>
              </w:tc>
              <w:tc>
                <w:tcPr/>
                <w:p>
                  <w:pPr>
                    <w:pStyle w:val="Compact"/>
                    <w:jc w:val="right"/>
                    <w:jc w:val="center"/>
                  </w:pPr>
                  <w:r>
                    <w:t xml:space="preserve">8.28</w:t>
                  </w:r>
                </w:p>
              </w:tc>
              <w:tc>
                <w:tcPr/>
                <w:p>
                  <w:pPr>
                    <w:pStyle w:val="Compact"/>
                    <w:jc w:val="right"/>
                    <w:jc w:val="center"/>
                  </w:pPr>
                  <w:r>
                    <w:t xml:space="preserve">0.28</w:t>
                  </w:r>
                </w:p>
              </w:tc>
              <w:tc>
                <w:tcPr/>
                <w:p>
                  <w:pPr>
                    <w:pStyle w:val="Compact"/>
                    <w:jc w:val="right"/>
                    <w:jc w:val="center"/>
                  </w:pPr>
                  <w:r>
                    <w:t xml:space="preserve">8.13</w:t>
                  </w:r>
                </w:p>
              </w:tc>
            </w:tr>
            <w:tr>
              <w:tc>
                <w:tcPr/>
                <w:p>
                  <w:pPr>
                    <w:pStyle w:val="Compact"/>
                    <w:jc w:val="left"/>
                    <w:jc w:val="center"/>
                  </w:pPr>
                  <w:r>
                    <w:t xml:space="preserve">codex</w:t>
                  </w:r>
                </w:p>
              </w:tc>
              <w:tc>
                <w:tcPr/>
                <w:p>
                  <w:pPr>
                    <w:pStyle w:val="Compact"/>
                    <w:jc w:val="left"/>
                    <w:jc w:val="center"/>
                  </w:pPr>
                  <w:r>
                    <w:t xml:space="preserve">review</w:t>
                  </w:r>
                </w:p>
              </w:tc>
              <w:tc>
                <w:tcPr/>
                <w:p>
                  <w:pPr>
                    <w:pStyle w:val="Compact"/>
                    <w:jc w:val="right"/>
                    <w:jc w:val="center"/>
                  </w:pPr>
                  <w:r>
                    <w:t xml:space="preserve">48</w:t>
                  </w:r>
                </w:p>
              </w:tc>
              <w:tc>
                <w:tcPr/>
                <w:p>
                  <w:pPr>
                    <w:pStyle w:val="Compact"/>
                  </w:pPr>
                </w:p>
              </w:tc>
              <w:tc>
                <w:tcPr/>
                <w:p>
                  <w:pPr>
                    <w:pStyle w:val="Compact"/>
                  </w:pPr>
                </w:p>
              </w:tc>
              <w:tc>
                <w:tcPr/>
                <w:p>
                  <w:pPr>
                    <w:pStyle w:val="Compact"/>
                    <w:jc w:val="right"/>
                    <w:jc w:val="center"/>
                  </w:pPr>
                  <w:r>
                    <w:t xml:space="preserve">65.42</w:t>
                  </w:r>
                </w:p>
              </w:tc>
              <w:tc>
                <w:tcPr/>
                <w:p>
                  <w:pPr>
                    <w:pStyle w:val="Compact"/>
                    <w:jc w:val="right"/>
                    <w:jc w:val="center"/>
                  </w:pPr>
                  <w:r>
                    <w:t xml:space="preserve">1.36</w:t>
                  </w:r>
                </w:p>
              </w:tc>
              <w:tc>
                <w:tcPr/>
                <w:p>
                  <w:pPr>
                    <w:pStyle w:val="Compact"/>
                    <w:jc w:val="right"/>
                    <w:jc w:val="center"/>
                  </w:pPr>
                  <w:r>
                    <w:t xml:space="preserve">13.28</w:t>
                  </w:r>
                </w:p>
              </w:tc>
            </w:tr>
            <w:tr>
              <w:tc>
                <w:tcPr/>
                <w:p>
                  <w:pPr>
                    <w:pStyle w:val="Compact"/>
                    <w:jc w:val="left"/>
                    <w:jc w:val="center"/>
                  </w:pPr>
                  <w:r>
                    <w:t xml:space="preserve">qwen</w:t>
                  </w:r>
                </w:p>
              </w:tc>
              <w:tc>
                <w:tcPr/>
                <w:p>
                  <w:pPr>
                    <w:pStyle w:val="Compact"/>
                    <w:jc w:val="left"/>
                    <w:jc w:val="center"/>
                  </w:pPr>
                  <w:r>
                    <w:t xml:space="preserve">generation</w:t>
                  </w:r>
                </w:p>
              </w:tc>
              <w:tc>
                <w:tcPr/>
                <w:p>
                  <w:pPr>
                    <w:pStyle w:val="Compact"/>
                    <w:jc w:val="right"/>
                    <w:jc w:val="center"/>
                  </w:pPr>
                  <w:r>
                    <w:t xml:space="preserve">30</w:t>
                  </w:r>
                </w:p>
              </w:tc>
              <w:tc>
                <w:tcPr/>
                <w:p>
                  <w:pPr>
                    <w:pStyle w:val="Compact"/>
                    <w:jc w:val="right"/>
                    <w:jc w:val="center"/>
                  </w:pPr>
                  <w:r>
                    <w:t xml:space="preserve">50.98</w:t>
                  </w:r>
                </w:p>
              </w:tc>
              <w:tc>
                <w:tcPr/>
                <w:p>
                  <w:pPr>
                    <w:pStyle w:val="Compact"/>
                    <w:jc w:val="right"/>
                    <w:jc w:val="center"/>
                  </w:pPr>
                  <w:r>
                    <w:t xml:space="preserve">101.96</w:t>
                  </w:r>
                </w:p>
              </w:tc>
              <w:tc>
                <w:tcPr/>
                <w:p>
                  <w:pPr>
                    <w:pStyle w:val="Compact"/>
                    <w:jc w:val="right"/>
                    <w:jc w:val="center"/>
                  </w:pPr>
                  <w:r>
                    <w:t xml:space="preserve">709.11</w:t>
                  </w:r>
                </w:p>
              </w:tc>
              <w:tc>
                <w:tcPr/>
                <w:p>
                  <w:pPr>
                    <w:pStyle w:val="Compact"/>
                    <w:jc w:val="right"/>
                    <w:jc w:val="center"/>
                  </w:pPr>
                  <w:r>
                    <w:t xml:space="preserve">23.64</w:t>
                  </w:r>
                </w:p>
              </w:tc>
              <w:tc>
                <w:tcPr/>
                <w:p>
                  <w:pPr>
                    <w:pStyle w:val="Compact"/>
                    <w:jc w:val="right"/>
                    <w:jc w:val="center"/>
                  </w:pPr>
                  <w:r>
                    <w:t xml:space="preserve">233.91</w:t>
                  </w:r>
                </w:p>
              </w:tc>
            </w:tr>
            <w:tr>
              <w:tc>
                <w:tcPr/>
                <w:p>
                  <w:pPr>
                    <w:pStyle w:val="Compact"/>
                    <w:jc w:val="left"/>
                    <w:jc w:val="center"/>
                  </w:pPr>
                  <w:r>
                    <w:t xml:space="preserve">qwen</w:t>
                  </w:r>
                </w:p>
              </w:tc>
              <w:tc>
                <w:tcPr/>
                <w:p>
                  <w:pPr>
                    <w:pStyle w:val="Compact"/>
                    <w:jc w:val="left"/>
                    <w:jc w:val="center"/>
                  </w:pPr>
                  <w:r>
                    <w:t xml:space="preserve">review</w:t>
                  </w:r>
                </w:p>
              </w:tc>
              <w:tc>
                <w:tcPr/>
                <w:p>
                  <w:pPr>
                    <w:pStyle w:val="Compact"/>
                    <w:jc w:val="right"/>
                    <w:jc w:val="center"/>
                  </w:pPr>
                  <w:r>
                    <w:t xml:space="preserve">48</w:t>
                  </w:r>
                </w:p>
              </w:tc>
              <w:tc>
                <w:tcPr/>
                <w:p>
                  <w:pPr>
                    <w:pStyle w:val="Compact"/>
                    <w:jc w:val="right"/>
                    <w:jc w:val="center"/>
                  </w:pPr>
                  <w:r>
                    <w:t xml:space="preserve">34.53</w:t>
                  </w:r>
                </w:p>
              </w:tc>
              <w:tc>
                <w:tcPr/>
                <w:p>
                  <w:pPr>
                    <w:pStyle w:val="Compact"/>
                    <w:jc w:val="right"/>
                    <w:jc w:val="center"/>
                  </w:pPr>
                  <w:r>
                    <w:t xml:space="preserve">43.17</w:t>
                  </w:r>
                </w:p>
              </w:tc>
              <w:tc>
                <w:tcPr/>
                <w:p>
                  <w:pPr>
                    <w:pStyle w:val="Compact"/>
                    <w:jc w:val="right"/>
                    <w:jc w:val="center"/>
                  </w:pPr>
                  <w:r>
                    <w:t xml:space="preserve">402.96</w:t>
                  </w:r>
                </w:p>
              </w:tc>
              <w:tc>
                <w:tcPr/>
                <w:p>
                  <w:pPr>
                    <w:pStyle w:val="Compact"/>
                    <w:jc w:val="right"/>
                    <w:jc w:val="center"/>
                  </w:pPr>
                  <w:r>
                    <w:t xml:space="preserve">8.39</w:t>
                  </w:r>
                </w:p>
              </w:tc>
              <w:tc>
                <w:tcPr/>
                <w:p>
                  <w:pPr>
                    <w:pStyle w:val="Compact"/>
                    <w:jc w:val="right"/>
                    <w:jc w:val="center"/>
                  </w:pPr>
                  <w:r>
                    <w:t xml:space="preserve">98.67</w:t>
                  </w:r>
                </w:p>
              </w:tc>
            </w:tr>
          </w:tbl>
          <w:bookmarkEnd w:id="17"/>
          <w:p/>
        </w:tc>
      </w:tr>
    </w:tbl>
    <w:p>
      <w:pPr>
        <w:pStyle w:val="BodyText"/>
      </w:pPr>
      <w:hyperlink w:anchor="tbl-run-headline">
        <w:r>
          <w:rPr>
            <w:rStyle w:val="Hyperlink"/>
          </w:rPr>
          <w:t xml:space="preserve">Table 3</w:t>
        </w:r>
      </w:hyperlink>
      <w:r>
        <w:t xml:space="preserve"> </w:t>
      </w:r>
      <w:r>
        <w:t xml:space="preserve">shows that Qwen generation had the largest reported totals at 50.98 hours and 709.11 million tokens processed, with means of 101.96 minutes and 23.64 million processed tokens per run. For review, Qwen reported 34.53 hours and 402.96 million processed tokens, while Codex review time was not reported and its 48 reviews processed 65.42 million tokens.</w:t>
      </w:r>
    </w:p>
    <w:bookmarkEnd w:id="18"/>
    <w:bookmarkStart w:id="35" w:name="sec-run-generation"/>
    <w:p>
      <w:pPr>
        <w:pStyle w:val="Heading2"/>
      </w:pPr>
      <w:r>
        <w:t xml:space="preserve">Generation</w:t>
      </w:r>
    </w:p>
    <w:tbl>
      <w:tblPr>
        <w:tblStyle w:val="Table"/>
        <w:tblW w:type="pct" w:w="5000"/>
        <w:tblLayout w:type="fixed"/>
        <w:tblLook w:firstRow="0" w:lastRow="0" w:firstColumn="0" w:lastColumn="0" w:noHBand="0" w:noVBand="0" w:val="0000"/>
      </w:tblPr>
      <w:tblGrid>
        <w:gridCol w:w="7920"/>
      </w:tblGrid>
      <w:tr>
        <w:tc>
          <w:tcPr/>
          <w:bookmarkStart w:id="22" w:name="fig-run-gen-time"/>
          <w:p>
            <w:pPr>
              <w:pStyle w:val="Compact"/>
              <w:jc w:val="center"/>
            </w:pPr>
            <w:r>
              <w:drawing>
                <wp:inline>
                  <wp:extent cx="5334000" cy="2642326"/>
                  <wp:effectExtent b="0" l="0" r="0" t="0"/>
                  <wp:docPr descr="" title="" id="20" name="Picture"/>
                  <a:graphic>
                    <a:graphicData uri="http://schemas.openxmlformats.org/drawingml/2006/picture">
                      <pic:pic>
                        <pic:nvPicPr>
                          <pic:cNvPr descr="final_report_run_cost_files/figure-docx/fig-run-gen-time-output-1.png" id="21" name="Picture"/>
                          <pic:cNvPicPr>
                            <a:picLocks noChangeArrowheads="1" noChangeAspect="1"/>
                          </pic:cNvPicPr>
                        </pic:nvPicPr>
                        <pic:blipFill>
                          <a:blip r:embed="rId19"/>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minutes per program by generator and condition · All generation runs; Codex records no time</w:t>
            </w:r>
          </w:p>
          <w:bookmarkEnd w:id="22"/>
        </w:tc>
      </w:tr>
    </w:tbl>
    <w:p>
      <w:pPr>
        <w:pStyle w:val="BodyText"/>
      </w:pPr>
      <w:hyperlink w:anchor="fig-run-gen-time">
        <w:r>
          <w:rPr>
            <w:rStyle w:val="Hyperlink"/>
          </w:rPr>
          <w:t xml:space="preserve">Figure 1</w:t>
        </w:r>
      </w:hyperlink>
      <w:r>
        <w:t xml:space="preserve"> </w:t>
      </w:r>
      <w:r>
        <w:t xml:space="preserve">shows Qwen taking much longer per generated program than Antigravity or Claude, especially in the security-informed condition. Antigravity and Claude also take longer in the security-informed condition than in their other two conditions; Codex is absent because its time was not reported.</w:t>
      </w:r>
    </w:p>
    <w:tbl>
      <w:tblPr>
        <w:tblStyle w:val="Table"/>
        <w:tblW w:type="pct" w:w="5000"/>
        <w:tblLayout w:type="fixed"/>
        <w:tblLook w:firstRow="0" w:lastRow="0" w:firstColumn="0" w:lastColumn="0" w:noHBand="0" w:noVBand="0" w:val="0000"/>
      </w:tblPr>
      <w:tblGrid>
        <w:gridCol w:w="7920"/>
      </w:tblGrid>
      <w:tr>
        <w:tc>
          <w:tcPr/>
          <w:bookmarkStart w:id="26" w:name="fig-run-gen-tokens"/>
          <w:p>
            <w:pPr>
              <w:pStyle w:val="Compact"/>
              <w:jc w:val="center"/>
            </w:pPr>
            <w:r>
              <w:drawing>
                <wp:inline>
                  <wp:extent cx="5334000" cy="2642326"/>
                  <wp:effectExtent b="0" l="0" r="0" t="0"/>
                  <wp:docPr descr="" title="" id="24" name="Picture"/>
                  <a:graphic>
                    <a:graphicData uri="http://schemas.openxmlformats.org/drawingml/2006/picture">
                      <pic:pic>
                        <pic:nvPicPr>
                          <pic:cNvPr descr="final_report_run_cost_files/figure-docx/fig-run-gen-tokens-output-1.png" id="25" name="Picture"/>
                          <pic:cNvPicPr>
                            <a:picLocks noChangeArrowheads="1" noChangeAspect="1"/>
                          </pic:cNvPicPr>
                        </pic:nvPicPr>
                        <pic:blipFill>
                          <a:blip r:embed="rId23"/>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tokens processed per program by generator and condition · All generation runs</w:t>
            </w:r>
          </w:p>
          <w:bookmarkEnd w:id="26"/>
        </w:tc>
      </w:tr>
    </w:tbl>
    <w:p>
      <w:pPr>
        <w:pStyle w:val="BodyText"/>
      </w:pPr>
      <w:hyperlink w:anchor="fig-run-gen-tokens">
        <w:r>
          <w:rPr>
            <w:rStyle w:val="Hyperlink"/>
          </w:rPr>
          <w:t xml:space="preserve">Figure 2</w:t>
        </w:r>
      </w:hyperlink>
      <w:r>
        <w:t xml:space="preserve"> </w:t>
      </w:r>
      <w:r>
        <w:t xml:space="preserve">shows Qwen processing the most tokens per generated program in every condition, with a particularly large increase for security-informed generation. Antigravity is next highest across the conditions, while Claude and Codex remain lower.</w:t>
      </w:r>
    </w:p>
    <w:tbl>
      <w:tblPr>
        <w:tblStyle w:val="Table"/>
        <w:tblW w:type="pct" w:w="5000"/>
        <w:tblLayout w:type="fixed"/>
        <w:tblLook w:firstRow="0" w:lastRow="0" w:firstColumn="0" w:lastColumn="0" w:noHBand="0" w:noVBand="0" w:val="0000"/>
      </w:tblPr>
      <w:tblGrid>
        <w:gridCol w:w="7920"/>
      </w:tblGrid>
      <w:tr>
        <w:tc>
          <w:tcPr/>
          <w:bookmarkStart w:id="30" w:name="fig-run-gen-task-time"/>
          <w:p>
            <w:pPr>
              <w:pStyle w:val="Compact"/>
              <w:jc w:val="center"/>
            </w:pPr>
            <w:r>
              <w:drawing>
                <wp:inline>
                  <wp:extent cx="5334000" cy="1848512"/>
                  <wp:effectExtent b="0" l="0" r="0" t="0"/>
                  <wp:docPr descr="" title="" id="28" name="Picture"/>
                  <a:graphic>
                    <a:graphicData uri="http://schemas.openxmlformats.org/drawingml/2006/picture">
                      <pic:pic>
                        <pic:nvPicPr>
                          <pic:cNvPr descr="final_report_run_cost_files/figure-docx/fig-run-gen-task-time-output-1.png" id="29" name="Picture"/>
                          <pic:cNvPicPr>
                            <a:picLocks noChangeArrowheads="1" noChangeAspect="1"/>
                          </pic:cNvPicPr>
                        </pic:nvPicPr>
                        <pic:blipFill>
                          <a:blip r:embed="rId27"/>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minutes per program by task and generator · All generation runs; Codex records no time</w:t>
            </w:r>
          </w:p>
          <w:bookmarkEnd w:id="30"/>
        </w:tc>
      </w:tr>
    </w:tbl>
    <w:p>
      <w:pPr>
        <w:pStyle w:val="BodyText"/>
      </w:pPr>
      <w:r>
        <w:t xml:space="preserve">Across the task panels in</w:t>
      </w:r>
      <w:r>
        <w:t xml:space="preserve"> </w:t>
      </w:r>
      <w:hyperlink w:anchor="fig-run-gen-task-time">
        <w:r>
          <w:rPr>
            <w:rStyle w:val="Hyperlink"/>
          </w:rPr>
          <w:t xml:space="preserve">Figure 3</w:t>
        </w:r>
      </w:hyperlink>
      <w:r>
        <w:t xml:space="preserve">, Qwen takes the most reported time for every task and condition, with the strongest contrast in the security-informed panel. Antigravity and Claude are closer to one another, although their task patterns vary; Codex is absent because its time was not reported.</w:t>
      </w:r>
    </w:p>
    <w:tbl>
      <w:tblPr>
        <w:tblStyle w:val="Table"/>
        <w:tblW w:type="pct" w:w="5000"/>
        <w:tblLayout w:type="fixed"/>
        <w:tblLook w:firstRow="0" w:lastRow="0" w:firstColumn="0" w:lastColumn="0" w:noHBand="0" w:noVBand="0" w:val="0000"/>
      </w:tblPr>
      <w:tblGrid>
        <w:gridCol w:w="7920"/>
      </w:tblGrid>
      <w:tr>
        <w:tc>
          <w:tcPr/>
          <w:bookmarkStart w:id="34" w:name="fig-run-gen-task-tokens"/>
          <w:p>
            <w:pPr>
              <w:pStyle w:val="Compact"/>
              <w:jc w:val="center"/>
            </w:pPr>
            <w:r>
              <w:drawing>
                <wp:inline>
                  <wp:extent cx="5334000" cy="1848512"/>
                  <wp:effectExtent b="0" l="0" r="0" t="0"/>
                  <wp:docPr descr="" title="" id="32" name="Picture"/>
                  <a:graphic>
                    <a:graphicData uri="http://schemas.openxmlformats.org/drawingml/2006/picture">
                      <pic:pic>
                        <pic:nvPicPr>
                          <pic:cNvPr descr="final_report_run_cost_files/figure-docx/fig-run-gen-task-tokens-output-1.png" id="33" name="Picture"/>
                          <pic:cNvPicPr>
                            <a:picLocks noChangeArrowheads="1" noChangeAspect="1"/>
                          </pic:cNvPicPr>
                        </pic:nvPicPr>
                        <pic:blipFill>
                          <a:blip r:embed="rId31"/>
                          <a:stretch>
                            <a:fillRect/>
                          </a:stretch>
                        </pic:blipFill>
                        <pic:spPr bwMode="auto">
                          <a:xfrm>
                            <a:off x="0" y="0"/>
                            <a:ext cx="5334000" cy="1848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tokens processed per program by task and generator · All generation runs</w:t>
            </w:r>
          </w:p>
          <w:bookmarkEnd w:id="34"/>
        </w:tc>
      </w:tr>
    </w:tbl>
    <w:p>
      <w:pPr>
        <w:pStyle w:val="BodyText"/>
      </w:pPr>
      <w:hyperlink w:anchor="fig-run-gen-task-tokens">
        <w:r>
          <w:rPr>
            <w:rStyle w:val="Hyperlink"/>
          </w:rPr>
          <w:t xml:space="preserve">Figure 4</w:t>
        </w:r>
      </w:hyperlink>
      <w:r>
        <w:t xml:space="preserve"> </w:t>
      </w:r>
      <w:r>
        <w:t xml:space="preserve">shows Qwen processing the most tokens for every task in each condition, with the security-informed task cells standing far above its Basic and Security-aware cells. Antigravity, Claude and Codex have smaller values and less pronounced condition shifts.</w:t>
      </w:r>
    </w:p>
    <w:bookmarkEnd w:id="35"/>
    <w:bookmarkStart w:id="48" w:name="sec-run-review"/>
    <w:p>
      <w:pPr>
        <w:pStyle w:val="Heading2"/>
      </w:pPr>
      <w:r>
        <w:t xml:space="preserve">Review</w:t>
      </w:r>
    </w:p>
    <w:tbl>
      <w:tblPr>
        <w:tblStyle w:val="Table"/>
        <w:tblW w:type="pct" w:w="5000"/>
        <w:tblLayout w:type="fixed"/>
        <w:tblLook w:firstRow="0" w:lastRow="0" w:firstColumn="0" w:lastColumn="0" w:noHBand="0" w:noVBand="0" w:val="0000"/>
      </w:tblPr>
      <w:tblGrid>
        <w:gridCol w:w="7920"/>
      </w:tblGrid>
      <w:tr>
        <w:tc>
          <w:tcPr/>
          <w:bookmarkStart w:id="39" w:name="fig-run-review-time"/>
          <w:p>
            <w:pPr>
              <w:pStyle w:val="Compact"/>
              <w:jc w:val="center"/>
            </w:pPr>
            <w:r>
              <w:drawing>
                <wp:inline>
                  <wp:extent cx="5334000" cy="2642326"/>
                  <wp:effectExtent b="0" l="0" r="0" t="0"/>
                  <wp:docPr descr="" title="" id="37" name="Picture"/>
                  <a:graphic>
                    <a:graphicData uri="http://schemas.openxmlformats.org/drawingml/2006/picture">
                      <pic:pic>
                        <pic:nvPicPr>
                          <pic:cNvPr descr="final_report_run_cost_files/figure-docx/fig-run-review-time-output-1.png" id="38" name="Picture"/>
                          <pic:cNvPicPr>
                            <a:picLocks noChangeArrowheads="1" noChangeAspect="1"/>
                          </pic:cNvPicPr>
                        </pic:nvPicPr>
                        <pic:blipFill>
                          <a:blip r:embed="rId36"/>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Mean minutes per self-review by reviewer and condition · All conditions, self-review; Codex records no time</w:t>
            </w:r>
          </w:p>
          <w:bookmarkEnd w:id="39"/>
        </w:tc>
      </w:tr>
    </w:tbl>
    <w:p>
      <w:pPr>
        <w:pStyle w:val="BodyText"/>
      </w:pPr>
      <w:hyperlink w:anchor="fig-run-review-time">
        <w:r>
          <w:rPr>
            <w:rStyle w:val="Hyperlink"/>
          </w:rPr>
          <w:t xml:space="preserve">Figure 5</w:t>
        </w:r>
      </w:hyperlink>
      <w:r>
        <w:t xml:space="preserve"> </w:t>
      </w:r>
      <w:r>
        <w:t xml:space="preserve">shows Qwen self-reviews taking substantially longer than Antigravity or Claude in all three conditions. Antigravity and Claude take their longest self-review time in the security-informed condition, whereas Qwen’s bars decline across the displayed conditions; Codex is absent because its time was not reported.</w:t>
      </w:r>
    </w:p>
    <w:tbl>
      <w:tblPr>
        <w:tblStyle w:val="Table"/>
        <w:tblW w:type="pct" w:w="5000"/>
        <w:tblLayout w:type="fixed"/>
        <w:tblLook w:firstRow="0" w:lastRow="0" w:firstColumn="0" w:lastColumn="0" w:noHBand="0" w:noVBand="0" w:val="0000"/>
      </w:tblPr>
      <w:tblGrid>
        <w:gridCol w:w="7920"/>
      </w:tblGrid>
      <w:tr>
        <w:tc>
          <w:tcPr/>
          <w:bookmarkStart w:id="43" w:name="fig-run-review-tokens"/>
          <w:p>
            <w:pPr>
              <w:pStyle w:val="Compact"/>
              <w:jc w:val="center"/>
            </w:pPr>
            <w:r>
              <w:drawing>
                <wp:inline>
                  <wp:extent cx="5334000" cy="2642326"/>
                  <wp:effectExtent b="0" l="0" r="0" t="0"/>
                  <wp:docPr descr="" title="" id="41" name="Picture"/>
                  <a:graphic>
                    <a:graphicData uri="http://schemas.openxmlformats.org/drawingml/2006/picture">
                      <pic:pic>
                        <pic:nvPicPr>
                          <pic:cNvPr descr="final_report_run_cost_files/figure-docx/fig-run-review-tokens-output-1.png" id="42" name="Picture"/>
                          <pic:cNvPicPr>
                            <a:picLocks noChangeArrowheads="1" noChangeAspect="1"/>
                          </pic:cNvPicPr>
                        </pic:nvPicPr>
                        <pic:blipFill>
                          <a:blip r:embed="rId40"/>
                          <a:stretch>
                            <a:fillRect/>
                          </a:stretch>
                        </pic:blipFill>
                        <pic:spPr bwMode="auto">
                          <a:xfrm>
                            <a:off x="0" y="0"/>
                            <a:ext cx="5334000" cy="2642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Mean tokens processed per self-review by reviewer and condition · All conditions, self-review</w:t>
            </w:r>
          </w:p>
          <w:bookmarkEnd w:id="43"/>
        </w:tc>
      </w:tr>
    </w:tbl>
    <w:p>
      <w:pPr>
        <w:pStyle w:val="BodyText"/>
      </w:pPr>
      <w:hyperlink w:anchor="fig-run-review-tokens">
        <w:r>
          <w:rPr>
            <w:rStyle w:val="Hyperlink"/>
          </w:rPr>
          <w:t xml:space="preserve">Figure 6</w:t>
        </w:r>
      </w:hyperlink>
      <w:r>
        <w:t xml:space="preserve"> </w:t>
      </w:r>
      <w:r>
        <w:t xml:space="preserve">shows Qwen processing the most tokens per self-review in every condition. For Antigravity, Claude and Codex, security-informed self-review is also the highest of their three conditions.</w:t>
      </w:r>
    </w:p>
    <w:tbl>
      <w:tblPr>
        <w:tblStyle w:val="Table"/>
        <w:tblW w:type="pct" w:w="5000"/>
        <w:tblLayout w:type="fixed"/>
        <w:tblLook w:firstRow="0" w:lastRow="0" w:firstColumn="0" w:lastColumn="0" w:noHBand="0" w:noVBand="0" w:val="0000"/>
      </w:tblPr>
      <w:tblGrid>
        <w:gridCol w:w="7920"/>
      </w:tblGrid>
      <w:tr>
        <w:tc>
          <w:tcPr/>
          <w:bookmarkStart w:id="47" w:name="fig-run-review-matrix"/>
          <w:p>
            <w:pPr>
              <w:pStyle w:val="Compact"/>
              <w:jc w:val="center"/>
            </w:pPr>
            <w:r>
              <w:drawing>
                <wp:inline>
                  <wp:extent cx="5334000" cy="2219379"/>
                  <wp:effectExtent b="0" l="0" r="0" t="0"/>
                  <wp:docPr descr="" title="" id="45" name="Picture"/>
                  <a:graphic>
                    <a:graphicData uri="http://schemas.openxmlformats.org/drawingml/2006/picture">
                      <pic:pic>
                        <pic:nvPicPr>
                          <pic:cNvPr descr="final_report_run_cost_files/figure-docx/fig-run-review-matrix-output-1.png" id="46" name="Picture"/>
                          <pic:cNvPicPr>
                            <a:picLocks noChangeArrowheads="1" noChangeAspect="1"/>
                          </pic:cNvPicPr>
                        </pic:nvPicPr>
                        <pic:blipFill>
                          <a:blip r:embed="rId44"/>
                          <a:stretch>
                            <a:fillRect/>
                          </a:stretch>
                        </pic:blipFill>
                        <pic:spPr bwMode="auto">
                          <a:xfrm>
                            <a:off x="0" y="0"/>
                            <a:ext cx="5334000" cy="221937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tokens per review, reviewer × generator · Security-informed, all four reviewers</w:t>
            </w:r>
          </w:p>
          <w:bookmarkEnd w:id="47"/>
        </w:tc>
      </w:tr>
    </w:tbl>
    <w:p>
      <w:pPr>
        <w:pStyle w:val="BodyText"/>
      </w:pPr>
      <w:r>
        <w:t xml:space="preserve">In</w:t>
      </w:r>
      <w:r>
        <w:t xml:space="preserve"> </w:t>
      </w:r>
      <w:hyperlink w:anchor="fig-run-review-matrix">
        <w:r>
          <w:rPr>
            <w:rStyle w:val="Hyperlink"/>
          </w:rPr>
          <w:t xml:space="preserve">Figure 7</w:t>
        </w:r>
      </w:hyperlink>
      <w:r>
        <w:t xml:space="preserve">, the Qwen reviewer generally occupies the high end of both processed and generated tokens, while the Codex reviewer generates the fewest tokens across all generator columns. Within each reviewer row, reviews of Qwen-generated programs tend to require the most processed tokens, while reviews of Codex-generated programs tend to require the least.</w:t>
      </w:r>
    </w:p>
    <w:bookmarkEnd w:id="48"/>
    <w:bookmarkStart w:id="50" w:name="sec-run-sonnet"/>
    <w:p>
      <w:pPr>
        <w:pStyle w:val="Heading2"/>
      </w:pPr>
      <w:r>
        <w:t xml:space="preserve">Claude at maximum effort in the pilot</w:t>
      </w:r>
    </w:p>
    <w:p>
      <w:pPr>
        <w:pStyle w:val="FirstParagraph"/>
      </w:pPr>
      <w:r>
        <w:t xml:space="preserve">This section compares one recovered Claude Sonnet 5 pilot generation run at max effort with Claude Opus 5 at medium effort. It covers the same Task 1 Basic run and also provides the Opus mean across its 12 Basic generation runs, using time, output and thinking tokens, processed tokens and turns.</w:t>
      </w:r>
    </w:p>
    <w:tbl>
      <w:tblPr>
        <w:tblStyle w:val="Table"/>
        <w:tblW w:type="pct" w:w="5000"/>
        <w:tblLayout w:type="fixed"/>
        <w:tblLook w:firstRow="0" w:lastRow="0" w:firstColumn="0" w:lastColumn="0" w:noHBand="0" w:noVBand="0" w:val="0000"/>
      </w:tblPr>
      <w:tblGrid>
        <w:gridCol w:w="7920"/>
      </w:tblGrid>
      <w:tr>
        <w:tc>
          <w:tcPr/>
          <w:bookmarkStart w:id="49" w:name="tbl-run-sonnet"/>
          <w:p>
            <w:pPr>
              <w:jc w:val="center"/>
            </w:pPr>
            <w:pPr>
              <w:jc w:val="left"/>
              <w:spacing w:before="200"/>
              <w:pStyle w:val="ImageCaption"/>
            </w:pPr>
            <w:r>
              <w:t xml:space="preserve">Table 4: Claude Sonnet 5 at max effort (recovered pilot run) against Claude Opus 5 at medium · Task 1 Basic, generation; Opus mean over its 12 Basic runs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measure</w:t>
                  </w:r>
                </w:p>
              </w:tc>
              <w:tc>
                <w:tcPr/>
                <w:p>
                  <w:pPr>
                    <w:pStyle w:val="Compact"/>
                    <w:jc w:val="right"/>
                    <w:jc w:val="center"/>
                  </w:pPr>
                  <w:r>
                    <w:t xml:space="preserve">Sonnet 5 max, pilot</w:t>
                  </w:r>
                </w:p>
              </w:tc>
              <w:tc>
                <w:tcPr/>
                <w:p>
                  <w:pPr>
                    <w:pStyle w:val="Compact"/>
                    <w:jc w:val="right"/>
                    <w:jc w:val="center"/>
                  </w:pPr>
                  <w:r>
                    <w:t xml:space="preserve">Opus 5 medium, same task</w:t>
                  </w:r>
                </w:p>
              </w:tc>
              <w:tc>
                <w:tcPr/>
                <w:p>
                  <w:pPr>
                    <w:pStyle w:val="Compact"/>
                    <w:jc w:val="right"/>
                    <w:jc w:val="center"/>
                  </w:pPr>
                  <w:r>
                    <w:t xml:space="preserve">Sonnet / Opus</w:t>
                  </w:r>
                </w:p>
              </w:tc>
              <w:tc>
                <w:tcPr/>
                <w:p>
                  <w:pPr>
                    <w:pStyle w:val="Compact"/>
                    <w:jc w:val="right"/>
                    <w:jc w:val="center"/>
                  </w:pPr>
                  <w:r>
                    <w:t xml:space="preserve">Opus 5 medium, mean of 12 Basic runs</w:t>
                  </w:r>
                </w:p>
              </w:tc>
            </w:tr>
            <w:tr>
              <w:tc>
                <w:tcPr/>
                <w:p>
                  <w:pPr>
                    <w:pStyle w:val="Compact"/>
                    <w:jc w:val="left"/>
                    <w:jc w:val="center"/>
                  </w:pPr>
                  <w:r>
                    <w:t xml:space="preserve">minutes</w:t>
                  </w:r>
                </w:p>
              </w:tc>
              <w:tc>
                <w:tcPr/>
                <w:p>
                  <w:pPr>
                    <w:pStyle w:val="Compact"/>
                    <w:jc w:val="right"/>
                    <w:jc w:val="center"/>
                  </w:pPr>
                  <w:r>
                    <w:t xml:space="preserve">30.24</w:t>
                  </w:r>
                </w:p>
              </w:tc>
              <w:tc>
                <w:tcPr/>
                <w:p>
                  <w:pPr>
                    <w:pStyle w:val="Compact"/>
                    <w:jc w:val="right"/>
                    <w:jc w:val="center"/>
                  </w:pPr>
                  <w:r>
                    <w:t xml:space="preserve">4.38</w:t>
                  </w:r>
                </w:p>
              </w:tc>
              <w:tc>
                <w:tcPr/>
                <w:p>
                  <w:pPr>
                    <w:pStyle w:val="Compact"/>
                    <w:jc w:val="right"/>
                    <w:jc w:val="center"/>
                  </w:pPr>
                  <w:r>
                    <w:t xml:space="preserve">6.91</w:t>
                  </w:r>
                </w:p>
              </w:tc>
              <w:tc>
                <w:tcPr/>
                <w:p>
                  <w:pPr>
                    <w:pStyle w:val="Compact"/>
                    <w:jc w:val="right"/>
                    <w:jc w:val="center"/>
                  </w:pPr>
                  <w:r>
                    <w:t xml:space="preserve">2.81</w:t>
                  </w:r>
                </w:p>
              </w:tc>
            </w:tr>
            <w:tr>
              <w:tc>
                <w:tcPr/>
                <w:p>
                  <w:pPr>
                    <w:pStyle w:val="Compact"/>
                    <w:jc w:val="left"/>
                    <w:jc w:val="center"/>
                  </w:pPr>
                  <w:r>
                    <w:t xml:space="preserve">output tokens</w:t>
                  </w:r>
                </w:p>
              </w:tc>
              <w:tc>
                <w:tcPr/>
                <w:p>
                  <w:pPr>
                    <w:pStyle w:val="Compact"/>
                    <w:jc w:val="right"/>
                    <w:jc w:val="center"/>
                  </w:pPr>
                  <w:r>
                    <w:t xml:space="preserve">166076.0</w:t>
                  </w:r>
                </w:p>
              </w:tc>
              <w:tc>
                <w:tcPr/>
                <w:p>
                  <w:pPr>
                    <w:pStyle w:val="Compact"/>
                    <w:jc w:val="right"/>
                    <w:jc w:val="center"/>
                  </w:pPr>
                  <w:r>
                    <w:t xml:space="preserve">23639.0</w:t>
                  </w:r>
                </w:p>
              </w:tc>
              <w:tc>
                <w:tcPr/>
                <w:p>
                  <w:pPr>
                    <w:pStyle w:val="Compact"/>
                    <w:jc w:val="right"/>
                    <w:jc w:val="center"/>
                  </w:pPr>
                  <w:r>
                    <w:t xml:space="preserve">7.03</w:t>
                  </w:r>
                </w:p>
              </w:tc>
              <w:tc>
                <w:tcPr/>
                <w:p>
                  <w:pPr>
                    <w:pStyle w:val="Compact"/>
                    <w:jc w:val="right"/>
                    <w:jc w:val="center"/>
                  </w:pPr>
                  <w:r>
                    <w:t xml:space="preserve">13680.0</w:t>
                  </w:r>
                </w:p>
              </w:tc>
            </w:tr>
            <w:tr>
              <w:tc>
                <w:tcPr/>
                <w:p>
                  <w:pPr>
                    <w:pStyle w:val="Compact"/>
                    <w:jc w:val="left"/>
                    <w:jc w:val="center"/>
                  </w:pPr>
                  <w:r>
                    <w:t xml:space="preserve">thinking tokens</w:t>
                  </w:r>
                </w:p>
              </w:tc>
              <w:tc>
                <w:tcPr/>
                <w:p>
                  <w:pPr>
                    <w:pStyle w:val="Compact"/>
                    <w:jc w:val="right"/>
                    <w:jc w:val="center"/>
                  </w:pPr>
                  <w:r>
                    <w:t xml:space="preserve">139895.0</w:t>
                  </w:r>
                </w:p>
              </w:tc>
              <w:tc>
                <w:tcPr/>
                <w:p>
                  <w:pPr>
                    <w:pStyle w:val="Compact"/>
                    <w:jc w:val="right"/>
                    <w:jc w:val="center"/>
                  </w:pPr>
                  <w:r>
                    <w:t xml:space="preserve">7475.0</w:t>
                  </w:r>
                </w:p>
              </w:tc>
              <w:tc>
                <w:tcPr/>
                <w:p>
                  <w:pPr>
                    <w:pStyle w:val="Compact"/>
                    <w:jc w:val="right"/>
                    <w:jc w:val="center"/>
                  </w:pPr>
                  <w:r>
                    <w:t xml:space="preserve">18.72</w:t>
                  </w:r>
                </w:p>
              </w:tc>
              <w:tc>
                <w:tcPr/>
                <w:p>
                  <w:pPr>
                    <w:pStyle w:val="Compact"/>
                    <w:jc w:val="right"/>
                    <w:jc w:val="center"/>
                  </w:pPr>
                  <w:r>
                    <w:t xml:space="preserve">3234.25</w:t>
                  </w:r>
                </w:p>
              </w:tc>
            </w:tr>
            <w:tr>
              <w:tc>
                <w:tcPr/>
                <w:p>
                  <w:pPr>
                    <w:pStyle w:val="Compact"/>
                    <w:jc w:val="left"/>
                    <w:jc w:val="center"/>
                  </w:pPr>
                  <w:r>
                    <w:t xml:space="preserve">thinking share of output %</w:t>
                  </w:r>
                </w:p>
              </w:tc>
              <w:tc>
                <w:tcPr/>
                <w:p>
                  <w:pPr>
                    <w:pStyle w:val="Compact"/>
                    <w:jc w:val="right"/>
                    <w:jc w:val="center"/>
                  </w:pPr>
                  <w:r>
                    <w:t xml:space="preserve">84.24</w:t>
                  </w:r>
                </w:p>
              </w:tc>
              <w:tc>
                <w:tcPr/>
                <w:p>
                  <w:pPr>
                    <w:pStyle w:val="Compact"/>
                    <w:jc w:val="right"/>
                    <w:jc w:val="center"/>
                  </w:pPr>
                  <w:r>
                    <w:t xml:space="preserve">31.62</w:t>
                  </w:r>
                </w:p>
              </w:tc>
              <w:tc>
                <w:tcPr/>
                <w:p>
                  <w:pPr>
                    <w:pStyle w:val="Compact"/>
                    <w:jc w:val="right"/>
                    <w:jc w:val="center"/>
                  </w:pPr>
                  <w:r>
                    <w:t xml:space="preserve">2.66</w:t>
                  </w:r>
                </w:p>
              </w:tc>
              <w:tc>
                <w:tcPr/>
                <w:p>
                  <w:pPr>
                    <w:pStyle w:val="Compact"/>
                    <w:jc w:val="right"/>
                    <w:jc w:val="center"/>
                  </w:pPr>
                  <w:r>
                    <w:t xml:space="preserve">23.64</w:t>
                  </w:r>
                </w:p>
              </w:tc>
            </w:tr>
            <w:tr>
              <w:tc>
                <w:tcPr/>
                <w:p>
                  <w:pPr>
                    <w:pStyle w:val="Compact"/>
                    <w:jc w:val="left"/>
                    <w:jc w:val="center"/>
                  </w:pPr>
                  <w:r>
                    <w:t xml:space="preserve">tokens processed (M)</w:t>
                  </w:r>
                </w:p>
              </w:tc>
              <w:tc>
                <w:tcPr/>
                <w:p>
                  <w:pPr>
                    <w:pStyle w:val="Compact"/>
                    <w:jc w:val="right"/>
                    <w:jc w:val="center"/>
                  </w:pPr>
                  <w:r>
                    <w:t xml:space="preserve">1.24</w:t>
                  </w:r>
                </w:p>
              </w:tc>
              <w:tc>
                <w:tcPr/>
                <w:p>
                  <w:pPr>
                    <w:pStyle w:val="Compact"/>
                    <w:jc w:val="right"/>
                    <w:jc w:val="center"/>
                  </w:pPr>
                  <w:r>
                    <w:t xml:space="preserve">0.24</w:t>
                  </w:r>
                </w:p>
              </w:tc>
              <w:tc>
                <w:tcPr/>
                <w:p>
                  <w:pPr>
                    <w:pStyle w:val="Compact"/>
                    <w:jc w:val="right"/>
                    <w:jc w:val="center"/>
                  </w:pPr>
                  <w:r>
                    <w:t xml:space="preserve">5.12</w:t>
                  </w:r>
                </w:p>
              </w:tc>
              <w:tc>
                <w:tcPr/>
                <w:p>
                  <w:pPr>
                    <w:pStyle w:val="Compact"/>
                    <w:jc w:val="right"/>
                    <w:jc w:val="center"/>
                  </w:pPr>
                  <w:r>
                    <w:t xml:space="preserve">0.16</w:t>
                  </w:r>
                </w:p>
              </w:tc>
            </w:tr>
            <w:tr>
              <w:tc>
                <w:tcPr/>
                <w:p>
                  <w:pPr>
                    <w:pStyle w:val="Compact"/>
                    <w:jc w:val="left"/>
                    <w:jc w:val="center"/>
                  </w:pPr>
                  <w:r>
                    <w:t xml:space="preserve">turns</w:t>
                  </w:r>
                </w:p>
              </w:tc>
              <w:tc>
                <w:tcPr/>
                <w:p>
                  <w:pPr>
                    <w:pStyle w:val="Compact"/>
                    <w:jc w:val="right"/>
                    <w:jc w:val="center"/>
                  </w:pPr>
                  <w:r>
                    <w:t xml:space="preserve">21.0</w:t>
                  </w:r>
                </w:p>
              </w:tc>
              <w:tc>
                <w:tcPr/>
                <w:p>
                  <w:pPr>
                    <w:pStyle w:val="Compact"/>
                    <w:jc w:val="right"/>
                    <w:jc w:val="center"/>
                  </w:pPr>
                  <w:r>
                    <w:t xml:space="preserve">12.0</w:t>
                  </w:r>
                </w:p>
              </w:tc>
              <w:tc>
                <w:tcPr/>
                <w:p>
                  <w:pPr>
                    <w:pStyle w:val="Compact"/>
                    <w:jc w:val="right"/>
                    <w:jc w:val="center"/>
                  </w:pPr>
                  <w:r>
                    <w:t xml:space="preserve">1.75</w:t>
                  </w:r>
                </w:p>
              </w:tc>
              <w:tc>
                <w:tcPr/>
                <w:p>
                  <w:pPr>
                    <w:pStyle w:val="Compact"/>
                    <w:jc w:val="right"/>
                    <w:jc w:val="center"/>
                  </w:pPr>
                  <w:r>
                    <w:t xml:space="preserve">9.08</w:t>
                  </w:r>
                </w:p>
              </w:tc>
            </w:tr>
          </w:tbl>
          <w:bookmarkEnd w:id="49"/>
          <w:p/>
        </w:tc>
      </w:tr>
    </w:tbl>
    <w:p>
      <w:pPr>
        <w:pStyle w:val="BodyText"/>
      </w:pPr>
      <w:r>
        <w:t xml:space="preserve">In</w:t>
      </w:r>
      <w:r>
        <w:t xml:space="preserve"> </w:t>
      </w:r>
      <w:hyperlink w:anchor="tbl-run-sonnet">
        <w:r>
          <w:rPr>
            <w:rStyle w:val="Hyperlink"/>
          </w:rPr>
          <w:t xml:space="preserve">Table 4</w:t>
        </w:r>
      </w:hyperlink>
      <w:r>
        <w:t xml:space="preserve">, the Sonnet 5 max pilot used 30.24 minutes, 166076.0 output tokens, 139895.0 thinking tokens, 1.24 million processed tokens and 21.0 turns. Relative to Opus 5 medium on the same task, the table reports ratios of 6.91 for minutes, 7.03 for output tokens, 18.72 for thinking tokens, 5.12 for processed tokens and 1.75 for turns.</w:t>
      </w:r>
    </w:p>
    <w:bookmarkEnd w:id="50"/>
    <w:bookmarkStart w:id="61" w:name="sec-run-qwen"/>
    <w:p>
      <w:pPr>
        <w:pStyle w:val="Heading2"/>
      </w:pPr>
      <w:r>
        <w:t xml:space="preserve">Qwen review effort</w:t>
      </w:r>
    </w:p>
    <w:p>
      <w:pPr>
        <w:pStyle w:val="FirstParagraph"/>
      </w:pPr>
      <w:r>
        <w:t xml:space="preserve">This section separates Qwen generation and self-review time by condition and effort setting. It also reports actual medium-effort review hours for the security-informed panel and the corresponding estimated hours at xhigh effort.</w:t>
      </w:r>
    </w:p>
    <w:tbl>
      <w:tblPr>
        <w:tblStyle w:val="Table"/>
        <w:tblW w:type="pct" w:w="5000"/>
        <w:tblLayout w:type="fixed"/>
        <w:tblLook w:firstRow="0" w:lastRow="0" w:firstColumn="0" w:lastColumn="0" w:noHBand="0" w:noVBand="0" w:val="0000"/>
      </w:tblPr>
      <w:tblGrid>
        <w:gridCol w:w="7920"/>
      </w:tblGrid>
      <w:tr>
        <w:tc>
          <w:tcPr/>
          <w:bookmarkStart w:id="54" w:name="fig-run-qwen-effort"/>
          <w:p>
            <w:pPr>
              <w:pStyle w:val="Compact"/>
              <w:jc w:val="center"/>
            </w:pPr>
            <w:r>
              <w:drawing>
                <wp:inline>
                  <wp:extent cx="5334000" cy="2911493"/>
                  <wp:effectExtent b="0" l="0" r="0" t="0"/>
                  <wp:docPr descr="" title="" id="52" name="Picture"/>
                  <a:graphic>
                    <a:graphicData uri="http://schemas.openxmlformats.org/drawingml/2006/picture">
                      <pic:pic>
                        <pic:nvPicPr>
                          <pic:cNvPr descr="final_report_run_cost_files/figure-docx/fig-run-qwen-effort-output-1.png" id="53" name="Picture"/>
                          <pic:cNvPicPr>
                            <a:picLocks noChangeArrowheads="1" noChangeAspect="1"/>
                          </pic:cNvPicPr>
                        </pic:nvPicPr>
                        <pic:blipFill>
                          <a:blip r:embed="rId51"/>
                          <a:stretch>
                            <a:fillRect/>
                          </a:stretch>
                        </pic:blipFill>
                        <pic:spPr bwMode="auto">
                          <a:xfrm>
                            <a:off x="0" y="0"/>
                            <a:ext cx="5334000" cy="2911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Qwen mean minutes to generate a program and to self-review it, with effort settings · All conditions, Qwen generation and self-review</w:t>
            </w:r>
          </w:p>
          <w:bookmarkEnd w:id="54"/>
        </w:tc>
      </w:tr>
    </w:tbl>
    <w:p>
      <w:pPr>
        <w:pStyle w:val="BodyText"/>
      </w:pPr>
      <w:hyperlink w:anchor="fig-run-qwen-effort">
        <w:r>
          <w:rPr>
            <w:rStyle w:val="Hyperlink"/>
          </w:rPr>
          <w:t xml:space="preserve">Figure 8</w:t>
        </w:r>
      </w:hyperlink>
      <w:r>
        <w:t xml:space="preserve"> </w:t>
      </w:r>
      <w:r>
        <w:t xml:space="preserve">shows self-review taking longer than generation in the Basic and Security-aware conditions, where both stages used xhigh effort. In the security-informed condition, xhigh generation takes much longer than medium-effort self-review.</w:t>
      </w:r>
    </w:p>
    <w:tbl>
      <w:tblPr>
        <w:tblStyle w:val="Table"/>
        <w:tblW w:type="pct" w:w="5000"/>
        <w:tblLayout w:type="fixed"/>
        <w:tblLook w:firstRow="0" w:lastRow="0" w:firstColumn="0" w:lastColumn="0" w:noHBand="0" w:noVBand="0" w:val="0000"/>
      </w:tblPr>
      <w:tblGrid>
        <w:gridCol w:w="7920"/>
      </w:tblGrid>
      <w:tr>
        <w:tc>
          <w:tcPr/>
          <w:bookmarkStart w:id="55" w:name="tbl-run-qwen-effort"/>
          <w:p>
            <w:pPr>
              <w:jc w:val="center"/>
            </w:pPr>
            <w:pPr>
              <w:jc w:val="left"/>
              <w:spacing w:before="200"/>
              <w:pStyle w:val="ImageCaption"/>
            </w:pPr>
            <w:r>
              <w:t xml:space="preserve">Table 5: Qwen generation and self-review time per program, with effort settings · All conditions, Qwen generation and self-review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condition</w:t>
                  </w:r>
                </w:p>
              </w:tc>
              <w:tc>
                <w:tcPr/>
                <w:p>
                  <w:pPr>
                    <w:pStyle w:val="Compact"/>
                    <w:jc w:val="right"/>
                    <w:jc w:val="center"/>
                  </w:pPr>
                  <w:r>
                    <w:t xml:space="preserve">programs</w:t>
                  </w:r>
                </w:p>
              </w:tc>
              <w:tc>
                <w:tcPr/>
                <w:p>
                  <w:pPr>
                    <w:pStyle w:val="Compact"/>
                    <w:jc w:val="left"/>
                    <w:jc w:val="center"/>
                  </w:pPr>
                  <w:r>
                    <w:t xml:space="preserve">generation effort</w:t>
                  </w:r>
                </w:p>
              </w:tc>
              <w:tc>
                <w:tcPr/>
                <w:p>
                  <w:pPr>
                    <w:pStyle w:val="Compact"/>
                    <w:jc w:val="left"/>
                    <w:jc w:val="center"/>
                  </w:pPr>
                  <w:r>
                    <w:t xml:space="preserve">review effort</w:t>
                  </w:r>
                </w:p>
              </w:tc>
              <w:tc>
                <w:tcPr/>
                <w:p>
                  <w:pPr>
                    <w:pStyle w:val="Compact"/>
                    <w:jc w:val="right"/>
                    <w:jc w:val="center"/>
                  </w:pPr>
                  <w:r>
                    <w:t xml:space="preserve">generation minutes</w:t>
                  </w:r>
                </w:p>
              </w:tc>
              <w:tc>
                <w:tcPr/>
                <w:p>
                  <w:pPr>
                    <w:pStyle w:val="Compact"/>
                    <w:jc w:val="right"/>
                    <w:jc w:val="center"/>
                  </w:pPr>
                  <w:r>
                    <w:t xml:space="preserve">self-review minutes</w:t>
                  </w:r>
                </w:p>
              </w:tc>
              <w:tc>
                <w:tcPr/>
                <w:p>
                  <w:pPr>
                    <w:pStyle w:val="Compact"/>
                    <w:jc w:val="right"/>
                    <w:jc w:val="center"/>
                  </w:pPr>
                  <w:r>
                    <w:t xml:space="preserve">review / generation</w:t>
                  </w:r>
                </w:p>
              </w:tc>
            </w:tr>
            <w:tr>
              <w:tc>
                <w:tcPr/>
                <w:p>
                  <w:pPr>
                    <w:pStyle w:val="Compact"/>
                    <w:jc w:val="left"/>
                    <w:jc w:val="center"/>
                  </w:pPr>
                  <w:r>
                    <w:t xml:space="preserve">Basic</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36.11</w:t>
                  </w:r>
                </w:p>
              </w:tc>
              <w:tc>
                <w:tcPr/>
                <w:p>
                  <w:pPr>
                    <w:pStyle w:val="Compact"/>
                    <w:jc w:val="right"/>
                    <w:jc w:val="center"/>
                  </w:pPr>
                  <w:r>
                    <w:t xml:space="preserve">51.75</w:t>
                  </w:r>
                </w:p>
              </w:tc>
              <w:tc>
                <w:tcPr/>
                <w:p>
                  <w:pPr>
                    <w:pStyle w:val="Compact"/>
                    <w:jc w:val="right"/>
                    <w:jc w:val="center"/>
                  </w:pPr>
                  <w:r>
                    <w:t xml:space="preserve">1.43</w:t>
                  </w:r>
                </w:p>
              </w:tc>
            </w:tr>
            <w:tr>
              <w:tc>
                <w:tcPr/>
                <w:p>
                  <w:pPr>
                    <w:pStyle w:val="Compact"/>
                    <w:jc w:val="left"/>
                    <w:jc w:val="center"/>
                  </w:pPr>
                  <w:r>
                    <w:t xml:space="preserve">Security-aware</w:t>
                  </w:r>
                </w:p>
              </w:tc>
              <w:tc>
                <w:tcPr/>
                <w:p>
                  <w:pPr>
                    <w:pStyle w:val="Compact"/>
                    <w:jc w:val="right"/>
                    <w:jc w:val="center"/>
                  </w:pPr>
                  <w:r>
                    <w:t xml:space="preserve">12</w:t>
                  </w:r>
                </w:p>
              </w:tc>
              <w:tc>
                <w:tcPr/>
                <w:p>
                  <w:pPr>
                    <w:pStyle w:val="Compact"/>
                    <w:jc w:val="left"/>
                    <w:jc w:val="center"/>
                  </w:pPr>
                  <w:r>
                    <w:t xml:space="preserve">xhigh</w:t>
                  </w:r>
                </w:p>
              </w:tc>
              <w:tc>
                <w:tcPr/>
                <w:p>
                  <w:pPr>
                    <w:pStyle w:val="Compact"/>
                    <w:jc w:val="left"/>
                    <w:jc w:val="center"/>
                  </w:pPr>
                  <w:r>
                    <w:t xml:space="preserve">xhigh</w:t>
                  </w:r>
                </w:p>
              </w:tc>
              <w:tc>
                <w:tcPr/>
                <w:p>
                  <w:pPr>
                    <w:pStyle w:val="Compact"/>
                    <w:jc w:val="right"/>
                    <w:jc w:val="center"/>
                  </w:pPr>
                  <w:r>
                    <w:t xml:space="preserve">39.56</w:t>
                  </w:r>
                </w:p>
              </w:tc>
              <w:tc>
                <w:tcPr/>
                <w:p>
                  <w:pPr>
                    <w:pStyle w:val="Compact"/>
                    <w:jc w:val="right"/>
                    <w:jc w:val="center"/>
                  </w:pPr>
                  <w:r>
                    <w:t xml:space="preserve">48.76</w:t>
                  </w:r>
                </w:p>
              </w:tc>
              <w:tc>
                <w:tcPr/>
                <w:p>
                  <w:pPr>
                    <w:pStyle w:val="Compact"/>
                    <w:jc w:val="right"/>
                    <w:jc w:val="center"/>
                  </w:pPr>
                  <w:r>
                    <w:t xml:space="preserve">1.23</w:t>
                  </w:r>
                </w:p>
              </w:tc>
            </w:tr>
            <w:tr>
              <w:tc>
                <w:tcPr/>
                <w:p>
                  <w:pPr>
                    <w:pStyle w:val="Compact"/>
                    <w:jc w:val="left"/>
                    <w:jc w:val="center"/>
                  </w:pPr>
                  <w:r>
                    <w:t xml:space="preserve">Security-informed</w:t>
                  </w:r>
                </w:p>
              </w:tc>
              <w:tc>
                <w:tcPr/>
                <w:p>
                  <w:pPr>
                    <w:pStyle w:val="Compact"/>
                    <w:jc w:val="right"/>
                    <w:jc w:val="center"/>
                  </w:pPr>
                  <w:r>
                    <w:t xml:space="preserve">6</w:t>
                  </w:r>
                </w:p>
              </w:tc>
              <w:tc>
                <w:tcPr/>
                <w:p>
                  <w:pPr>
                    <w:pStyle w:val="Compact"/>
                    <w:jc w:val="left"/>
                    <w:jc w:val="center"/>
                  </w:pPr>
                  <w:r>
                    <w:t xml:space="preserve">xhigh</w:t>
                  </w:r>
                </w:p>
              </w:tc>
              <w:tc>
                <w:tcPr/>
                <w:p>
                  <w:pPr>
                    <w:pStyle w:val="Compact"/>
                    <w:jc w:val="left"/>
                    <w:jc w:val="center"/>
                  </w:pPr>
                  <w:r>
                    <w:t xml:space="preserve">medium</w:t>
                  </w:r>
                </w:p>
              </w:tc>
              <w:tc>
                <w:tcPr/>
                <w:p>
                  <w:pPr>
                    <w:pStyle w:val="Compact"/>
                    <w:jc w:val="right"/>
                    <w:jc w:val="center"/>
                  </w:pPr>
                  <w:r>
                    <w:t xml:space="preserve">358.46</w:t>
                  </w:r>
                </w:p>
              </w:tc>
              <w:tc>
                <w:tcPr/>
                <w:p>
                  <w:pPr>
                    <w:pStyle w:val="Compact"/>
                    <w:jc w:val="right"/>
                    <w:jc w:val="center"/>
                  </w:pPr>
                  <w:r>
                    <w:t xml:space="preserve">46.38</w:t>
                  </w:r>
                </w:p>
              </w:tc>
              <w:tc>
                <w:tcPr/>
                <w:p>
                  <w:pPr>
                    <w:pStyle w:val="Compact"/>
                    <w:jc w:val="right"/>
                    <w:jc w:val="center"/>
                  </w:pPr>
                  <w:r>
                    <w:t xml:space="preserve">0.13</w:t>
                  </w:r>
                </w:p>
              </w:tc>
            </w:tr>
          </w:tbl>
          <w:bookmarkEnd w:id="55"/>
          <w:p/>
        </w:tc>
      </w:tr>
    </w:tbl>
    <w:p>
      <w:pPr>
        <w:pStyle w:val="BodyText"/>
      </w:pPr>
      <w:hyperlink w:anchor="tbl-run-qwen-effort">
        <w:r>
          <w:rPr>
            <w:rStyle w:val="Hyperlink"/>
          </w:rPr>
          <w:t xml:space="preserve">Table 5</w:t>
        </w:r>
      </w:hyperlink>
      <w:r>
        <w:t xml:space="preserve"> </w:t>
      </w:r>
      <w:r>
        <w:t xml:space="preserve">reports generation and self-review means of 36.11 and 51.75 minutes for Basic, 39.56 and 48.76 minutes for Security-aware, and 358.46 and 46.38 minutes for Security-informed. The corresponding review-to-generation ratios are 1.43, 1.23 and 0.13.</w:t>
      </w:r>
    </w:p>
    <w:tbl>
      <w:tblPr>
        <w:tblStyle w:val="Table"/>
        <w:tblW w:type="pct" w:w="5000"/>
        <w:tblLayout w:type="fixed"/>
        <w:tblLook w:firstRow="0" w:lastRow="0" w:firstColumn="0" w:lastColumn="0" w:noHBand="0" w:noVBand="0" w:val="0000"/>
      </w:tblPr>
      <w:tblGrid>
        <w:gridCol w:w="7920"/>
      </w:tblGrid>
      <w:tr>
        <w:tc>
          <w:tcPr/>
          <w:bookmarkStart w:id="56" w:name="tbl-run-qwen-estimate"/>
          <w:p>
            <w:pPr>
              <w:jc w:val="center"/>
            </w:pPr>
            <w:pPr>
              <w:jc w:val="left"/>
              <w:spacing w:before="200"/>
              <w:pStyle w:val="ImageCaption"/>
            </w:pPr>
            <w:r>
              <w:t xml:space="preserve">Table 6: Qwen panel review hours at medium, and estimated at xhigh · Security-informed, Qwen as reviewer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Qwen panel reviews</w:t>
                  </w:r>
                </w:p>
              </w:tc>
              <w:tc>
                <w:tcPr/>
                <w:p>
                  <w:pPr>
                    <w:pStyle w:val="Compact"/>
                    <w:jc w:val="right"/>
                    <w:jc w:val="center"/>
                  </w:pPr>
                  <w:r>
                    <w:t xml:space="preserve">actual hours at medium</w:t>
                  </w:r>
                </w:p>
              </w:tc>
              <w:tc>
                <w:tcPr/>
                <w:p>
                  <w:pPr>
                    <w:pStyle w:val="Compact"/>
                    <w:jc w:val="right"/>
                    <w:jc w:val="center"/>
                  </w:pPr>
                  <w:r>
                    <w:t xml:space="preserve">estimated hours at xhigh</w:t>
                  </w:r>
                </w:p>
              </w:tc>
            </w:tr>
            <w:tr>
              <w:tc>
                <w:tcPr/>
                <w:p>
                  <w:pPr>
                    <w:pStyle w:val="Compact"/>
                    <w:jc w:val="left"/>
                    <w:jc w:val="center"/>
                  </w:pPr>
                  <w:r>
                    <w:t xml:space="preserve">6 self-reviews</w:t>
                  </w:r>
                </w:p>
              </w:tc>
              <w:tc>
                <w:tcPr/>
                <w:p>
                  <w:pPr>
                    <w:pStyle w:val="Compact"/>
                    <w:jc w:val="right"/>
                    <w:jc w:val="center"/>
                  </w:pPr>
                  <w:r>
                    <w:t xml:space="preserve">4.6</w:t>
                  </w:r>
                </w:p>
              </w:tc>
              <w:tc>
                <w:tcPr/>
                <w:p>
                  <w:pPr>
                    <w:pStyle w:val="Compact"/>
                    <w:jc w:val="right"/>
                    <w:jc w:val="center"/>
                  </w:pPr>
                  <w:r>
                    <w:t xml:space="preserve">47.6</w:t>
                  </w:r>
                </w:p>
              </w:tc>
            </w:tr>
            <w:tr>
              <w:tc>
                <w:tcPr/>
                <w:p>
                  <w:pPr>
                    <w:pStyle w:val="Compact"/>
                    <w:jc w:val="left"/>
                    <w:jc w:val="center"/>
                  </w:pPr>
                  <w:r>
                    <w:t xml:space="preserve">24 reviews (all four generators)</w:t>
                  </w:r>
                </w:p>
              </w:tc>
              <w:tc>
                <w:tcPr/>
                <w:p>
                  <w:pPr>
                    <w:pStyle w:val="Compact"/>
                    <w:jc w:val="right"/>
                    <w:jc w:val="center"/>
                  </w:pPr>
                  <w:r>
                    <w:t xml:space="preserve">14.4</w:t>
                  </w:r>
                </w:p>
              </w:tc>
              <w:tc>
                <w:tcPr/>
                <w:p>
                  <w:pPr>
                    <w:pStyle w:val="Compact"/>
                    <w:jc w:val="right"/>
                    <w:jc w:val="center"/>
                  </w:pPr>
                  <w:r>
                    <w:t xml:space="preserve">190.5</w:t>
                  </w:r>
                </w:p>
              </w:tc>
            </w:tr>
          </w:tbl>
          <w:bookmarkEnd w:id="56"/>
          <w:p/>
        </w:tc>
      </w:tr>
    </w:tbl>
    <w:p>
      <w:pPr>
        <w:pStyle w:val="BodyText"/>
      </w:pPr>
      <w:r>
        <w:t xml:space="preserve">For the 6 Qwen self-reviews,</w:t>
      </w:r>
      <w:r>
        <w:t xml:space="preserve"> </w:t>
      </w:r>
      <w:hyperlink w:anchor="tbl-run-qwen-estimate">
        <w:r>
          <w:rPr>
            <w:rStyle w:val="Hyperlink"/>
          </w:rPr>
          <w:t xml:space="preserve">Table 6</w:t>
        </w:r>
      </w:hyperlink>
      <w:r>
        <w:t xml:space="preserve"> </w:t>
      </w:r>
      <w:r>
        <w:t xml:space="preserve">reports 4.6 actual hours at medium and 47.6 estimated hours at xhigh. Across all 24 panel reviews, the corresponding totals are 14.4 actual hours and 190.5 estimated hours.</w:t>
      </w:r>
    </w:p>
    <w:tbl>
      <w:tblPr>
        <w:tblStyle w:val="Table"/>
        <w:tblW w:type="pct" w:w="5000"/>
        <w:tblLayout w:type="fixed"/>
        <w:tblLook w:firstRow="0" w:lastRow="0" w:firstColumn="0" w:lastColumn="0" w:noHBand="0" w:noVBand="0" w:val="0000"/>
      </w:tblPr>
      <w:tblGrid>
        <w:gridCol w:w="7920"/>
      </w:tblGrid>
      <w:tr>
        <w:tc>
          <w:tcPr/>
          <w:bookmarkStart w:id="60" w:name="fig-run-qwen"/>
          <w:p>
            <w:pPr>
              <w:pStyle w:val="Compact"/>
              <w:jc w:val="center"/>
            </w:pPr>
            <w:r>
              <w:drawing>
                <wp:inline>
                  <wp:extent cx="5334000" cy="2820220"/>
                  <wp:effectExtent b="0" l="0" r="0" t="0"/>
                  <wp:docPr descr="" title="" id="58" name="Picture"/>
                  <a:graphic>
                    <a:graphicData uri="http://schemas.openxmlformats.org/drawingml/2006/picture">
                      <pic:pic>
                        <pic:nvPicPr>
                          <pic:cNvPr descr="final_report_run_cost_files/figure-docx/fig-run-qwen-output-1.png" id="59" name="Picture"/>
                          <pic:cNvPicPr>
                            <a:picLocks noChangeArrowheads="1" noChangeAspect="1"/>
                          </pic:cNvPicPr>
                        </pic:nvPicPr>
                        <pic:blipFill>
                          <a:blip r:embed="rId57"/>
                          <a:stretch>
                            <a:fillRect/>
                          </a:stretch>
                        </pic:blipFill>
                        <pic:spPr bwMode="auto">
                          <a:xfrm>
                            <a:off x="0" y="0"/>
                            <a:ext cx="5334000" cy="2820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Qwen panel review hours: actual at medium and estimated at xhigh · Security-informed, Qwen as reviewer</w:t>
            </w:r>
          </w:p>
          <w:bookmarkEnd w:id="60"/>
        </w:tc>
      </w:tr>
    </w:tbl>
    <w:p>
      <w:pPr>
        <w:pStyle w:val="BodyText"/>
      </w:pPr>
      <w:hyperlink w:anchor="fig-run-qwen">
        <w:r>
          <w:rPr>
            <w:rStyle w:val="Hyperlink"/>
          </w:rPr>
          <w:t xml:space="preserve">Figure 9</w:t>
        </w:r>
      </w:hyperlink>
      <w:r>
        <w:t xml:space="preserve"> </w:t>
      </w:r>
      <w:r>
        <w:t xml:space="preserve">shows the estimated xhigh review time standing well above the actual medium-effort time for both the self-review subset and the full four-generator panel. The separation is larger for the full panel.</w:t>
      </w:r>
    </w:p>
    <w:bookmarkEnd w:id="61"/>
    <w:bookmarkStart w:id="62" w:name="sec-run-reading"/>
    <w:p>
      <w:pPr>
        <w:pStyle w:val="Heading2"/>
      </w:pPr>
      <w:r>
        <w:t xml:space="preserve">Reading these numbers</w:t>
      </w:r>
    </w:p>
    <w:p>
      <w:pPr>
        <w:pStyle w:val="FirstParagraph"/>
      </w:pPr>
      <w:r>
        <w:t xml:space="preserve">Time, token and turn values are the values reported by each assistant’s CLI under its configured model, effort setting, scaffolding and hardware. Generation costs belong to the generator and review costs to the reviewer, while the token-processed measure follows the assistant-specific accounting described above. Where a value is missing, including all Codex run times, it was not reported.</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cost data report</dc:title>
  <dc:creator/>
  <cp:keywords/>
  <dcterms:created xsi:type="dcterms:W3CDTF">2026-10-19T10:58:04Z</dcterms:created>
  <dcterms:modified xsi:type="dcterms:W3CDTF">2026-10-19T10:58:04Z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python3</vt:lpwstr>
  </property>
  <property fmtid="{D5CDD505-2E9C-101B-9397-08002B2CF9AE}" pid="8" name="labels">
    <vt:lpwstr/>
  </property>
  <property fmtid="{D5CDD505-2E9C-101B-9397-08002B2CF9AE}" pid="9" name="toc-title">
    <vt:lpwstr>Table of contents</vt:lpwstr>
  </property>
</Properties>
</file>