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48.png" ContentType="image/png"/>
  <Override PartName="/word/media/rId108.png" ContentType="image/png"/>
  <Override PartName="/word/media/rId14.png" ContentType="image/png"/>
  <Override PartName="/word/media/rId69.png" ContentType="image/png"/>
  <Override PartName="/word/media/rId127.png" ContentType="image/png"/>
  <Override PartName="/word/media/rId79.png" ContentType="image/png"/>
  <Override PartName="/word/media/rId55.png" ContentType="image/png"/>
  <Override PartName="/word/media/rId137.png" ContentType="image/png"/>
  <Override PartName="/word/media/rId28.png" ContentType="image/png"/>
  <Override PartName="/word/media/rId33.png" ContentType="image/png"/>
  <Override PartName="/word/media/rId101.png" ContentType="image/png"/>
  <Override PartName="/word/media/rId74.png" ContentType="image/png"/>
  <Override PartName="/word/media/rId132.png" ContentType="image/png"/>
  <Override PartName="/word/media/rId84.png" ContentType="image/png"/>
  <Override PartName="/word/media/rId62.png" ContentType="image/png"/>
  <Override PartName="/word/media/rId142.png" ContentType="image/png"/>
  <Override PartName="/word/media/rId21.png" ContentType="image/png"/>
  <Override PartName="/word/media/rId96.png" ContentType="image/png"/>
  <Override PartName="/word/media/rId89.png" ContentType="image/png"/>
  <Override PartName="/word/media/rId43.png" ContentType="image/png"/>
  <Override PartName="/word/media/rId11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findings data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2"/>
      </w:pPr>
      <w:r>
        <w:t xml:space="preserve">Executive summary</w:t>
      </w:r>
    </w:p>
    <w:p>
      <w:pPr>
        <w:pStyle w:val="Compact"/>
        <w:numPr>
          <w:ilvl w:val="0"/>
          <w:numId w:val="1001"/>
        </w:numPr>
      </w:pPr>
      <w:r>
        <w:t xml:space="preserve">Across 120 generated programs and 192 reviews, reviewers reported 1217 findings; 7 reviews had no findings.</w:t>
      </w:r>
    </w:p>
    <w:p>
      <w:pPr>
        <w:pStyle w:val="Compact"/>
        <w:numPr>
          <w:ilvl w:val="0"/>
          <w:numId w:val="1001"/>
        </w:numPr>
      </w:pPr>
      <w:r>
        <w:t xml:space="preserve">Self-reviews produced 300 findings in Basic, 315 in Security-aware, and 139 in Security-informed, with 6.25, 6.56, and 5.79 findings per review, respectively.</w:t>
      </w:r>
    </w:p>
    <w:p>
      <w:pPr>
        <w:pStyle w:val="Compact"/>
        <w:numPr>
          <w:ilvl w:val="0"/>
          <w:numId w:val="1001"/>
        </w:numPr>
      </w:pPr>
      <w:r>
        <w:t xml:space="preserve">Across 48 matched Basic and Security-aware self-review pairs, the mean delta was 0.31 findings, with a CI from -0.29 to 0.94; 18 pairs had fewer findings, 23 had more, and 7 were ties.</w:t>
      </w:r>
    </w:p>
    <w:p>
      <w:pPr>
        <w:pStyle w:val="Compact"/>
        <w:numPr>
          <w:ilvl w:val="0"/>
          <w:numId w:val="1001"/>
        </w:numPr>
      </w:pPr>
      <w:r>
        <w:t xml:space="preserve">Sensitive data was the largest Security-informed rule grouping, with 339 findings (27.9%), followed by Authentication and access with 207 (17.0%); 159 findings (13.1%) were assigned no rule.</w:t>
      </w:r>
    </w:p>
    <w:p>
      <w:pPr>
        <w:pStyle w:val="Compact"/>
        <w:numPr>
          <w:ilvl w:val="0"/>
          <w:numId w:val="1001"/>
        </w:numPr>
      </w:pPr>
      <w:r>
        <w:t xml:space="preserve">CWE-307 was the most-reported CWE with 90 findings (7.4%); the 14 most-reported CWEs together accounted for 51.9% of all reviewer-reported findings.</w:t>
      </w:r>
    </w:p>
    <w:p>
      <w:pPr>
        <w:pStyle w:val="Compact"/>
        <w:numPr>
          <w:ilvl w:val="0"/>
          <w:numId w:val="1001"/>
        </w:numPr>
      </w:pPr>
      <w:r>
        <w:t xml:space="preserve">Exact-CWE agreement was limited: 64.3% of 387 (program, category) pairs were named by one reviewer, while OWASP-category pairs were more often shared across reviewers.</w:t>
      </w:r>
    </w:p>
    <w:bookmarkEnd w:id="9"/>
    <w:bookmarkStart w:id="11" w:name="X8dec4a04358581e4eb4610fd89bf9bf09e4033a"/>
    <w:p>
      <w:pPr>
        <w:pStyle w:val="Heading2"/>
      </w:pPr>
      <w:r>
        <w:t xml:space="preserve">The eight Security-informed rules and the CWEs assigned to them</w:t>
      </w:r>
    </w:p>
    <w:tbl>
      <w:tblPr>
        <w:tblStyle w:val="Table"/>
        <w:tblW w:type="pct" w:w="5000"/>
        <w:tblLayout w:type="fixed"/>
        <w:tblLook w:firstRow="0" w:lastRow="0" w:firstColumn="0" w:lastColumn="0" w:noHBand="0" w:noVBand="0" w:val="0000"/>
      </w:tblPr>
      <w:tblGrid>
        <w:gridCol w:w="7920"/>
      </w:tblGrid>
      <w:tr>
        <w:tc>
          <w:tcPr/>
          <w:bookmarkStart w:id="10" w:name="tbl-rules"/>
          <w:p>
            <w:pPr>
              <w:jc w:val="center"/>
            </w:pPr>
            <w:pPr>
              <w:jc w:val="left"/>
              <w:spacing w:before="200"/>
              <w:pStyle w:val="ImageCaption"/>
            </w:pPr>
            <w:r>
              <w:t xml:space="preserve">Table 1: The eight Security-informed rules and the CWEs assigned to them · All findings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rule</w:t>
                  </w:r>
                </w:p>
              </w:tc>
              <w:tc>
                <w:tcPr/>
                <w:p>
                  <w:pPr>
                    <w:pStyle w:val="Compact"/>
                    <w:jc w:val="left"/>
                    <w:jc w:val="center"/>
                  </w:pPr>
                  <w:r>
                    <w:t xml:space="preserve">CWEs</w:t>
                  </w:r>
                </w:p>
              </w:tc>
              <w:tc>
                <w:tcPr/>
                <w:p>
                  <w:pPr>
                    <w:pStyle w:val="Compact"/>
                    <w:jc w:val="right"/>
                    <w:jc w:val="center"/>
                  </w:pPr>
                  <w:r>
                    <w:t xml:space="preserve">findings</w:t>
                  </w:r>
                </w:p>
              </w:tc>
              <w:tc>
                <w:tcPr/>
                <w:p>
                  <w:pPr>
                    <w:pStyle w:val="Compact"/>
                    <w:jc w:val="right"/>
                    <w:jc w:val="center"/>
                  </w:pPr>
                  <w:r>
                    <w:t xml:space="preserve">% of all findings</w:t>
                  </w:r>
                </w:p>
              </w:tc>
            </w:tr>
            <w:tr>
              <w:tc>
                <w:tcPr/>
                <w:p>
                  <w:pPr>
                    <w:pStyle w:val="Compact"/>
                    <w:jc w:val="left"/>
                    <w:jc w:val="center"/>
                  </w:pPr>
                  <w:r>
                    <w:t xml:space="preserve">1 Trust boundaries</w:t>
                  </w:r>
                </w:p>
              </w:tc>
              <w:tc>
                <w:tcPr/>
                <w:p>
                  <w:pPr>
                    <w:pStyle w:val="Compact"/>
                    <w:jc w:val="left"/>
                    <w:jc w:val="center"/>
                  </w:pPr>
                  <w:r>
                    <w:t xml:space="preserve">CWE-15, CWE-20, CWE-22, CWE-59, CWE-89, CWE-116, CWE-117, CWE-178, CWE-290, CWE-345, CWE-807, CWE-1284</w:t>
                  </w:r>
                </w:p>
              </w:tc>
              <w:tc>
                <w:tcPr/>
                <w:p>
                  <w:pPr>
                    <w:pStyle w:val="Compact"/>
                    <w:jc w:val="right"/>
                    <w:jc w:val="center"/>
                  </w:pPr>
                  <w:r>
                    <w:t xml:space="preserve">99</w:t>
                  </w:r>
                </w:p>
              </w:tc>
              <w:tc>
                <w:tcPr/>
                <w:p>
                  <w:pPr>
                    <w:pStyle w:val="Compact"/>
                    <w:jc w:val="right"/>
                    <w:jc w:val="center"/>
                  </w:pPr>
                  <w:r>
                    <w:t xml:space="preserve">8.1</w:t>
                  </w:r>
                </w:p>
              </w:tc>
            </w:tr>
            <w:tr>
              <w:tc>
                <w:tcPr/>
                <w:p>
                  <w:pPr>
                    <w:pStyle w:val="Compact"/>
                    <w:jc w:val="left"/>
                    <w:jc w:val="center"/>
                  </w:pPr>
                  <w:r>
                    <w:t xml:space="preserve">2 Secrets</w:t>
                  </w:r>
                </w:p>
              </w:tc>
              <w:tc>
                <w:tcPr/>
                <w:p>
                  <w:pPr>
                    <w:pStyle w:val="Compact"/>
                    <w:jc w:val="left"/>
                    <w:jc w:val="center"/>
                  </w:pPr>
                  <w:r>
                    <w:t xml:space="preserve">CWE-214, CWE-256, CWE-321, CWE-323, CWE-522, CWE-526, CWE-798</w:t>
                  </w:r>
                </w:p>
              </w:tc>
              <w:tc>
                <w:tcPr/>
                <w:p>
                  <w:pPr>
                    <w:pStyle w:val="Compact"/>
                    <w:jc w:val="right"/>
                    <w:jc w:val="center"/>
                  </w:pPr>
                  <w:r>
                    <w:t xml:space="preserve">86</w:t>
                  </w:r>
                </w:p>
              </w:tc>
              <w:tc>
                <w:tcPr/>
                <w:p>
                  <w:pPr>
                    <w:pStyle w:val="Compact"/>
                    <w:jc w:val="right"/>
                    <w:jc w:val="center"/>
                  </w:pPr>
                  <w:r>
                    <w:t xml:space="preserve">7.1</w:t>
                  </w:r>
                </w:p>
              </w:tc>
            </w:tr>
            <w:tr>
              <w:tc>
                <w:tcPr/>
                <w:p>
                  <w:pPr>
                    <w:pStyle w:val="Compact"/>
                    <w:jc w:val="left"/>
                    <w:jc w:val="center"/>
                  </w:pPr>
                  <w:r>
                    <w:t xml:space="preserve">3 Authentication and access</w:t>
                  </w:r>
                </w:p>
              </w:tc>
              <w:tc>
                <w:tcPr/>
                <w:p>
                  <w:pPr>
                    <w:pStyle w:val="Compact"/>
                    <w:jc w:val="left"/>
                    <w:jc w:val="center"/>
                  </w:pPr>
                  <w:r>
                    <w:t xml:space="preserve">CWE-284, CWE-287, CWE-306, CWE-307, CWE-521, CWE-636, CWE-645, CWE-799, CWE-862</w:t>
                  </w:r>
                </w:p>
              </w:tc>
              <w:tc>
                <w:tcPr/>
                <w:p>
                  <w:pPr>
                    <w:pStyle w:val="Compact"/>
                    <w:jc w:val="right"/>
                    <w:jc w:val="center"/>
                  </w:pPr>
                  <w:r>
                    <w:t xml:space="preserve">207</w:t>
                  </w:r>
                </w:p>
              </w:tc>
              <w:tc>
                <w:tcPr/>
                <w:p>
                  <w:pPr>
                    <w:pStyle w:val="Compact"/>
                    <w:jc w:val="right"/>
                    <w:jc w:val="center"/>
                  </w:pPr>
                  <w:r>
                    <w:t xml:space="preserve">17.0</w:t>
                  </w:r>
                </w:p>
              </w:tc>
            </w:tr>
            <w:tr>
              <w:tc>
                <w:tcPr/>
                <w:p>
                  <w:pPr>
                    <w:pStyle w:val="Compact"/>
                    <w:jc w:val="left"/>
                    <w:jc w:val="center"/>
                  </w:pPr>
                  <w:r>
                    <w:t xml:space="preserve">4 Identifiers and tokens</w:t>
                  </w:r>
                </w:p>
              </w:tc>
              <w:tc>
                <w:tcPr/>
                <w:p>
                  <w:pPr>
                    <w:pStyle w:val="Compact"/>
                    <w:jc w:val="left"/>
                    <w:jc w:val="center"/>
                  </w:pPr>
                  <w:r>
                    <w:t xml:space="preserve">CWE-330, CWE-338, CWE-352, CWE-384, CWE-613, CWE-614, CWE-1004</w:t>
                  </w:r>
                </w:p>
              </w:tc>
              <w:tc>
                <w:tcPr/>
                <w:p>
                  <w:pPr>
                    <w:pStyle w:val="Compact"/>
                    <w:jc w:val="right"/>
                    <w:jc w:val="center"/>
                  </w:pPr>
                  <w:r>
                    <w:t xml:space="preserve">60</w:t>
                  </w:r>
                </w:p>
              </w:tc>
              <w:tc>
                <w:tcPr/>
                <w:p>
                  <w:pPr>
                    <w:pStyle w:val="Compact"/>
                    <w:jc w:val="right"/>
                    <w:jc w:val="center"/>
                  </w:pPr>
                  <w:r>
                    <w:t xml:space="preserve">4.9</w:t>
                  </w:r>
                </w:p>
              </w:tc>
            </w:tr>
            <w:tr>
              <w:tc>
                <w:tcPr/>
                <w:p>
                  <w:pPr>
                    <w:pStyle w:val="Compact"/>
                    <w:jc w:val="left"/>
                    <w:jc w:val="center"/>
                  </w:pPr>
                  <w:r>
                    <w:t xml:space="preserve">5 Sensitive data</w:t>
                  </w:r>
                </w:p>
              </w:tc>
              <w:tc>
                <w:tcPr/>
                <w:p>
                  <w:pPr>
                    <w:pStyle w:val="Compact"/>
                    <w:jc w:val="left"/>
                    <w:jc w:val="center"/>
                  </w:pPr>
                  <w:r>
                    <w:t xml:space="preserve">CWE-226, CWE-244, CWE-276, CWE-316, CWE-319, CWE-359, CWE-377, CWE-400, CWE-532, CWE-549, CWE-732, CWE-770, CWE-779</w:t>
                  </w:r>
                </w:p>
              </w:tc>
              <w:tc>
                <w:tcPr/>
                <w:p>
                  <w:pPr>
                    <w:pStyle w:val="Compact"/>
                    <w:jc w:val="right"/>
                    <w:jc w:val="center"/>
                  </w:pPr>
                  <w:r>
                    <w:t xml:space="preserve">339</w:t>
                  </w:r>
                </w:p>
              </w:tc>
              <w:tc>
                <w:tcPr/>
                <w:p>
                  <w:pPr>
                    <w:pStyle w:val="Compact"/>
                    <w:jc w:val="right"/>
                    <w:jc w:val="center"/>
                  </w:pPr>
                  <w:r>
                    <w:t xml:space="preserve">27.9</w:t>
                  </w:r>
                </w:p>
              </w:tc>
            </w:tr>
            <w:tr>
              <w:tc>
                <w:tcPr/>
                <w:p>
                  <w:pPr>
                    <w:pStyle w:val="Compact"/>
                    <w:jc w:val="left"/>
                    <w:jc w:val="center"/>
                  </w:pPr>
                  <w:r>
                    <w:t xml:space="preserve">6 Failure behaviour</w:t>
                  </w:r>
                </w:p>
              </w:tc>
              <w:tc>
                <w:tcPr/>
                <w:p>
                  <w:pPr>
                    <w:pStyle w:val="Compact"/>
                    <w:jc w:val="left"/>
                    <w:jc w:val="center"/>
                  </w:pPr>
                  <w:r>
                    <w:t xml:space="preserve">CWE-200, CWE-203, CWE-204, CWE-208, CWE-209, CWE-754, CWE-1188</w:t>
                  </w:r>
                </w:p>
              </w:tc>
              <w:tc>
                <w:tcPr/>
                <w:p>
                  <w:pPr>
                    <w:pStyle w:val="Compact"/>
                    <w:jc w:val="right"/>
                    <w:jc w:val="center"/>
                  </w:pPr>
                  <w:r>
                    <w:t xml:space="preserve">121</w:t>
                  </w:r>
                </w:p>
              </w:tc>
              <w:tc>
                <w:tcPr/>
                <w:p>
                  <w:pPr>
                    <w:pStyle w:val="Compact"/>
                    <w:jc w:val="right"/>
                    <w:jc w:val="center"/>
                  </w:pPr>
                  <w:r>
                    <w:t xml:space="preserve">9.9</w:t>
                  </w:r>
                </w:p>
              </w:tc>
            </w:tr>
            <w:tr>
              <w:tc>
                <w:tcPr/>
                <w:p>
                  <w:pPr>
                    <w:pStyle w:val="Compact"/>
                    <w:jc w:val="left"/>
                    <w:jc w:val="center"/>
                  </w:pPr>
                  <w:r>
                    <w:t xml:space="preserve">7 Concurrency</w:t>
                  </w:r>
                </w:p>
              </w:tc>
              <w:tc>
                <w:tcPr/>
                <w:p>
                  <w:pPr>
                    <w:pStyle w:val="Compact"/>
                    <w:jc w:val="left"/>
                    <w:jc w:val="center"/>
                  </w:pPr>
                  <w:r>
                    <w:t xml:space="preserve">CWE-362, CWE-367</w:t>
                  </w:r>
                </w:p>
              </w:tc>
              <w:tc>
                <w:tcPr/>
                <w:p>
                  <w:pPr>
                    <w:pStyle w:val="Compact"/>
                    <w:jc w:val="right"/>
                    <w:jc w:val="center"/>
                  </w:pPr>
                  <w:r>
                    <w:t xml:space="preserve">67</w:t>
                  </w:r>
                </w:p>
              </w:tc>
              <w:tc>
                <w:tcPr/>
                <w:p>
                  <w:pPr>
                    <w:pStyle w:val="Compact"/>
                    <w:jc w:val="right"/>
                    <w:jc w:val="center"/>
                  </w:pPr>
                  <w:r>
                    <w:t xml:space="preserve">5.5</w:t>
                  </w:r>
                </w:p>
              </w:tc>
            </w:tr>
            <w:tr>
              <w:tc>
                <w:tcPr/>
                <w:p>
                  <w:pPr>
                    <w:pStyle w:val="Compact"/>
                    <w:jc w:val="left"/>
                    <w:jc w:val="center"/>
                  </w:pPr>
                  <w:r>
                    <w:t xml:space="preserve">8 Prefer the platform</w:t>
                  </w:r>
                </w:p>
              </w:tc>
              <w:tc>
                <w:tcPr/>
                <w:p>
                  <w:pPr>
                    <w:pStyle w:val="Compact"/>
                    <w:jc w:val="left"/>
                    <w:jc w:val="center"/>
                  </w:pPr>
                  <w:r>
                    <w:t xml:space="preserve">CWE-326, CWE-327, CWE-494, CWE-759, CWE-829, CWE-916, CWE-1395</w:t>
                  </w:r>
                </w:p>
              </w:tc>
              <w:tc>
                <w:tcPr/>
                <w:p>
                  <w:pPr>
                    <w:pStyle w:val="Compact"/>
                    <w:jc w:val="right"/>
                    <w:jc w:val="center"/>
                  </w:pPr>
                  <w:r>
                    <w:t xml:space="preserve">79</w:t>
                  </w:r>
                </w:p>
              </w:tc>
              <w:tc>
                <w:tcPr/>
                <w:p>
                  <w:pPr>
                    <w:pStyle w:val="Compact"/>
                    <w:jc w:val="right"/>
                    <w:jc w:val="center"/>
                  </w:pPr>
                  <w:r>
                    <w:t xml:space="preserve">6.5</w:t>
                  </w:r>
                </w:p>
              </w:tc>
            </w:tr>
            <w:tr>
              <w:tc>
                <w:tcPr/>
                <w:p>
                  <w:pPr>
                    <w:pStyle w:val="Compact"/>
                    <w:jc w:val="left"/>
                    <w:jc w:val="center"/>
                  </w:pPr>
                  <w:r>
                    <w:t xml:space="preserve">No rule</w:t>
                  </w:r>
                </w:p>
              </w:tc>
              <w:tc>
                <w:tcPr/>
                <w:p>
                  <w:pPr>
                    <w:pStyle w:val="Compact"/>
                    <w:jc w:val="left"/>
                    <w:jc w:val="center"/>
                  </w:pPr>
                  <w:r>
                    <w:t xml:space="preserve">every CWE not listed above</w:t>
                  </w:r>
                </w:p>
              </w:tc>
              <w:tc>
                <w:tcPr/>
                <w:p>
                  <w:pPr>
                    <w:pStyle w:val="Compact"/>
                    <w:jc w:val="right"/>
                    <w:jc w:val="center"/>
                  </w:pPr>
                  <w:r>
                    <w:t xml:space="preserve">159</w:t>
                  </w:r>
                </w:p>
              </w:tc>
              <w:tc>
                <w:tcPr/>
                <w:p>
                  <w:pPr>
                    <w:pStyle w:val="Compact"/>
                    <w:jc w:val="right"/>
                    <w:jc w:val="center"/>
                  </w:pPr>
                  <w:r>
                    <w:t xml:space="preserve">13.1</w:t>
                  </w:r>
                </w:p>
              </w:tc>
            </w:tr>
          </w:tbl>
          <w:bookmarkEnd w:id="10"/>
          <w:p/>
        </w:tc>
      </w:tr>
    </w:tbl>
    <w:p>
      <w:pPr>
        <w:pStyle w:val="BodyText"/>
      </w:pPr>
      <w:r>
        <w:t xml:space="preserve">Sensitive data was the largest rule grouping in</w:t>
      </w:r>
      <w:r>
        <w:t xml:space="preserve"> </w:t>
      </w:r>
      <w:hyperlink w:anchor="tbl-rules">
        <w:r>
          <w:rPr>
            <w:rStyle w:val="Hyperlink"/>
          </w:rPr>
          <w:t xml:space="preserve">Table 1</w:t>
        </w:r>
      </w:hyperlink>
      <w:r>
        <w:t xml:space="preserve">, with 339 reviewer-reported findings (27.9%), followed by Authentication and access with 207 (17.0%). Findings assigned no rule numbered 159 (13.1%), while Identifiers and tokens was the smallest rule grouping with 60 (4.9%).</w:t>
      </w:r>
    </w:p>
    <w:bookmarkEnd w:id="11"/>
    <w:bookmarkStart w:id="13" w:name="programs-reviews-and-findings"/>
    <w:p>
      <w:pPr>
        <w:pStyle w:val="Heading2"/>
      </w:pPr>
      <w:r>
        <w:t xml:space="preserve">Programs, reviews and findings</w:t>
      </w:r>
    </w:p>
    <w:tbl>
      <w:tblPr>
        <w:tblStyle w:val="Table"/>
        <w:tblW w:type="pct" w:w="5000"/>
        <w:tblLayout w:type="fixed"/>
        <w:tblLook w:firstRow="0" w:lastRow="0" w:firstColumn="0" w:lastColumn="0" w:noHBand="0" w:noVBand="0" w:val="0000"/>
      </w:tblPr>
      <w:tblGrid>
        <w:gridCol w:w="7920"/>
      </w:tblGrid>
      <w:tr>
        <w:tc>
          <w:tcPr/>
          <w:bookmarkStart w:id="12" w:name="tbl-accounting"/>
          <w:p>
            <w:pPr>
              <w:jc w:val="center"/>
            </w:pPr>
            <w:pPr>
              <w:jc w:val="left"/>
              <w:spacing w:before="200"/>
              <w:pStyle w:val="ImageCaption"/>
            </w:pPr>
            <w:r>
              <w:t xml:space="preserve">Table 2: Programs, reviews and findings · All conditions, all reviews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condition</w:t>
                  </w:r>
                </w:p>
              </w:tc>
              <w:tc>
                <w:tcPr/>
                <w:p>
                  <w:pPr>
                    <w:pStyle w:val="Compact"/>
                    <w:jc w:val="right"/>
                    <w:jc w:val="center"/>
                  </w:pPr>
                  <w:r>
                    <w:t xml:space="preserve">programs</w:t>
                  </w:r>
                </w:p>
              </w:tc>
              <w:tc>
                <w:tcPr/>
                <w:p>
                  <w:pPr>
                    <w:pStyle w:val="Compact"/>
                    <w:jc w:val="right"/>
                    <w:jc w:val="center"/>
                  </w:pPr>
                  <w:r>
                    <w:t xml:space="preserve">self-reviews</w:t>
                  </w:r>
                </w:p>
              </w:tc>
              <w:tc>
                <w:tcPr/>
                <w:p>
                  <w:pPr>
                    <w:pStyle w:val="Compact"/>
                    <w:jc w:val="right"/>
                    <w:jc w:val="center"/>
                  </w:pPr>
                  <w:r>
                    <w:t xml:space="preserve">external reviews</w:t>
                  </w:r>
                </w:p>
              </w:tc>
              <w:tc>
                <w:tcPr/>
                <w:p>
                  <w:pPr>
                    <w:pStyle w:val="Compact"/>
                    <w:jc w:val="right"/>
                    <w:jc w:val="center"/>
                  </w:pPr>
                  <w:r>
                    <w:t xml:space="preserve">reviews with no findings</w:t>
                  </w:r>
                </w:p>
              </w:tc>
              <w:tc>
                <w:tcPr/>
                <w:p>
                  <w:pPr>
                    <w:pStyle w:val="Compact"/>
                    <w:jc w:val="right"/>
                    <w:jc w:val="center"/>
                  </w:pPr>
                  <w:r>
                    <w:t xml:space="preserve">findings</w:t>
                  </w:r>
                </w:p>
              </w:tc>
            </w:tr>
            <w:tr>
              <w:tc>
                <w:tcPr/>
                <w:p>
                  <w:pPr>
                    <w:pStyle w:val="Compact"/>
                    <w:jc w:val="left"/>
                    <w:jc w:val="center"/>
                  </w:pPr>
                  <w:r>
                    <w:t xml:space="preserve">Basic</w:t>
                  </w:r>
                </w:p>
              </w:tc>
              <w:tc>
                <w:tcPr/>
                <w:p>
                  <w:pPr>
                    <w:pStyle w:val="Compact"/>
                    <w:jc w:val="right"/>
                    <w:jc w:val="center"/>
                  </w:pPr>
                  <w:r>
                    <w:t xml:space="preserve">48</w:t>
                  </w:r>
                </w:p>
              </w:tc>
              <w:tc>
                <w:tcPr/>
                <w:p>
                  <w:pPr>
                    <w:pStyle w:val="Compact"/>
                    <w:jc w:val="right"/>
                    <w:jc w:val="center"/>
                  </w:pPr>
                  <w:r>
                    <w:t xml:space="preserve">48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300</w:t>
                  </w:r>
                </w:p>
              </w:tc>
            </w:tr>
            <w:tr>
              <w:tc>
                <w:tcPr/>
                <w:p>
                  <w:pPr>
                    <w:pStyle w:val="Compact"/>
                    <w:jc w:val="left"/>
                    <w:jc w:val="center"/>
                  </w:pPr>
                  <w:r>
                    <w:t xml:space="preserve">Security-aware</w:t>
                  </w:r>
                </w:p>
              </w:tc>
              <w:tc>
                <w:tcPr/>
                <w:p>
                  <w:pPr>
                    <w:pStyle w:val="Compact"/>
                    <w:jc w:val="right"/>
                    <w:jc w:val="center"/>
                  </w:pPr>
                  <w:r>
                    <w:t xml:space="preserve">48</w:t>
                  </w:r>
                </w:p>
              </w:tc>
              <w:tc>
                <w:tcPr/>
                <w:p>
                  <w:pPr>
                    <w:pStyle w:val="Compact"/>
                    <w:jc w:val="right"/>
                    <w:jc w:val="center"/>
                  </w:pPr>
                  <w:r>
                    <w:t xml:space="preserve">48</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315</w:t>
                  </w:r>
                </w:p>
              </w:tc>
            </w:tr>
            <w:tr>
              <w:tc>
                <w:tcPr/>
                <w:p>
                  <w:pPr>
                    <w:pStyle w:val="Compact"/>
                    <w:jc w:val="left"/>
                    <w:jc w:val="center"/>
                  </w:pPr>
                  <w:r>
                    <w:t xml:space="preserve">Security-informed</w:t>
                  </w:r>
                </w:p>
              </w:tc>
              <w:tc>
                <w:tcPr/>
                <w:p>
                  <w:pPr>
                    <w:pStyle w:val="Compact"/>
                    <w:jc w:val="right"/>
                    <w:jc w:val="center"/>
                  </w:pPr>
                  <w:r>
                    <w:t xml:space="preserve">24</w:t>
                  </w:r>
                </w:p>
              </w:tc>
              <w:tc>
                <w:tcPr/>
                <w:p>
                  <w:pPr>
                    <w:pStyle w:val="Compact"/>
                    <w:jc w:val="right"/>
                    <w:jc w:val="center"/>
                  </w:pPr>
                  <w:r>
                    <w:t xml:space="preserve">24</w:t>
                  </w:r>
                </w:p>
              </w:tc>
              <w:tc>
                <w:tcPr/>
                <w:p>
                  <w:pPr>
                    <w:pStyle w:val="Compact"/>
                    <w:jc w:val="right"/>
                    <w:jc w:val="center"/>
                  </w:pPr>
                  <w:r>
                    <w:t xml:space="preserve">72</w:t>
                  </w:r>
                </w:p>
              </w:tc>
              <w:tc>
                <w:tcPr/>
                <w:p>
                  <w:pPr>
                    <w:pStyle w:val="Compact"/>
                    <w:jc w:val="right"/>
                    <w:jc w:val="center"/>
                  </w:pPr>
                  <w:r>
                    <w:t xml:space="preserve">6</w:t>
                  </w:r>
                </w:p>
              </w:tc>
              <w:tc>
                <w:tcPr/>
                <w:p>
                  <w:pPr>
                    <w:pStyle w:val="Compact"/>
                    <w:jc w:val="right"/>
                    <w:jc w:val="center"/>
                  </w:pPr>
                  <w:r>
                    <w:t xml:space="preserve">602</w:t>
                  </w:r>
                </w:p>
              </w:tc>
            </w:tr>
          </w:tbl>
          <w:bookmarkEnd w:id="12"/>
          <w:p/>
        </w:tc>
      </w:tr>
    </w:tbl>
    <w:p>
      <w:pPr>
        <w:pStyle w:val="BodyText"/>
      </w:pPr>
      <w:hyperlink w:anchor="tbl-accounting">
        <w:r>
          <w:rPr>
            <w:rStyle w:val="Hyperlink"/>
          </w:rPr>
          <w:t xml:space="preserve">Table 2</w:t>
        </w:r>
      </w:hyperlink>
      <w:r>
        <w:t xml:space="preserve"> </w:t>
      </w:r>
      <w:r>
        <w:t xml:space="preserve">contains 48 programs and 48 self-reviews each for Basic and Security-aware, and 24 programs, 24 self-reviews, and 72 external reviews for Security-informed. Reviewers reported 300, 315, and 602 findings in those conditions, respectively, with 0, 1, and 6 reviews having no findings.</w:t>
      </w:r>
    </w:p>
    <w:bookmarkEnd w:id="13"/>
    <w:bookmarkStart w:id="18" w:name="completed-reviews-per-task-and-generator"/>
    <w:p>
      <w:pPr>
        <w:pStyle w:val="Heading2"/>
      </w:pPr>
      <w:r>
        <w:t xml:space="preserve">Completed reviews per task and generator</w:t>
      </w:r>
    </w:p>
    <w:tbl>
      <w:tblPr>
        <w:tblStyle w:val="Table"/>
        <w:tblW w:type="pct" w:w="5000"/>
        <w:tblLayout w:type="fixed"/>
        <w:tblLook w:firstRow="0" w:lastRow="0" w:firstColumn="0" w:lastColumn="0" w:noHBand="0" w:noVBand="0" w:val="0000"/>
      </w:tblPr>
      <w:tblGrid>
        <w:gridCol w:w="7920"/>
      </w:tblGrid>
      <w:tr>
        <w:tc>
          <w:tcPr/>
          <w:bookmarkStart w:id="17" w:name="fig-completeness"/>
          <w:p>
            <w:pPr>
              <w:pStyle w:val="Compact"/>
              <w:jc w:val="center"/>
            </w:pPr>
            <w:r>
              <w:drawing>
                <wp:inline>
                  <wp:extent cx="5334000" cy="1947333"/>
                  <wp:effectExtent b="0" l="0" r="0" t="0"/>
                  <wp:docPr descr="" title="" id="15" name="Picture"/>
                  <a:graphic>
                    <a:graphicData uri="http://schemas.openxmlformats.org/drawingml/2006/picture">
                      <pic:pic>
                        <pic:nvPicPr>
                          <pic:cNvPr descr="final_report_findings_files/figure-docx/fig-completeness-output-1.png" id="16" name="Picture"/>
                          <pic:cNvPicPr>
                            <a:picLocks noChangeArrowheads="1" noChangeAspect="1"/>
                          </pic:cNvPicPr>
                        </pic:nvPicPr>
                        <pic:blipFill>
                          <a:blip r:embed="rId14"/>
                          <a:stretch>
                            <a:fillRect/>
                          </a:stretch>
                        </pic:blipFill>
                        <pic:spPr bwMode="auto">
                          <a:xfrm>
                            <a:off x="0" y="0"/>
                            <a:ext cx="5334000" cy="1947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Completed reviews per task and generator · All conditions, all reviews</w:t>
            </w:r>
          </w:p>
          <w:bookmarkEnd w:id="17"/>
        </w:tc>
      </w:tr>
    </w:tbl>
    <w:p>
      <w:pPr>
        <w:pStyle w:val="BodyText"/>
      </w:pPr>
      <w:hyperlink w:anchor="fig-completeness">
        <w:r>
          <w:rPr>
            <w:rStyle w:val="Hyperlink"/>
          </w:rPr>
          <w:t xml:space="preserve">Figure 1</w:t>
        </w:r>
      </w:hyperlink>
      <w:r>
        <w:t xml:space="preserve"> </w:t>
      </w:r>
      <w:r>
        <w:t xml:space="preserve">shows uniform completed-review coverage across every task and generator within each condition. The Security-informed panel includes both self-review and external-review coverage, while the Basic and Security-aware panels contain self-reviews.</w:t>
      </w:r>
    </w:p>
    <w:bookmarkEnd w:id="18"/>
    <w:bookmarkStart w:id="20" w:name="Xab5614e250e05847b6102332ee8fbb8004e035f"/>
    <w:p>
      <w:pPr>
        <w:pStyle w:val="Heading2"/>
      </w:pPr>
      <w:r>
        <w:t xml:space="preserve">Paired difference in findings per review, overall and by generator</w:t>
      </w:r>
    </w:p>
    <w:tbl>
      <w:tblPr>
        <w:tblStyle w:val="Table"/>
        <w:tblW w:type="pct" w:w="5000"/>
        <w:tblLayout w:type="fixed"/>
        <w:tblLook w:firstRow="0" w:lastRow="0" w:firstColumn="0" w:lastColumn="0" w:noHBand="0" w:noVBand="0" w:val="0000"/>
      </w:tblPr>
      <w:tblGrid>
        <w:gridCol w:w="7920"/>
      </w:tblGrid>
      <w:tr>
        <w:tc>
          <w:tcPr/>
          <w:bookmarkStart w:id="19" w:name="tbl-paired"/>
          <w:p>
            <w:pPr>
              <w:jc w:val="center"/>
            </w:pPr>
            <w:pPr>
              <w:jc w:val="left"/>
              <w:spacing w:before="200"/>
              <w:pStyle w:val="ImageCaption"/>
            </w:pPr>
            <w:r>
              <w:t xml:space="preserve">Table 3: Paired difference in findings per review, overall and by generator · Basic and Security-aware, matched pairs, self-review</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jc w:val="center"/>
                  </w:pPr>
                  <w:r>
                    <w:t xml:space="preserve">scope</w:t>
                  </w:r>
                </w:p>
              </w:tc>
              <w:tc>
                <w:tcPr/>
                <w:p>
                  <w:pPr>
                    <w:pStyle w:val="Compact"/>
                    <w:jc w:val="right"/>
                    <w:jc w:val="center"/>
                  </w:pPr>
                  <w:r>
                    <w:t xml:space="preserve">pairs</w:t>
                  </w:r>
                </w:p>
              </w:tc>
              <w:tc>
                <w:tcPr/>
                <w:p>
                  <w:pPr>
                    <w:pStyle w:val="Compact"/>
                    <w:jc w:val="right"/>
                    <w:jc w:val="center"/>
                  </w:pPr>
                  <w:r>
                    <w:t xml:space="preserve">Basic mean</w:t>
                  </w:r>
                </w:p>
              </w:tc>
              <w:tc>
                <w:tcPr/>
                <w:p>
                  <w:pPr>
                    <w:pStyle w:val="Compact"/>
                    <w:jc w:val="right"/>
                    <w:jc w:val="center"/>
                  </w:pPr>
                  <w:r>
                    <w:t xml:space="preserve">Security-aware mean</w:t>
                  </w:r>
                </w:p>
              </w:tc>
              <w:tc>
                <w:tcPr/>
                <w:p>
                  <w:pPr>
                    <w:pStyle w:val="Compact"/>
                    <w:jc w:val="right"/>
                    <w:jc w:val="center"/>
                  </w:pPr>
                  <w:r>
                    <w:t xml:space="preserve">mean delta</w:t>
                  </w:r>
                </w:p>
              </w:tc>
              <w:tc>
                <w:tcPr/>
                <w:p>
                  <w:pPr>
                    <w:pStyle w:val="Compact"/>
                    <w:jc w:val="right"/>
                    <w:jc w:val="center"/>
                  </w:pPr>
                  <w:r>
                    <w:t xml:space="preserve">median delta</w:t>
                  </w:r>
                </w:p>
              </w:tc>
              <w:tc>
                <w:tcPr/>
                <w:p>
                  <w:pPr>
                    <w:pStyle w:val="Compact"/>
                    <w:jc w:val="right"/>
                    <w:jc w:val="center"/>
                  </w:pPr>
                  <w:r>
                    <w:t xml:space="preserve">fewer</w:t>
                  </w:r>
                </w:p>
              </w:tc>
              <w:tc>
                <w:tcPr/>
                <w:p>
                  <w:pPr>
                    <w:pStyle w:val="Compact"/>
                    <w:jc w:val="right"/>
                    <w:jc w:val="center"/>
                  </w:pPr>
                  <w:r>
                    <w:t xml:space="preserve">more</w:t>
                  </w:r>
                </w:p>
              </w:tc>
              <w:tc>
                <w:tcPr/>
                <w:p>
                  <w:pPr>
                    <w:pStyle w:val="Compact"/>
                    <w:jc w:val="right"/>
                    <w:jc w:val="center"/>
                  </w:pPr>
                  <w:r>
                    <w:t xml:space="preserve">ties</w:t>
                  </w:r>
                </w:p>
              </w:tc>
              <w:tc>
                <w:tcPr/>
                <w:p>
                  <w:pPr>
                    <w:pStyle w:val="Compact"/>
                    <w:jc w:val="right"/>
                    <w:jc w:val="center"/>
                  </w:pPr>
                  <w:r>
                    <w:t xml:space="preserve">CI low</w:t>
                  </w:r>
                </w:p>
              </w:tc>
              <w:tc>
                <w:tcPr/>
                <w:p>
                  <w:pPr>
                    <w:pStyle w:val="Compact"/>
                    <w:jc w:val="right"/>
                    <w:jc w:val="center"/>
                  </w:pPr>
                  <w:r>
                    <w:t xml:space="preserve">CI high</w:t>
                  </w:r>
                </w:p>
              </w:tc>
            </w:tr>
            <w:tr>
              <w:tc>
                <w:tcPr/>
                <w:p>
                  <w:pPr>
                    <w:pStyle w:val="Compact"/>
                    <w:jc w:val="left"/>
                    <w:jc w:val="center"/>
                  </w:pPr>
                  <w:r>
                    <w:t xml:space="preserve">all</w:t>
                  </w:r>
                </w:p>
              </w:tc>
              <w:tc>
                <w:tcPr/>
                <w:p>
                  <w:pPr>
                    <w:pStyle w:val="Compact"/>
                    <w:jc w:val="right"/>
                    <w:jc w:val="center"/>
                  </w:pPr>
                  <w:r>
                    <w:t xml:space="preserve">48</w:t>
                  </w:r>
                </w:p>
              </w:tc>
              <w:tc>
                <w:tcPr/>
                <w:p>
                  <w:pPr>
                    <w:pStyle w:val="Compact"/>
                    <w:jc w:val="right"/>
                    <w:jc w:val="center"/>
                  </w:pPr>
                  <w:r>
                    <w:t xml:space="preserve">6.25</w:t>
                  </w:r>
                </w:p>
              </w:tc>
              <w:tc>
                <w:tcPr/>
                <w:p>
                  <w:pPr>
                    <w:pStyle w:val="Compact"/>
                    <w:jc w:val="right"/>
                    <w:jc w:val="center"/>
                  </w:pPr>
                  <w:r>
                    <w:t xml:space="preserve">6.56</w:t>
                  </w:r>
                </w:p>
              </w:tc>
              <w:tc>
                <w:tcPr/>
                <w:p>
                  <w:pPr>
                    <w:pStyle w:val="Compact"/>
                    <w:jc w:val="right"/>
                    <w:jc w:val="center"/>
                  </w:pPr>
                  <w:r>
                    <w:t xml:space="preserve">0.31</w:t>
                  </w:r>
                </w:p>
              </w:tc>
              <w:tc>
                <w:tcPr/>
                <w:p>
                  <w:pPr>
                    <w:pStyle w:val="Compact"/>
                    <w:jc w:val="right"/>
                    <w:jc w:val="center"/>
                  </w:pPr>
                  <w:r>
                    <w:t xml:space="preserve">0.0</w:t>
                  </w:r>
                </w:p>
              </w:tc>
              <w:tc>
                <w:tcPr/>
                <w:p>
                  <w:pPr>
                    <w:pStyle w:val="Compact"/>
                    <w:jc w:val="right"/>
                    <w:jc w:val="center"/>
                  </w:pPr>
                  <w:r>
                    <w:t xml:space="preserve">18</w:t>
                  </w:r>
                </w:p>
              </w:tc>
              <w:tc>
                <w:tcPr/>
                <w:p>
                  <w:pPr>
                    <w:pStyle w:val="Compact"/>
                    <w:jc w:val="right"/>
                    <w:jc w:val="center"/>
                  </w:pPr>
                  <w:r>
                    <w:t xml:space="preserve">23</w:t>
                  </w:r>
                </w:p>
              </w:tc>
              <w:tc>
                <w:tcPr/>
                <w:p>
                  <w:pPr>
                    <w:pStyle w:val="Compact"/>
                    <w:jc w:val="right"/>
                    <w:jc w:val="center"/>
                  </w:pPr>
                  <w:r>
                    <w:t xml:space="preserve">7</w:t>
                  </w:r>
                </w:p>
              </w:tc>
              <w:tc>
                <w:tcPr/>
                <w:p>
                  <w:pPr>
                    <w:pStyle w:val="Compact"/>
                    <w:jc w:val="right"/>
                    <w:jc w:val="center"/>
                  </w:pPr>
                  <w:r>
                    <w:t xml:space="preserve">-0.29</w:t>
                  </w:r>
                </w:p>
              </w:tc>
              <w:tc>
                <w:tcPr/>
                <w:p>
                  <w:pPr>
                    <w:pStyle w:val="Compact"/>
                    <w:jc w:val="right"/>
                    <w:jc w:val="center"/>
                  </w:pPr>
                  <w:r>
                    <w:t xml:space="preserve">0.94</w:t>
                  </w:r>
                </w:p>
              </w:tc>
            </w:tr>
            <w:tr>
              <w:tc>
                <w:tcPr/>
                <w:p>
                  <w:pPr>
                    <w:pStyle w:val="Compact"/>
                    <w:jc w:val="left"/>
                    <w:jc w:val="center"/>
                  </w:pPr>
                  <w:r>
                    <w:t xml:space="preserve">agy</w:t>
                  </w:r>
                </w:p>
              </w:tc>
              <w:tc>
                <w:tcPr/>
                <w:p>
                  <w:pPr>
                    <w:pStyle w:val="Compact"/>
                    <w:jc w:val="right"/>
                    <w:jc w:val="center"/>
                  </w:pPr>
                  <w:r>
                    <w:t xml:space="preserve">12</w:t>
                  </w:r>
                </w:p>
              </w:tc>
              <w:tc>
                <w:tcPr/>
                <w:p>
                  <w:pPr>
                    <w:pStyle w:val="Compact"/>
                    <w:jc w:val="right"/>
                    <w:jc w:val="center"/>
                  </w:pPr>
                  <w:r>
                    <w:t xml:space="preserve">6.33</w:t>
                  </w:r>
                </w:p>
              </w:tc>
              <w:tc>
                <w:tcPr/>
                <w:p>
                  <w:pPr>
                    <w:pStyle w:val="Compact"/>
                    <w:jc w:val="right"/>
                    <w:jc w:val="center"/>
                  </w:pPr>
                  <w:r>
                    <w:t xml:space="preserve">7.42</w:t>
                  </w:r>
                </w:p>
              </w:tc>
              <w:tc>
                <w:tcPr/>
                <w:p>
                  <w:pPr>
                    <w:pStyle w:val="Compact"/>
                    <w:jc w:val="right"/>
                    <w:jc w:val="center"/>
                  </w:pPr>
                  <w:r>
                    <w:t xml:space="preserve">1.08</w:t>
                  </w:r>
                </w:p>
              </w:tc>
              <w:tc>
                <w:tcPr/>
                <w:p>
                  <w:pPr>
                    <w:pStyle w:val="Compact"/>
                    <w:jc w:val="right"/>
                    <w:jc w:val="center"/>
                  </w:pPr>
                  <w:r>
                    <w:t xml:space="preserve">1.0</w:t>
                  </w:r>
                </w:p>
              </w:tc>
              <w:tc>
                <w:tcPr/>
                <w:p>
                  <w:pPr>
                    <w:pStyle w:val="Compact"/>
                    <w:jc w:val="right"/>
                    <w:jc w:val="center"/>
                  </w:pPr>
                  <w:r>
                    <w:t xml:space="preserve">2</w:t>
                  </w:r>
                </w:p>
              </w:tc>
              <w:tc>
                <w:tcPr/>
                <w:p>
                  <w:pPr>
                    <w:pStyle w:val="Compact"/>
                    <w:jc w:val="right"/>
                    <w:jc w:val="center"/>
                  </w:pPr>
                  <w:r>
                    <w:t xml:space="preserve">9</w:t>
                  </w:r>
                </w:p>
              </w:tc>
              <w:tc>
                <w:tcPr/>
                <w:p>
                  <w:pPr>
                    <w:pStyle w:val="Compact"/>
                    <w:jc w:val="right"/>
                    <w:jc w:val="center"/>
                  </w:pPr>
                  <w:r>
                    <w:t xml:space="preserve">1</w:t>
                  </w:r>
                </w:p>
              </w:tc>
              <w:tc>
                <w:tcPr/>
                <w:p>
                  <w:pPr>
                    <w:pStyle w:val="Compact"/>
                    <w:jc w:val="right"/>
                    <w:jc w:val="center"/>
                  </w:pPr>
                  <w:r>
                    <w:t xml:space="preserve">0.17</w:t>
                  </w:r>
                </w:p>
              </w:tc>
              <w:tc>
                <w:tcPr/>
                <w:p>
                  <w:pPr>
                    <w:pStyle w:val="Compact"/>
                    <w:jc w:val="right"/>
                    <w:jc w:val="center"/>
                  </w:pPr>
                  <w:r>
                    <w:t xml:space="preserve">1.92</w:t>
                  </w:r>
                </w:p>
              </w:tc>
            </w:tr>
            <w:tr>
              <w:tc>
                <w:tcPr/>
                <w:p>
                  <w:pPr>
                    <w:pStyle w:val="Compact"/>
                    <w:jc w:val="left"/>
                    <w:jc w:val="center"/>
                  </w:pPr>
                  <w:r>
                    <w:t xml:space="preserve">claude</w:t>
                  </w:r>
                </w:p>
              </w:tc>
              <w:tc>
                <w:tcPr/>
                <w:p>
                  <w:pPr>
                    <w:pStyle w:val="Compact"/>
                    <w:jc w:val="right"/>
                    <w:jc w:val="center"/>
                  </w:pPr>
                  <w:r>
                    <w:t xml:space="preserve">12</w:t>
                  </w:r>
                </w:p>
              </w:tc>
              <w:tc>
                <w:tcPr/>
                <w:p>
                  <w:pPr>
                    <w:pStyle w:val="Compact"/>
                    <w:jc w:val="right"/>
                    <w:jc w:val="center"/>
                  </w:pPr>
                  <w:r>
                    <w:t xml:space="preserve">5.5</w:t>
                  </w:r>
                </w:p>
              </w:tc>
              <w:tc>
                <w:tcPr/>
                <w:p>
                  <w:pPr>
                    <w:pStyle w:val="Compact"/>
                    <w:jc w:val="right"/>
                    <w:jc w:val="center"/>
                  </w:pPr>
                  <w:r>
                    <w:t xml:space="preserve">5.75</w:t>
                  </w:r>
                </w:p>
              </w:tc>
              <w:tc>
                <w:tcPr/>
                <w:p>
                  <w:pPr>
                    <w:pStyle w:val="Compact"/>
                    <w:jc w:val="right"/>
                    <w:jc w:val="center"/>
                  </w:pPr>
                  <w:r>
                    <w:t xml:space="preserve">0.25</w:t>
                  </w:r>
                </w:p>
              </w:tc>
              <w:tc>
                <w:tcPr/>
                <w:p>
                  <w:pPr>
                    <w:pStyle w:val="Compact"/>
                    <w:jc w:val="right"/>
                    <w:jc w:val="center"/>
                  </w:pPr>
                  <w:r>
                    <w:t xml:space="preserve">0.0</w:t>
                  </w:r>
                </w:p>
              </w:tc>
              <w:tc>
                <w:tcPr/>
                <w:p>
                  <w:pPr>
                    <w:pStyle w:val="Compact"/>
                    <w:jc w:val="right"/>
                    <w:jc w:val="center"/>
                  </w:pPr>
                  <w:r>
                    <w:t xml:space="preserve">3</w:t>
                  </w:r>
                </w:p>
              </w:tc>
              <w:tc>
                <w:tcPr/>
                <w:p>
                  <w:pPr>
                    <w:pStyle w:val="Compact"/>
                    <w:jc w:val="right"/>
                    <w:jc w:val="center"/>
                  </w:pPr>
                  <w:r>
                    <w:t xml:space="preserve">5</w:t>
                  </w:r>
                </w:p>
              </w:tc>
              <w:tc>
                <w:tcPr/>
                <w:p>
                  <w:pPr>
                    <w:pStyle w:val="Compact"/>
                    <w:jc w:val="right"/>
                    <w:jc w:val="center"/>
                  </w:pPr>
                  <w:r>
                    <w:t xml:space="preserve">4</w:t>
                  </w:r>
                </w:p>
              </w:tc>
              <w:tc>
                <w:tcPr/>
                <w:p>
                  <w:pPr>
                    <w:pStyle w:val="Compact"/>
                    <w:jc w:val="right"/>
                    <w:jc w:val="center"/>
                  </w:pPr>
                  <w:r>
                    <w:t xml:space="preserve">-0.83</w:t>
                  </w:r>
                </w:p>
              </w:tc>
              <w:tc>
                <w:tcPr/>
                <w:p>
                  <w:pPr>
                    <w:pStyle w:val="Compact"/>
                    <w:jc w:val="right"/>
                    <w:jc w:val="center"/>
                  </w:pPr>
                  <w:r>
                    <w:t xml:space="preserve">1.25</w:t>
                  </w:r>
                </w:p>
              </w:tc>
            </w:tr>
            <w:tr>
              <w:tc>
                <w:tcPr/>
                <w:p>
                  <w:pPr>
                    <w:pStyle w:val="Compact"/>
                    <w:jc w:val="left"/>
                    <w:jc w:val="center"/>
                  </w:pPr>
                  <w:r>
                    <w:t xml:space="preserve">codex</w:t>
                  </w:r>
                </w:p>
              </w:tc>
              <w:tc>
                <w:tcPr/>
                <w:p>
                  <w:pPr>
                    <w:pStyle w:val="Compact"/>
                    <w:jc w:val="right"/>
                    <w:jc w:val="center"/>
                  </w:pPr>
                  <w:r>
                    <w:t xml:space="preserve">12</w:t>
                  </w:r>
                </w:p>
              </w:tc>
              <w:tc>
                <w:tcPr/>
                <w:p>
                  <w:pPr>
                    <w:pStyle w:val="Compact"/>
                    <w:jc w:val="right"/>
                    <w:jc w:val="center"/>
                  </w:pPr>
                  <w:r>
                    <w:t xml:space="preserve">4.33</w:t>
                  </w:r>
                </w:p>
              </w:tc>
              <w:tc>
                <w:tcPr/>
                <w:p>
                  <w:pPr>
                    <w:pStyle w:val="Compact"/>
                    <w:jc w:val="right"/>
                    <w:jc w:val="center"/>
                  </w:pPr>
                  <w:r>
                    <w:t xml:space="preserve">3.58</w:t>
                  </w:r>
                </w:p>
              </w:tc>
              <w:tc>
                <w:tcPr/>
                <w:p>
                  <w:pPr>
                    <w:pStyle w:val="Compact"/>
                    <w:jc w:val="right"/>
                    <w:jc w:val="center"/>
                  </w:pPr>
                  <w:r>
                    <w:t xml:space="preserve">-0.75</w:t>
                  </w:r>
                </w:p>
              </w:tc>
              <w:tc>
                <w:tcPr/>
                <w:p>
                  <w:pPr>
                    <w:pStyle w:val="Compact"/>
                    <w:jc w:val="right"/>
                    <w:jc w:val="center"/>
                  </w:pPr>
                  <w:r>
                    <w:t xml:space="preserve">-1.0</w:t>
                  </w:r>
                </w:p>
              </w:tc>
              <w:tc>
                <w:tcPr/>
                <w:p>
                  <w:pPr>
                    <w:pStyle w:val="Compact"/>
                    <w:jc w:val="right"/>
                    <w:jc w:val="center"/>
                  </w:pPr>
                  <w:r>
                    <w:t xml:space="preserve">7</w:t>
                  </w:r>
                </w:p>
              </w:tc>
              <w:tc>
                <w:tcPr/>
                <w:p>
                  <w:pPr>
                    <w:pStyle w:val="Compact"/>
                    <w:jc w:val="right"/>
                    <w:jc w:val="center"/>
                  </w:pPr>
                  <w:r>
                    <w:t xml:space="preserve">4</w:t>
                  </w:r>
                </w:p>
              </w:tc>
              <w:tc>
                <w:tcPr/>
                <w:p>
                  <w:pPr>
                    <w:pStyle w:val="Compact"/>
                    <w:jc w:val="right"/>
                    <w:jc w:val="center"/>
                  </w:pPr>
                  <w:r>
                    <w:t xml:space="preserve">1</w:t>
                  </w:r>
                </w:p>
              </w:tc>
              <w:tc>
                <w:tcPr/>
                <w:p>
                  <w:pPr>
                    <w:pStyle w:val="Compact"/>
                    <w:jc w:val="right"/>
                    <w:jc w:val="center"/>
                  </w:pPr>
                  <w:r>
                    <w:t xml:space="preserve">-1.67</w:t>
                  </w:r>
                </w:p>
              </w:tc>
              <w:tc>
                <w:tcPr/>
                <w:p>
                  <w:pPr>
                    <w:pStyle w:val="Compact"/>
                    <w:jc w:val="right"/>
                    <w:jc w:val="center"/>
                  </w:pPr>
                  <w:r>
                    <w:t xml:space="preserve">0.17</w:t>
                  </w:r>
                </w:p>
              </w:tc>
            </w:tr>
            <w:tr>
              <w:tc>
                <w:tcPr/>
                <w:p>
                  <w:pPr>
                    <w:pStyle w:val="Compact"/>
                    <w:jc w:val="left"/>
                    <w:jc w:val="center"/>
                  </w:pPr>
                  <w:r>
                    <w:t xml:space="preserve">qwen</w:t>
                  </w:r>
                </w:p>
              </w:tc>
              <w:tc>
                <w:tcPr/>
                <w:p>
                  <w:pPr>
                    <w:pStyle w:val="Compact"/>
                    <w:jc w:val="right"/>
                    <w:jc w:val="center"/>
                  </w:pPr>
                  <w:r>
                    <w:t xml:space="preserve">12</w:t>
                  </w:r>
                </w:p>
              </w:tc>
              <w:tc>
                <w:tcPr/>
                <w:p>
                  <w:pPr>
                    <w:pStyle w:val="Compact"/>
                    <w:jc w:val="right"/>
                    <w:jc w:val="center"/>
                  </w:pPr>
                  <w:r>
                    <w:t xml:space="preserve">8.83</w:t>
                  </w:r>
                </w:p>
              </w:tc>
              <w:tc>
                <w:tcPr/>
                <w:p>
                  <w:pPr>
                    <w:pStyle w:val="Compact"/>
                    <w:jc w:val="right"/>
                    <w:jc w:val="center"/>
                  </w:pPr>
                  <w:r>
                    <w:t xml:space="preserve">9.5</w:t>
                  </w:r>
                </w:p>
              </w:tc>
              <w:tc>
                <w:tcPr/>
                <w:p>
                  <w:pPr>
                    <w:pStyle w:val="Compact"/>
                    <w:jc w:val="right"/>
                    <w:jc w:val="center"/>
                  </w:pPr>
                  <w:r>
                    <w:t xml:space="preserve">0.67</w:t>
                  </w:r>
                </w:p>
              </w:tc>
              <w:tc>
                <w:tcPr/>
                <w:p>
                  <w:pPr>
                    <w:pStyle w:val="Compact"/>
                    <w:jc w:val="right"/>
                    <w:jc w:val="center"/>
                  </w:pPr>
                  <w:r>
                    <w:t xml:space="preserve">-0.5</w:t>
                  </w:r>
                </w:p>
              </w:tc>
              <w:tc>
                <w:tcPr/>
                <w:p>
                  <w:pPr>
                    <w:pStyle w:val="Compact"/>
                    <w:jc w:val="right"/>
                    <w:jc w:val="center"/>
                  </w:pPr>
                  <w:r>
                    <w:t xml:space="preserve">6</w:t>
                  </w:r>
                </w:p>
              </w:tc>
              <w:tc>
                <w:tcPr/>
                <w:p>
                  <w:pPr>
                    <w:pStyle w:val="Compact"/>
                    <w:jc w:val="right"/>
                    <w:jc w:val="center"/>
                  </w:pPr>
                  <w:r>
                    <w:t xml:space="preserve">5</w:t>
                  </w:r>
                </w:p>
              </w:tc>
              <w:tc>
                <w:tcPr/>
                <w:p>
                  <w:pPr>
                    <w:pStyle w:val="Compact"/>
                    <w:jc w:val="right"/>
                    <w:jc w:val="center"/>
                  </w:pPr>
                  <w:r>
                    <w:t xml:space="preserve">1</w:t>
                  </w:r>
                </w:p>
              </w:tc>
              <w:tc>
                <w:tcPr/>
                <w:p>
                  <w:pPr>
                    <w:pStyle w:val="Compact"/>
                    <w:jc w:val="right"/>
                    <w:jc w:val="center"/>
                  </w:pPr>
                  <w:r>
                    <w:t xml:space="preserve">-1.0</w:t>
                  </w:r>
                </w:p>
              </w:tc>
              <w:tc>
                <w:tcPr/>
                <w:p>
                  <w:pPr>
                    <w:pStyle w:val="Compact"/>
                    <w:jc w:val="right"/>
                    <w:jc w:val="center"/>
                  </w:pPr>
                  <w:r>
                    <w:t xml:space="preserve">2.33</w:t>
                  </w:r>
                </w:p>
              </w:tc>
            </w:tr>
          </w:tbl>
          <w:bookmarkEnd w:id="19"/>
          <w:p/>
        </w:tc>
      </w:tr>
    </w:tbl>
    <w:p>
      <w:pPr>
        <w:pStyle w:val="BodyText"/>
      </w:pPr>
      <w:r>
        <w:t xml:space="preserve">Across all 48 matched pairs in</w:t>
      </w:r>
      <w:r>
        <w:t xml:space="preserve"> </w:t>
      </w:r>
      <w:hyperlink w:anchor="tbl-paired">
        <w:r>
          <w:rPr>
            <w:rStyle w:val="Hyperlink"/>
          </w:rPr>
          <w:t xml:space="preserve">Table 3</w:t>
        </w:r>
      </w:hyperlink>
      <w:r>
        <w:t xml:space="preserve">, Security-aware averaged 6.56 findings versus 6.25 for Basic, for a mean delta of 0.31 and a CI from -0.29 to 0.94; 18 pairs had fewer findings, 23 had more, and 7 tied. The agy mean delta was 1.08 with a CI from 0.17 to 1.92, whereas the codex mean delta was -0.75 with a CI from -1.67 to 0.17.</w:t>
      </w:r>
    </w:p>
    <w:bookmarkEnd w:id="20"/>
    <w:bookmarkStart w:id="25" w:name="X95ef6a6e238bba3d5c4f5fcb3fd2807b8deddc8"/>
    <w:p>
      <w:pPr>
        <w:pStyle w:val="Heading2"/>
      </w:pPr>
      <w:r>
        <w:t xml:space="preserve">Paired difference in findings per review by generator</w:t>
      </w:r>
    </w:p>
    <w:tbl>
      <w:tblPr>
        <w:tblStyle w:val="Table"/>
        <w:tblW w:type="pct" w:w="5000"/>
        <w:tblLayout w:type="fixed"/>
        <w:tblLook w:firstRow="0" w:lastRow="0" w:firstColumn="0" w:lastColumn="0" w:noHBand="0" w:noVBand="0" w:val="0000"/>
      </w:tblPr>
      <w:tblGrid>
        <w:gridCol w:w="7920"/>
      </w:tblGrid>
      <w:tr>
        <w:tc>
          <w:tcPr/>
          <w:bookmarkStart w:id="24" w:name="fig-paired"/>
          <w:p>
            <w:pPr>
              <w:pStyle w:val="Compact"/>
              <w:jc w:val="center"/>
            </w:pPr>
            <w:r>
              <w:drawing>
                <wp:inline>
                  <wp:extent cx="5334000" cy="2776910"/>
                  <wp:effectExtent b="0" l="0" r="0" t="0"/>
                  <wp:docPr descr="" title="" id="22" name="Picture"/>
                  <a:graphic>
                    <a:graphicData uri="http://schemas.openxmlformats.org/drawingml/2006/picture">
                      <pic:pic>
                        <pic:nvPicPr>
                          <pic:cNvPr descr="final_report_findings_files/figure-docx/fig-paired-output-1.png" id="23" name="Picture"/>
                          <pic:cNvPicPr>
                            <a:picLocks noChangeArrowheads="1" noChangeAspect="1"/>
                          </pic:cNvPicPr>
                        </pic:nvPicPr>
                        <pic:blipFill>
                          <a:blip r:embed="rId21"/>
                          <a:stretch>
                            <a:fillRect/>
                          </a:stretch>
                        </pic:blipFill>
                        <pic:spPr bwMode="auto">
                          <a:xfrm>
                            <a:off x="0" y="0"/>
                            <a:ext cx="5334000" cy="277691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Paired difference in findings per review by generator · Basic and Security-aware, matched pairs, self-review</w:t>
            </w:r>
          </w:p>
          <w:bookmarkEnd w:id="24"/>
        </w:tc>
      </w:tr>
    </w:tbl>
    <w:p>
      <w:pPr>
        <w:pStyle w:val="BodyText"/>
      </w:pPr>
      <w:hyperlink w:anchor="fig-paired">
        <w:r>
          <w:rPr>
            <w:rStyle w:val="Hyperlink"/>
          </w:rPr>
          <w:t xml:space="preserve">Figure 2</w:t>
        </w:r>
      </w:hyperlink>
      <w:r>
        <w:t xml:space="preserve"> </w:t>
      </w:r>
      <w:r>
        <w:t xml:space="preserve">shows matched-pair changes on both sides of zero for every generator. The mean marker is positive for agy, claude, and qwen, and negative for codex, with agy showing the clearest positive shift.</w:t>
      </w:r>
    </w:p>
    <w:bookmarkEnd w:id="25"/>
    <w:bookmarkStart w:id="27" w:name="Xc604524350a8748b38f3abe1234bd14f7678721"/>
    <w:p>
      <w:pPr>
        <w:pStyle w:val="Heading2"/>
      </w:pPr>
      <w:r>
        <w:t xml:space="preserve">Findings per review, median and High/Critical share</w:t>
      </w:r>
    </w:p>
    <w:tbl>
      <w:tblPr>
        <w:tblStyle w:val="Table"/>
        <w:tblW w:type="pct" w:w="5000"/>
        <w:tblLayout w:type="fixed"/>
        <w:tblLook w:firstRow="0" w:lastRow="0" w:firstColumn="0" w:lastColumn="0" w:noHBand="0" w:noVBand="0" w:val="0000"/>
      </w:tblPr>
      <w:tblGrid>
        <w:gridCol w:w="7920"/>
      </w:tblGrid>
      <w:tr>
        <w:tc>
          <w:tcPr/>
          <w:bookmarkStart w:id="26" w:name="tbl-conditions"/>
          <w:p>
            <w:pPr>
              <w:jc w:val="center"/>
            </w:pPr>
            <w:pPr>
              <w:jc w:val="left"/>
              <w:spacing w:before="200"/>
              <w:pStyle w:val="ImageCaption"/>
            </w:pPr>
            <w:r>
              <w:t xml:space="preserve">Table 4: Findings per review, median and High/Critical share · All conditions, self-review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condition</w:t>
                  </w:r>
                </w:p>
              </w:tc>
              <w:tc>
                <w:tcPr/>
                <w:p>
                  <w:pPr>
                    <w:pStyle w:val="Compact"/>
                    <w:jc w:val="right"/>
                    <w:jc w:val="center"/>
                  </w:pPr>
                  <w:r>
                    <w:t xml:space="preserve">self-reviews</w:t>
                  </w:r>
                </w:p>
              </w:tc>
              <w:tc>
                <w:tcPr/>
                <w:p>
                  <w:pPr>
                    <w:pStyle w:val="Compact"/>
                    <w:jc w:val="right"/>
                    <w:jc w:val="center"/>
                  </w:pPr>
                  <w:r>
                    <w:t xml:space="preserve">findings</w:t>
                  </w:r>
                </w:p>
              </w:tc>
              <w:tc>
                <w:tcPr/>
                <w:p>
                  <w:pPr>
                    <w:pStyle w:val="Compact"/>
                    <w:jc w:val="right"/>
                    <w:jc w:val="center"/>
                  </w:pPr>
                  <w:r>
                    <w:t xml:space="preserve">findings per review</w:t>
                  </w:r>
                </w:p>
              </w:tc>
              <w:tc>
                <w:tcPr/>
                <w:p>
                  <w:pPr>
                    <w:pStyle w:val="Compact"/>
                    <w:jc w:val="right"/>
                    <w:jc w:val="center"/>
                  </w:pPr>
                  <w:r>
                    <w:t xml:space="preserve">median</w:t>
                  </w:r>
                </w:p>
              </w:tc>
              <w:tc>
                <w:tcPr/>
                <w:p>
                  <w:pPr>
                    <w:pStyle w:val="Compact"/>
                    <w:jc w:val="right"/>
                    <w:jc w:val="center"/>
                  </w:pPr>
                  <w:r>
                    <w:t xml:space="preserve">High/Critical %</w:t>
                  </w:r>
                </w:p>
              </w:tc>
            </w:tr>
            <w:tr>
              <w:tc>
                <w:tcPr/>
                <w:p>
                  <w:pPr>
                    <w:pStyle w:val="Compact"/>
                    <w:jc w:val="left"/>
                    <w:jc w:val="center"/>
                  </w:pPr>
                  <w:r>
                    <w:t xml:space="preserve">Basic</w:t>
                  </w:r>
                </w:p>
              </w:tc>
              <w:tc>
                <w:tcPr/>
                <w:p>
                  <w:pPr>
                    <w:pStyle w:val="Compact"/>
                    <w:jc w:val="right"/>
                    <w:jc w:val="center"/>
                  </w:pPr>
                  <w:r>
                    <w:t xml:space="preserve">48</w:t>
                  </w:r>
                </w:p>
              </w:tc>
              <w:tc>
                <w:tcPr/>
                <w:p>
                  <w:pPr>
                    <w:pStyle w:val="Compact"/>
                    <w:jc w:val="right"/>
                    <w:jc w:val="center"/>
                  </w:pPr>
                  <w:r>
                    <w:t xml:space="preserve">300</w:t>
                  </w:r>
                </w:p>
              </w:tc>
              <w:tc>
                <w:tcPr/>
                <w:p>
                  <w:pPr>
                    <w:pStyle w:val="Compact"/>
                    <w:jc w:val="right"/>
                    <w:jc w:val="center"/>
                  </w:pPr>
                  <w:r>
                    <w:t xml:space="preserve">6.25</w:t>
                  </w:r>
                </w:p>
              </w:tc>
              <w:tc>
                <w:tcPr/>
                <w:p>
                  <w:pPr>
                    <w:pStyle w:val="Compact"/>
                    <w:jc w:val="right"/>
                    <w:jc w:val="center"/>
                  </w:pPr>
                  <w:r>
                    <w:t xml:space="preserve">6.0</w:t>
                  </w:r>
                </w:p>
              </w:tc>
              <w:tc>
                <w:tcPr/>
                <w:p>
                  <w:pPr>
                    <w:pStyle w:val="Compact"/>
                    <w:jc w:val="right"/>
                    <w:jc w:val="center"/>
                  </w:pPr>
                  <w:r>
                    <w:t xml:space="preserve">16.67</w:t>
                  </w:r>
                </w:p>
              </w:tc>
            </w:tr>
            <w:tr>
              <w:tc>
                <w:tcPr/>
                <w:p>
                  <w:pPr>
                    <w:pStyle w:val="Compact"/>
                    <w:jc w:val="left"/>
                    <w:jc w:val="center"/>
                  </w:pPr>
                  <w:r>
                    <w:t xml:space="preserve">Security-aware</w:t>
                  </w:r>
                </w:p>
              </w:tc>
              <w:tc>
                <w:tcPr/>
                <w:p>
                  <w:pPr>
                    <w:pStyle w:val="Compact"/>
                    <w:jc w:val="right"/>
                    <w:jc w:val="center"/>
                  </w:pPr>
                  <w:r>
                    <w:t xml:space="preserve">48</w:t>
                  </w:r>
                </w:p>
              </w:tc>
              <w:tc>
                <w:tcPr/>
                <w:p>
                  <w:pPr>
                    <w:pStyle w:val="Compact"/>
                    <w:jc w:val="right"/>
                    <w:jc w:val="center"/>
                  </w:pPr>
                  <w:r>
                    <w:t xml:space="preserve">315</w:t>
                  </w:r>
                </w:p>
              </w:tc>
              <w:tc>
                <w:tcPr/>
                <w:p>
                  <w:pPr>
                    <w:pStyle w:val="Compact"/>
                    <w:jc w:val="right"/>
                    <w:jc w:val="center"/>
                  </w:pPr>
                  <w:r>
                    <w:t xml:space="preserve">6.56</w:t>
                  </w:r>
                </w:p>
              </w:tc>
              <w:tc>
                <w:tcPr/>
                <w:p>
                  <w:pPr>
                    <w:pStyle w:val="Compact"/>
                    <w:jc w:val="right"/>
                    <w:jc w:val="center"/>
                  </w:pPr>
                  <w:r>
                    <w:t xml:space="preserve">7.0</w:t>
                  </w:r>
                </w:p>
              </w:tc>
              <w:tc>
                <w:tcPr/>
                <w:p>
                  <w:pPr>
                    <w:pStyle w:val="Compact"/>
                    <w:jc w:val="right"/>
                    <w:jc w:val="center"/>
                  </w:pPr>
                  <w:r>
                    <w:t xml:space="preserve">17.78</w:t>
                  </w:r>
                </w:p>
              </w:tc>
            </w:tr>
            <w:tr>
              <w:tc>
                <w:tcPr/>
                <w:p>
                  <w:pPr>
                    <w:pStyle w:val="Compact"/>
                    <w:jc w:val="left"/>
                    <w:jc w:val="center"/>
                  </w:pPr>
                  <w:r>
                    <w:t xml:space="preserve">Security-informed</w:t>
                  </w:r>
                </w:p>
              </w:tc>
              <w:tc>
                <w:tcPr/>
                <w:p>
                  <w:pPr>
                    <w:pStyle w:val="Compact"/>
                    <w:jc w:val="right"/>
                    <w:jc w:val="center"/>
                  </w:pPr>
                  <w:r>
                    <w:t xml:space="preserve">24</w:t>
                  </w:r>
                </w:p>
              </w:tc>
              <w:tc>
                <w:tcPr/>
                <w:p>
                  <w:pPr>
                    <w:pStyle w:val="Compact"/>
                    <w:jc w:val="right"/>
                    <w:jc w:val="center"/>
                  </w:pPr>
                  <w:r>
                    <w:t xml:space="preserve">139</w:t>
                  </w:r>
                </w:p>
              </w:tc>
              <w:tc>
                <w:tcPr/>
                <w:p>
                  <w:pPr>
                    <w:pStyle w:val="Compact"/>
                    <w:jc w:val="right"/>
                    <w:jc w:val="center"/>
                  </w:pPr>
                  <w:r>
                    <w:t xml:space="preserve">5.79</w:t>
                  </w:r>
                </w:p>
              </w:tc>
              <w:tc>
                <w:tcPr/>
                <w:p>
                  <w:pPr>
                    <w:pStyle w:val="Compact"/>
                    <w:jc w:val="right"/>
                    <w:jc w:val="center"/>
                  </w:pPr>
                  <w:r>
                    <w:t xml:space="preserve">7.0</w:t>
                  </w:r>
                </w:p>
              </w:tc>
              <w:tc>
                <w:tcPr/>
                <w:p>
                  <w:pPr>
                    <w:pStyle w:val="Compact"/>
                    <w:jc w:val="right"/>
                    <w:jc w:val="center"/>
                  </w:pPr>
                  <w:r>
                    <w:t xml:space="preserve">14.39</w:t>
                  </w:r>
                </w:p>
              </w:tc>
            </w:tr>
          </w:tbl>
          <w:bookmarkEnd w:id="26"/>
          <w:p/>
        </w:tc>
      </w:tr>
    </w:tbl>
    <w:p>
      <w:pPr>
        <w:pStyle w:val="BodyText"/>
      </w:pPr>
      <w:r>
        <w:t xml:space="preserve">In</w:t>
      </w:r>
      <w:r>
        <w:t xml:space="preserve"> </w:t>
      </w:r>
      <w:hyperlink w:anchor="tbl-conditions">
        <w:r>
          <w:rPr>
            <w:rStyle w:val="Hyperlink"/>
          </w:rPr>
          <w:t xml:space="preserve">Table 4</w:t>
        </w:r>
      </w:hyperlink>
      <w:r>
        <w:t xml:space="preserve">, Basic, Security-aware, and Security-informed self-reviews had 6.25, 6.56, and 5.79 findings per review, with medians of 6.0, 7.0, and 7.0. Their High/Critical shares were 16.67%, 17.78%, and 14.39%, respectively; these are reviewer-reported findings rather than confirmed vulnerabilities.</w:t>
      </w:r>
    </w:p>
    <w:bookmarkEnd w:id="27"/>
    <w:bookmarkStart w:id="32" w:name="findings-per-review"/>
    <w:p>
      <w:pPr>
        <w:pStyle w:val="Heading2"/>
      </w:pPr>
      <w:r>
        <w:t xml:space="preserve">Findings per review</w:t>
      </w:r>
    </w:p>
    <w:tbl>
      <w:tblPr>
        <w:tblStyle w:val="Table"/>
        <w:tblW w:type="pct" w:w="5000"/>
        <w:tblLayout w:type="fixed"/>
        <w:tblLook w:firstRow="0" w:lastRow="0" w:firstColumn="0" w:lastColumn="0" w:noHBand="0" w:noVBand="0" w:val="0000"/>
      </w:tblPr>
      <w:tblGrid>
        <w:gridCol w:w="7920"/>
      </w:tblGrid>
      <w:tr>
        <w:tc>
          <w:tcPr/>
          <w:bookmarkStart w:id="31" w:name="fig-distribution"/>
          <w:p>
            <w:pPr>
              <w:pStyle w:val="Compact"/>
              <w:jc w:val="center"/>
            </w:pPr>
            <w:r>
              <w:drawing>
                <wp:inline>
                  <wp:extent cx="5334000" cy="2820220"/>
                  <wp:effectExtent b="0" l="0" r="0" t="0"/>
                  <wp:docPr descr="" title="" id="29" name="Picture"/>
                  <a:graphic>
                    <a:graphicData uri="http://schemas.openxmlformats.org/drawingml/2006/picture">
                      <pic:pic>
                        <pic:nvPicPr>
                          <pic:cNvPr descr="final_report_findings_files/figure-docx/fig-distribution-output-1.png" id="30" name="Picture"/>
                          <pic:cNvPicPr>
                            <a:picLocks noChangeArrowheads="1" noChangeAspect="1"/>
                          </pic:cNvPicPr>
                        </pic:nvPicPr>
                        <pic:blipFill>
                          <a:blip r:embed="rId28"/>
                          <a:stretch>
                            <a:fillRect/>
                          </a:stretch>
                        </pic:blipFill>
                        <pic:spPr bwMode="auto">
                          <a:xfrm>
                            <a:off x="0" y="0"/>
                            <a:ext cx="5334000" cy="282022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Findings per review · All conditions, self-review</w:t>
            </w:r>
          </w:p>
          <w:bookmarkEnd w:id="31"/>
        </w:tc>
      </w:tr>
    </w:tbl>
    <w:p>
      <w:pPr>
        <w:pStyle w:val="BodyText"/>
      </w:pPr>
      <w:hyperlink w:anchor="fig-distribution">
        <w:r>
          <w:rPr>
            <w:rStyle w:val="Hyperlink"/>
          </w:rPr>
          <w:t xml:space="preserve">Figure 3</w:t>
        </w:r>
      </w:hyperlink>
      <w:r>
        <w:t xml:space="preserve"> </w:t>
      </w:r>
      <w:r>
        <w:t xml:space="preserve">shows substantial overlap in findings per self-review across the three conditions. Security-aware and Security-informed share a higher median than Basic, while Security-informed has the lowest mean and a broad spread.</w:t>
      </w:r>
    </w:p>
    <w:bookmarkEnd w:id="32"/>
    <w:bookmarkStart w:id="37" w:name="findings-per-review-by-generator"/>
    <w:p>
      <w:pPr>
        <w:pStyle w:val="Heading2"/>
      </w:pPr>
      <w:r>
        <w:t xml:space="preserve">Findings per review by generator</w:t>
      </w:r>
    </w:p>
    <w:tbl>
      <w:tblPr>
        <w:tblStyle w:val="Table"/>
        <w:tblW w:type="pct" w:w="5000"/>
        <w:tblLayout w:type="fixed"/>
        <w:tblLook w:firstRow="0" w:lastRow="0" w:firstColumn="0" w:lastColumn="0" w:noHBand="0" w:noVBand="0" w:val="0000"/>
      </w:tblPr>
      <w:tblGrid>
        <w:gridCol w:w="7920"/>
      </w:tblGrid>
      <w:tr>
        <w:tc>
          <w:tcPr/>
          <w:bookmarkStart w:id="36" w:name="fig-generator"/>
          <w:p>
            <w:pPr>
              <w:pStyle w:val="Compact"/>
              <w:jc w:val="center"/>
            </w:pPr>
            <w:r>
              <w:drawing>
                <wp:inline>
                  <wp:extent cx="5334000" cy="2642326"/>
                  <wp:effectExtent b="0" l="0" r="0" t="0"/>
                  <wp:docPr descr="" title="" id="34" name="Picture"/>
                  <a:graphic>
                    <a:graphicData uri="http://schemas.openxmlformats.org/drawingml/2006/picture">
                      <pic:pic>
                        <pic:nvPicPr>
                          <pic:cNvPr descr="final_report_findings_files/figure-docx/fig-generator-output-1.png" id="35" name="Picture"/>
                          <pic:cNvPicPr>
                            <a:picLocks noChangeArrowheads="1" noChangeAspect="1"/>
                          </pic:cNvPicPr>
                        </pic:nvPicPr>
                        <pic:blipFill>
                          <a:blip r:embed="rId33"/>
                          <a:stretch>
                            <a:fillRect/>
                          </a:stretch>
                        </pic:blipFill>
                        <pic:spPr bwMode="auto">
                          <a:xfrm>
                            <a:off x="0" y="0"/>
                            <a:ext cx="5334000" cy="264232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Findings per review by generator · All conditions, self-review</w:t>
            </w:r>
          </w:p>
          <w:bookmarkEnd w:id="36"/>
        </w:tc>
      </w:tr>
    </w:tbl>
    <w:p>
      <w:pPr>
        <w:pStyle w:val="BodyText"/>
      </w:pPr>
      <w:hyperlink w:anchor="fig-generator">
        <w:r>
          <w:rPr>
            <w:rStyle w:val="Hyperlink"/>
          </w:rPr>
          <w:t xml:space="preserve">Figure 4</w:t>
        </w:r>
      </w:hyperlink>
      <w:r>
        <w:t xml:space="preserve"> </w:t>
      </w:r>
      <w:r>
        <w:t xml:space="preserve">shows that qwen has the highest self-review finding rate in Basic and Security-aware, while claude is highest in Security-informed. Codex has the lowest rate in every condition and declines from Basic to Security-informed.</w:t>
      </w:r>
    </w:p>
    <w:bookmarkEnd w:id="37"/>
    <w:bookmarkStart w:id="42" w:name="findings-per-review-by-task"/>
    <w:p>
      <w:pPr>
        <w:pStyle w:val="Heading2"/>
      </w:pPr>
      <w:r>
        <w:t xml:space="preserve">Findings per review by task</w:t>
      </w:r>
    </w:p>
    <w:tbl>
      <w:tblPr>
        <w:tblStyle w:val="Table"/>
        <w:tblW w:type="pct" w:w="5000"/>
        <w:tblLayout w:type="fixed"/>
        <w:tblLook w:firstRow="0" w:lastRow="0" w:firstColumn="0" w:lastColumn="0" w:noHBand="0" w:noVBand="0" w:val="0000"/>
      </w:tblPr>
      <w:tblGrid>
        <w:gridCol w:w="7920"/>
      </w:tblGrid>
      <w:tr>
        <w:tc>
          <w:tcPr/>
          <w:bookmarkStart w:id="41" w:name="fig-task"/>
          <w:p>
            <w:pPr>
              <w:pStyle w:val="Compact"/>
              <w:jc w:val="center"/>
            </w:pPr>
            <w:r>
              <w:drawing>
                <wp:inline>
                  <wp:extent cx="5334000" cy="3057172"/>
                  <wp:effectExtent b="0" l="0" r="0" t="0"/>
                  <wp:docPr descr="" title="" id="39" name="Picture"/>
                  <a:graphic>
                    <a:graphicData uri="http://schemas.openxmlformats.org/drawingml/2006/picture">
                      <pic:pic>
                        <pic:nvPicPr>
                          <pic:cNvPr descr="final_report_findings_files/figure-docx/fig-task-output-1.png" id="40" name="Picture"/>
                          <pic:cNvPicPr>
                            <a:picLocks noChangeArrowheads="1" noChangeAspect="1"/>
                          </pic:cNvPicPr>
                        </pic:nvPicPr>
                        <pic:blipFill>
                          <a:blip r:embed="rId38"/>
                          <a:stretch>
                            <a:fillRect/>
                          </a:stretch>
                        </pic:blipFill>
                        <pic:spPr bwMode="auto">
                          <a:xfrm>
                            <a:off x="0" y="0"/>
                            <a:ext cx="5334000" cy="305717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Findings per review by task · All conditions, self-review</w:t>
            </w:r>
          </w:p>
          <w:bookmarkEnd w:id="41"/>
        </w:tc>
      </w:tr>
    </w:tbl>
    <w:p>
      <w:pPr>
        <w:pStyle w:val="BodyText"/>
      </w:pPr>
      <w:hyperlink w:anchor="fig-task">
        <w:r>
          <w:rPr>
            <w:rStyle w:val="Hyperlink"/>
          </w:rPr>
          <w:t xml:space="preserve">Figure 5</w:t>
        </w:r>
      </w:hyperlink>
      <w:r>
        <w:t xml:space="preserve"> </w:t>
      </w:r>
      <w:r>
        <w:t xml:space="preserve">shows that finding rates vary by task as well as condition. Security-informed is highest for the tasks anchored to CWE-321 and CWE-89, while Basic and Security-aware are higher for the tasks anchored to CWE-1004, CWE-307, and CWE-778.</w:t>
      </w:r>
    </w:p>
    <w:bookmarkEnd w:id="42"/>
    <w:bookmarkStart w:id="47" w:name="severity-of-findings"/>
    <w:p>
      <w:pPr>
        <w:pStyle w:val="Heading2"/>
      </w:pPr>
      <w:r>
        <w:t xml:space="preserve">Severity of findings</w:t>
      </w:r>
    </w:p>
    <w:tbl>
      <w:tblPr>
        <w:tblStyle w:val="Table"/>
        <w:tblW w:type="pct" w:w="5000"/>
        <w:tblLayout w:type="fixed"/>
        <w:tblLook w:firstRow="0" w:lastRow="0" w:firstColumn="0" w:lastColumn="0" w:noHBand="0" w:noVBand="0" w:val="0000"/>
      </w:tblPr>
      <w:tblGrid>
        <w:gridCol w:w="7920"/>
      </w:tblGrid>
      <w:tr>
        <w:tc>
          <w:tcPr/>
          <w:bookmarkStart w:id="46" w:name="fig-severity"/>
          <w:p>
            <w:pPr>
              <w:pStyle w:val="Compact"/>
              <w:jc w:val="center"/>
            </w:pPr>
            <w:r>
              <w:drawing>
                <wp:inline>
                  <wp:extent cx="5334000" cy="1868294"/>
                  <wp:effectExtent b="0" l="0" r="0" t="0"/>
                  <wp:docPr descr="" title="" id="44" name="Picture"/>
                  <a:graphic>
                    <a:graphicData uri="http://schemas.openxmlformats.org/drawingml/2006/picture">
                      <pic:pic>
                        <pic:nvPicPr>
                          <pic:cNvPr descr="final_report_findings_files/figure-docx/fig-severity-output-1.png" id="45" name="Picture"/>
                          <pic:cNvPicPr>
                            <a:picLocks noChangeArrowheads="1" noChangeAspect="1"/>
                          </pic:cNvPicPr>
                        </pic:nvPicPr>
                        <pic:blipFill>
                          <a:blip r:embed="rId43"/>
                          <a:stretch>
                            <a:fillRect/>
                          </a:stretch>
                        </pic:blipFill>
                        <pic:spPr bwMode="auto">
                          <a:xfrm>
                            <a:off x="0" y="0"/>
                            <a:ext cx="5334000" cy="186829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Severity of findings · All conditions, self-review</w:t>
            </w:r>
          </w:p>
          <w:bookmarkEnd w:id="46"/>
        </w:tc>
      </w:tr>
    </w:tbl>
    <w:p>
      <w:pPr>
        <w:pStyle w:val="BodyText"/>
      </w:pPr>
      <w:hyperlink w:anchor="fig-severity">
        <w:r>
          <w:rPr>
            <w:rStyle w:val="Hyperlink"/>
          </w:rPr>
          <w:t xml:space="preserve">Figure 6</w:t>
        </w:r>
      </w:hyperlink>
      <w:r>
        <w:t xml:space="preserve"> </w:t>
      </w:r>
      <w:r>
        <w:t xml:space="preserve">shows that Low and Medium findings make up most reviewer-reported findings in all three conditions. Security-informed has the largest Low share and the smallest combined High/Critical share, while Security-aware has the largest High share.</w:t>
      </w:r>
    </w:p>
    <w:bookmarkEnd w:id="47"/>
    <w:bookmarkStart w:id="52" w:name="reviews-naming-the-tasks-anchor-cwe"/>
    <w:p>
      <w:pPr>
        <w:pStyle w:val="Heading2"/>
      </w:pPr>
      <w:r>
        <w:t xml:space="preserve">Reviews naming the task’s anchor CWE</w:t>
      </w:r>
    </w:p>
    <w:tbl>
      <w:tblPr>
        <w:tblStyle w:val="Table"/>
        <w:tblW w:type="pct" w:w="5000"/>
        <w:tblLayout w:type="fixed"/>
        <w:tblLook w:firstRow="0" w:lastRow="0" w:firstColumn="0" w:lastColumn="0" w:noHBand="0" w:noVBand="0" w:val="0000"/>
      </w:tblPr>
      <w:tblGrid>
        <w:gridCol w:w="7920"/>
      </w:tblGrid>
      <w:tr>
        <w:tc>
          <w:tcPr/>
          <w:bookmarkStart w:id="51" w:name="fig-anchor"/>
          <w:p>
            <w:pPr>
              <w:pStyle w:val="Compact"/>
              <w:jc w:val="center"/>
            </w:pPr>
            <w:r>
              <w:drawing>
                <wp:inline>
                  <wp:extent cx="5334000" cy="2346322"/>
                  <wp:effectExtent b="0" l="0" r="0" t="0"/>
                  <wp:docPr descr="" title="" id="49" name="Picture"/>
                  <a:graphic>
                    <a:graphicData uri="http://schemas.openxmlformats.org/drawingml/2006/picture">
                      <pic:pic>
                        <pic:nvPicPr>
                          <pic:cNvPr descr="final_report_findings_files/figure-docx/fig-anchor-output-1.png" id="50" name="Picture"/>
                          <pic:cNvPicPr>
                            <a:picLocks noChangeArrowheads="1" noChangeAspect="1"/>
                          </pic:cNvPicPr>
                        </pic:nvPicPr>
                        <pic:blipFill>
                          <a:blip r:embed="rId48"/>
                          <a:stretch>
                            <a:fillRect/>
                          </a:stretch>
                        </pic:blipFill>
                        <pic:spPr bwMode="auto">
                          <a:xfrm>
                            <a:off x="0" y="0"/>
                            <a:ext cx="5334000" cy="2346322"/>
                          </a:xfrm>
                          <a:prstGeom prst="rect">
                            <a:avLst/>
                          </a:prstGeom>
                          <a:noFill/>
                          <a:ln w="9525">
                            <a:noFill/>
                            <a:headEnd/>
                            <a:tailEnd/>
                          </a:ln>
                        </pic:spPr>
                      </pic:pic>
                    </a:graphicData>
                  </a:graphic>
                </wp:inline>
              </w:drawing>
            </w:r>
          </w:p>
          <w:p>
            <w:pPr>
              <w:jc w:val="center"/>
            </w:pPr>
            <w:pPr>
              <w:jc w:val="left"/>
              <w:spacing w:before="200"/>
              <w:pStyle w:val="ImageCaption"/>
            </w:pPr>
            <w:r>
              <w:t xml:space="preserve">Figure 7: Reviews naming the task’s anchor CWE · All conditions, self-review</w:t>
            </w:r>
          </w:p>
          <w:bookmarkEnd w:id="51"/>
        </w:tc>
      </w:tr>
    </w:tbl>
    <w:p>
      <w:pPr>
        <w:pStyle w:val="BodyText"/>
      </w:pPr>
      <w:hyperlink w:anchor="fig-anchor">
        <w:r>
          <w:rPr>
            <w:rStyle w:val="Hyperlink"/>
          </w:rPr>
          <w:t xml:space="preserve">Figure 7</w:t>
        </w:r>
      </w:hyperlink>
      <w:r>
        <w:t xml:space="preserve"> </w:t>
      </w:r>
      <w:r>
        <w:t xml:space="preserve">shows no self-reviews naming the anchor CWE for the tasks anchored to CWE-1004, CWE-321, CWE-89, or CWE-256. The anchor CWE is named most often for the CWE-307 task, especially under Basic, while the CWE-778 task has lower and more similar coverage across conditions.</w:t>
      </w:r>
    </w:p>
    <w:bookmarkEnd w:id="52"/>
    <w:bookmarkStart w:id="54" w:name="the-14-most-reported-cwes"/>
    <w:p>
      <w:pPr>
        <w:pStyle w:val="Heading2"/>
      </w:pPr>
      <w:r>
        <w:t xml:space="preserve">The 14 most-reported CWEs</w:t>
      </w:r>
    </w:p>
    <w:tbl>
      <w:tblPr>
        <w:tblStyle w:val="Table"/>
        <w:tblW w:type="pct" w:w="5000"/>
        <w:tblLayout w:type="fixed"/>
        <w:tblLook w:firstRow="0" w:lastRow="0" w:firstColumn="0" w:lastColumn="0" w:noHBand="0" w:noVBand="0" w:val="0000"/>
      </w:tblPr>
      <w:tblGrid>
        <w:gridCol w:w="7920"/>
      </w:tblGrid>
      <w:tr>
        <w:tc>
          <w:tcPr/>
          <w:bookmarkStart w:id="53" w:name="tbl-top-cwes"/>
          <w:p>
            <w:pPr>
              <w:jc w:val="center"/>
            </w:pPr>
            <w:pPr>
              <w:jc w:val="left"/>
              <w:spacing w:before="200"/>
              <w:pStyle w:val="ImageCaption"/>
            </w:pPr>
            <w:r>
              <w:t xml:space="preserve">Table 5: The 14 most-reported CWEs · All findings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rank</w:t>
                  </w:r>
                </w:p>
              </w:tc>
              <w:tc>
                <w:tcPr/>
                <w:p>
                  <w:pPr>
                    <w:pStyle w:val="Compact"/>
                    <w:jc w:val="left"/>
                    <w:jc w:val="center"/>
                  </w:pPr>
                  <w:r>
                    <w:t xml:space="preserve">CWE</w:t>
                  </w:r>
                </w:p>
              </w:tc>
              <w:tc>
                <w:tcPr/>
                <w:p>
                  <w:pPr>
                    <w:pStyle w:val="Compact"/>
                    <w:jc w:val="left"/>
                    <w:jc w:val="center"/>
                  </w:pPr>
                  <w:r>
                    <w:t xml:space="preserve">title</w:t>
                  </w:r>
                </w:p>
              </w:tc>
              <w:tc>
                <w:tcPr/>
                <w:p>
                  <w:pPr>
                    <w:pStyle w:val="Compact"/>
                    <w:jc w:val="right"/>
                    <w:jc w:val="center"/>
                  </w:pPr>
                  <w:r>
                    <w:t xml:space="preserve">findings</w:t>
                  </w:r>
                </w:p>
              </w:tc>
              <w:tc>
                <w:tcPr/>
                <w:p>
                  <w:pPr>
                    <w:pStyle w:val="Compact"/>
                    <w:jc w:val="right"/>
                    <w:jc w:val="center"/>
                  </w:pPr>
                  <w:r>
                    <w:t xml:space="preserve">cumulative %</w:t>
                  </w:r>
                </w:p>
              </w:tc>
            </w:tr>
            <w:tr>
              <w:tc>
                <w:tcPr/>
                <w:p>
                  <w:pPr>
                    <w:pStyle w:val="Compact"/>
                    <w:jc w:val="right"/>
                    <w:jc w:val="center"/>
                  </w:pPr>
                  <w:r>
                    <w:t xml:space="preserve">1</w:t>
                  </w:r>
                </w:p>
              </w:tc>
              <w:tc>
                <w:tcPr/>
                <w:p>
                  <w:pPr>
                    <w:pStyle w:val="Compact"/>
                    <w:jc w:val="left"/>
                    <w:jc w:val="center"/>
                  </w:pPr>
                  <w:r>
                    <w:t xml:space="preserve">CWE-307</w:t>
                  </w:r>
                </w:p>
              </w:tc>
              <w:tc>
                <w:tcPr/>
                <w:p>
                  <w:pPr>
                    <w:pStyle w:val="Compact"/>
                    <w:jc w:val="left"/>
                    <w:jc w:val="center"/>
                  </w:pPr>
                  <w:r>
                    <w:t xml:space="preserve">Improper Restriction of Excessive Authentication Attempts</w:t>
                  </w:r>
                </w:p>
              </w:tc>
              <w:tc>
                <w:tcPr/>
                <w:p>
                  <w:pPr>
                    <w:pStyle w:val="Compact"/>
                    <w:jc w:val="right"/>
                    <w:jc w:val="center"/>
                  </w:pPr>
                  <w:r>
                    <w:t xml:space="preserve">90</w:t>
                  </w:r>
                </w:p>
              </w:tc>
              <w:tc>
                <w:tcPr/>
                <w:p>
                  <w:pPr>
                    <w:pStyle w:val="Compact"/>
                    <w:jc w:val="right"/>
                    <w:jc w:val="center"/>
                  </w:pPr>
                  <w:r>
                    <w:t xml:space="preserve">7.4</w:t>
                  </w:r>
                </w:p>
              </w:tc>
            </w:tr>
            <w:tr>
              <w:tc>
                <w:tcPr/>
                <w:p>
                  <w:pPr>
                    <w:pStyle w:val="Compact"/>
                    <w:jc w:val="right"/>
                    <w:jc w:val="center"/>
                  </w:pPr>
                  <w:r>
                    <w:t xml:space="preserve">2</w:t>
                  </w:r>
                </w:p>
              </w:tc>
              <w:tc>
                <w:tcPr/>
                <w:p>
                  <w:pPr>
                    <w:pStyle w:val="Compact"/>
                    <w:jc w:val="left"/>
                    <w:jc w:val="center"/>
                  </w:pPr>
                  <w:r>
                    <w:t xml:space="preserve">CWE-400</w:t>
                  </w:r>
                </w:p>
              </w:tc>
              <w:tc>
                <w:tcPr/>
                <w:p>
                  <w:pPr>
                    <w:pStyle w:val="Compact"/>
                    <w:jc w:val="left"/>
                    <w:jc w:val="center"/>
                  </w:pPr>
                  <w:r>
                    <w:t xml:space="preserve">Uncontrolled Resource Consumption</w:t>
                  </w:r>
                </w:p>
              </w:tc>
              <w:tc>
                <w:tcPr/>
                <w:p>
                  <w:pPr>
                    <w:pStyle w:val="Compact"/>
                    <w:jc w:val="right"/>
                    <w:jc w:val="center"/>
                  </w:pPr>
                  <w:r>
                    <w:t xml:space="preserve">82</w:t>
                  </w:r>
                </w:p>
              </w:tc>
              <w:tc>
                <w:tcPr/>
                <w:p>
                  <w:pPr>
                    <w:pStyle w:val="Compact"/>
                    <w:jc w:val="right"/>
                    <w:jc w:val="center"/>
                  </w:pPr>
                  <w:r>
                    <w:t xml:space="preserve">14.1</w:t>
                  </w:r>
                </w:p>
              </w:tc>
            </w:tr>
            <w:tr>
              <w:tc>
                <w:tcPr/>
                <w:p>
                  <w:pPr>
                    <w:pStyle w:val="Compact"/>
                    <w:jc w:val="right"/>
                    <w:jc w:val="center"/>
                  </w:pPr>
                  <w:r>
                    <w:t xml:space="preserve">3</w:t>
                  </w:r>
                </w:p>
              </w:tc>
              <w:tc>
                <w:tcPr/>
                <w:p>
                  <w:pPr>
                    <w:pStyle w:val="Compact"/>
                    <w:jc w:val="left"/>
                    <w:jc w:val="center"/>
                  </w:pPr>
                  <w:r>
                    <w:t xml:space="preserve">CWE-916</w:t>
                  </w:r>
                </w:p>
              </w:tc>
              <w:tc>
                <w:tcPr/>
                <w:p>
                  <w:pPr>
                    <w:pStyle w:val="Compact"/>
                    <w:jc w:val="left"/>
                    <w:jc w:val="center"/>
                  </w:pPr>
                  <w:r>
                    <w:t xml:space="preserve">Use of Password Hash With Insufficient Computational Effort</w:t>
                  </w:r>
                </w:p>
              </w:tc>
              <w:tc>
                <w:tcPr/>
                <w:p>
                  <w:pPr>
                    <w:pStyle w:val="Compact"/>
                    <w:jc w:val="right"/>
                    <w:jc w:val="center"/>
                  </w:pPr>
                  <w:r>
                    <w:t xml:space="preserve">58</w:t>
                  </w:r>
                </w:p>
              </w:tc>
              <w:tc>
                <w:tcPr/>
                <w:p>
                  <w:pPr>
                    <w:pStyle w:val="Compact"/>
                    <w:jc w:val="right"/>
                    <w:jc w:val="center"/>
                  </w:pPr>
                  <w:r>
                    <w:t xml:space="preserve">18.9</w:t>
                  </w:r>
                </w:p>
              </w:tc>
            </w:tr>
            <w:tr>
              <w:tc>
                <w:tcPr/>
                <w:p>
                  <w:pPr>
                    <w:pStyle w:val="Compact"/>
                    <w:jc w:val="right"/>
                    <w:jc w:val="center"/>
                  </w:pPr>
                  <w:r>
                    <w:t xml:space="preserve">4</w:t>
                  </w:r>
                </w:p>
              </w:tc>
              <w:tc>
                <w:tcPr/>
                <w:p>
                  <w:pPr>
                    <w:pStyle w:val="Compact"/>
                    <w:jc w:val="left"/>
                    <w:jc w:val="center"/>
                  </w:pPr>
                  <w:r>
                    <w:t xml:space="preserve">CWE-316</w:t>
                  </w:r>
                </w:p>
              </w:tc>
              <w:tc>
                <w:tcPr/>
                <w:p>
                  <w:pPr>
                    <w:pStyle w:val="Compact"/>
                    <w:jc w:val="left"/>
                    <w:jc w:val="center"/>
                  </w:pPr>
                  <w:r>
                    <w:t xml:space="preserve">Cleartext Storage of Sensitive Information in Memory</w:t>
                  </w:r>
                </w:p>
              </w:tc>
              <w:tc>
                <w:tcPr/>
                <w:p>
                  <w:pPr>
                    <w:pStyle w:val="Compact"/>
                    <w:jc w:val="right"/>
                    <w:jc w:val="center"/>
                  </w:pPr>
                  <w:r>
                    <w:t xml:space="preserve">52</w:t>
                  </w:r>
                </w:p>
              </w:tc>
              <w:tc>
                <w:tcPr/>
                <w:p>
                  <w:pPr>
                    <w:pStyle w:val="Compact"/>
                    <w:jc w:val="right"/>
                    <w:jc w:val="center"/>
                  </w:pPr>
                  <w:r>
                    <w:t xml:space="preserve">23.2</w:t>
                  </w:r>
                </w:p>
              </w:tc>
            </w:tr>
            <w:tr>
              <w:tc>
                <w:tcPr/>
                <w:p>
                  <w:pPr>
                    <w:pStyle w:val="Compact"/>
                    <w:jc w:val="right"/>
                    <w:jc w:val="center"/>
                  </w:pPr>
                  <w:r>
                    <w:t xml:space="preserve">5</w:t>
                  </w:r>
                </w:p>
              </w:tc>
              <w:tc>
                <w:tcPr/>
                <w:p>
                  <w:pPr>
                    <w:pStyle w:val="Compact"/>
                    <w:jc w:val="left"/>
                    <w:jc w:val="center"/>
                  </w:pPr>
                  <w:r>
                    <w:t xml:space="preserve">CWE-732</w:t>
                  </w:r>
                </w:p>
              </w:tc>
              <w:tc>
                <w:tcPr/>
                <w:p>
                  <w:pPr>
                    <w:pStyle w:val="Compact"/>
                    <w:jc w:val="left"/>
                    <w:jc w:val="center"/>
                  </w:pPr>
                  <w:r>
                    <w:t xml:space="preserve">Incorrect Permission Assignment for Critical Resource</w:t>
                  </w:r>
                </w:p>
              </w:tc>
              <w:tc>
                <w:tcPr/>
                <w:p>
                  <w:pPr>
                    <w:pStyle w:val="Compact"/>
                    <w:jc w:val="right"/>
                    <w:jc w:val="center"/>
                  </w:pPr>
                  <w:r>
                    <w:t xml:space="preserve">50</w:t>
                  </w:r>
                </w:p>
              </w:tc>
              <w:tc>
                <w:tcPr/>
                <w:p>
                  <w:pPr>
                    <w:pStyle w:val="Compact"/>
                    <w:jc w:val="right"/>
                    <w:jc w:val="center"/>
                  </w:pPr>
                  <w:r>
                    <w:t xml:space="preserve">27.3</w:t>
                  </w:r>
                </w:p>
              </w:tc>
            </w:tr>
            <w:tr>
              <w:tc>
                <w:tcPr/>
                <w:p>
                  <w:pPr>
                    <w:pStyle w:val="Compact"/>
                    <w:jc w:val="right"/>
                    <w:jc w:val="center"/>
                  </w:pPr>
                  <w:r>
                    <w:t xml:space="preserve">6</w:t>
                  </w:r>
                </w:p>
              </w:tc>
              <w:tc>
                <w:tcPr/>
                <w:p>
                  <w:pPr>
                    <w:pStyle w:val="Compact"/>
                    <w:jc w:val="left"/>
                    <w:jc w:val="center"/>
                  </w:pPr>
                  <w:r>
                    <w:t xml:space="preserve">CWE-521</w:t>
                  </w:r>
                </w:p>
              </w:tc>
              <w:tc>
                <w:tcPr/>
                <w:p>
                  <w:pPr>
                    <w:pStyle w:val="Compact"/>
                    <w:jc w:val="left"/>
                    <w:jc w:val="center"/>
                  </w:pPr>
                  <w:r>
                    <w:t xml:space="preserve">Weak Password Requirements</w:t>
                  </w:r>
                </w:p>
              </w:tc>
              <w:tc>
                <w:tcPr/>
                <w:p>
                  <w:pPr>
                    <w:pStyle w:val="Compact"/>
                    <w:jc w:val="right"/>
                    <w:jc w:val="center"/>
                  </w:pPr>
                  <w:r>
                    <w:t xml:space="preserve">49</w:t>
                  </w:r>
                </w:p>
              </w:tc>
              <w:tc>
                <w:tcPr/>
                <w:p>
                  <w:pPr>
                    <w:pStyle w:val="Compact"/>
                    <w:jc w:val="right"/>
                    <w:jc w:val="center"/>
                  </w:pPr>
                  <w:r>
                    <w:t xml:space="preserve">31.3</w:t>
                  </w:r>
                </w:p>
              </w:tc>
            </w:tr>
            <w:tr>
              <w:tc>
                <w:tcPr/>
                <w:p>
                  <w:pPr>
                    <w:pStyle w:val="Compact"/>
                    <w:jc w:val="right"/>
                    <w:jc w:val="center"/>
                  </w:pPr>
                  <w:r>
                    <w:t xml:space="preserve">7</w:t>
                  </w:r>
                </w:p>
              </w:tc>
              <w:tc>
                <w:tcPr/>
                <w:p>
                  <w:pPr>
                    <w:pStyle w:val="Compact"/>
                    <w:jc w:val="left"/>
                    <w:jc w:val="center"/>
                  </w:pPr>
                  <w:r>
                    <w:t xml:space="preserve">CWE-770</w:t>
                  </w:r>
                </w:p>
              </w:tc>
              <w:tc>
                <w:tcPr/>
                <w:p>
                  <w:pPr>
                    <w:pStyle w:val="Compact"/>
                    <w:jc w:val="left"/>
                    <w:jc w:val="center"/>
                  </w:pPr>
                  <w:r>
                    <w:t xml:space="preserve">Allocation of Resources Without Limits or Throttling</w:t>
                  </w:r>
                </w:p>
              </w:tc>
              <w:tc>
                <w:tcPr/>
                <w:p>
                  <w:pPr>
                    <w:pStyle w:val="Compact"/>
                    <w:jc w:val="right"/>
                    <w:jc w:val="center"/>
                  </w:pPr>
                  <w:r>
                    <w:t xml:space="preserve">40</w:t>
                  </w:r>
                </w:p>
              </w:tc>
              <w:tc>
                <w:tcPr/>
                <w:p>
                  <w:pPr>
                    <w:pStyle w:val="Compact"/>
                    <w:jc w:val="right"/>
                    <w:jc w:val="center"/>
                  </w:pPr>
                  <w:r>
                    <w:t xml:space="preserve">34.6</w:t>
                  </w:r>
                </w:p>
              </w:tc>
            </w:tr>
            <w:tr>
              <w:tc>
                <w:tcPr/>
                <w:p>
                  <w:pPr>
                    <w:pStyle w:val="Compact"/>
                    <w:jc w:val="right"/>
                    <w:jc w:val="center"/>
                  </w:pPr>
                  <w:r>
                    <w:t xml:space="preserve">8</w:t>
                  </w:r>
                </w:p>
              </w:tc>
              <w:tc>
                <w:tcPr/>
                <w:p>
                  <w:pPr>
                    <w:pStyle w:val="Compact"/>
                    <w:jc w:val="left"/>
                    <w:jc w:val="center"/>
                  </w:pPr>
                  <w:r>
                    <w:t xml:space="preserve">CWE-367</w:t>
                  </w:r>
                </w:p>
              </w:tc>
              <w:tc>
                <w:tcPr/>
                <w:p>
                  <w:pPr>
                    <w:pStyle w:val="Compact"/>
                    <w:jc w:val="left"/>
                    <w:jc w:val="center"/>
                  </w:pPr>
                  <w:r>
                    <w:t xml:space="preserve">Time-of-check Time-of-use (TOCTOU) Race Condition</w:t>
                  </w:r>
                </w:p>
              </w:tc>
              <w:tc>
                <w:tcPr/>
                <w:p>
                  <w:pPr>
                    <w:pStyle w:val="Compact"/>
                    <w:jc w:val="right"/>
                    <w:jc w:val="center"/>
                  </w:pPr>
                  <w:r>
                    <w:t xml:space="preserve">35</w:t>
                  </w:r>
                </w:p>
              </w:tc>
              <w:tc>
                <w:tcPr/>
                <w:p>
                  <w:pPr>
                    <w:pStyle w:val="Compact"/>
                    <w:jc w:val="right"/>
                    <w:jc w:val="center"/>
                  </w:pPr>
                  <w:r>
                    <w:t xml:space="preserve">37.5</w:t>
                  </w:r>
                </w:p>
              </w:tc>
            </w:tr>
            <w:tr>
              <w:tc>
                <w:tcPr/>
                <w:p>
                  <w:pPr>
                    <w:pStyle w:val="Compact"/>
                    <w:jc w:val="right"/>
                    <w:jc w:val="center"/>
                  </w:pPr>
                  <w:r>
                    <w:t xml:space="preserve">9</w:t>
                  </w:r>
                </w:p>
              </w:tc>
              <w:tc>
                <w:tcPr/>
                <w:p>
                  <w:pPr>
                    <w:pStyle w:val="Compact"/>
                    <w:jc w:val="left"/>
                    <w:jc w:val="center"/>
                  </w:pPr>
                  <w:r>
                    <w:t xml:space="preserve">CWE-362</w:t>
                  </w:r>
                </w:p>
              </w:tc>
              <w:tc>
                <w:tcPr/>
                <w:p>
                  <w:pPr>
                    <w:pStyle w:val="Compact"/>
                    <w:jc w:val="left"/>
                    <w:jc w:val="center"/>
                  </w:pPr>
                  <w:r>
                    <w:t xml:space="preserve">Concurrent Execution using Shared Resource with Improper Synchronization (</w:t>
                  </w:r>
                  <w:r>
                    <w:t xml:space="preserve">‘Race Condition’</w:t>
                  </w:r>
                  <w:r>
                    <w:t xml:space="preserve">)</w:t>
                  </w:r>
                </w:p>
              </w:tc>
              <w:tc>
                <w:tcPr/>
                <w:p>
                  <w:pPr>
                    <w:pStyle w:val="Compact"/>
                    <w:jc w:val="right"/>
                    <w:jc w:val="center"/>
                  </w:pPr>
                  <w:r>
                    <w:t xml:space="preserve">32</w:t>
                  </w:r>
                </w:p>
              </w:tc>
              <w:tc>
                <w:tcPr/>
                <w:p>
                  <w:pPr>
                    <w:pStyle w:val="Compact"/>
                    <w:jc w:val="right"/>
                    <w:jc w:val="center"/>
                  </w:pPr>
                  <w:r>
                    <w:t xml:space="preserve">40.1</w:t>
                  </w:r>
                </w:p>
              </w:tc>
            </w:tr>
            <w:tr>
              <w:tc>
                <w:tcPr/>
                <w:p>
                  <w:pPr>
                    <w:pStyle w:val="Compact"/>
                    <w:jc w:val="right"/>
                    <w:jc w:val="center"/>
                  </w:pPr>
                  <w:r>
                    <w:t xml:space="preserve">10</w:t>
                  </w:r>
                </w:p>
              </w:tc>
              <w:tc>
                <w:tcPr/>
                <w:p>
                  <w:pPr>
                    <w:pStyle w:val="Compact"/>
                    <w:jc w:val="left"/>
                    <w:jc w:val="center"/>
                  </w:pPr>
                  <w:r>
                    <w:t xml:space="preserve">CWE-208</w:t>
                  </w:r>
                </w:p>
              </w:tc>
              <w:tc>
                <w:tcPr/>
                <w:p>
                  <w:pPr>
                    <w:pStyle w:val="Compact"/>
                    <w:jc w:val="left"/>
                    <w:jc w:val="center"/>
                  </w:pPr>
                  <w:r>
                    <w:t xml:space="preserve">Observable Timing Discrepancy</w:t>
                  </w:r>
                </w:p>
              </w:tc>
              <w:tc>
                <w:tcPr/>
                <w:p>
                  <w:pPr>
                    <w:pStyle w:val="Compact"/>
                    <w:jc w:val="right"/>
                    <w:jc w:val="center"/>
                  </w:pPr>
                  <w:r>
                    <w:t xml:space="preserve">31</w:t>
                  </w:r>
                </w:p>
              </w:tc>
              <w:tc>
                <w:tcPr/>
                <w:p>
                  <w:pPr>
                    <w:pStyle w:val="Compact"/>
                    <w:jc w:val="right"/>
                    <w:jc w:val="center"/>
                  </w:pPr>
                  <w:r>
                    <w:t xml:space="preserve">42.6</w:t>
                  </w:r>
                </w:p>
              </w:tc>
            </w:tr>
            <w:tr>
              <w:tc>
                <w:tcPr/>
                <w:p>
                  <w:pPr>
                    <w:pStyle w:val="Compact"/>
                    <w:jc w:val="right"/>
                    <w:jc w:val="center"/>
                  </w:pPr>
                  <w:r>
                    <w:t xml:space="preserve">11</w:t>
                  </w:r>
                </w:p>
              </w:tc>
              <w:tc>
                <w:tcPr/>
                <w:p>
                  <w:pPr>
                    <w:pStyle w:val="Compact"/>
                    <w:jc w:val="left"/>
                    <w:jc w:val="center"/>
                  </w:pPr>
                  <w:r>
                    <w:t xml:space="preserve">CWE-532</w:t>
                  </w:r>
                </w:p>
              </w:tc>
              <w:tc>
                <w:tcPr/>
                <w:p>
                  <w:pPr>
                    <w:pStyle w:val="Compact"/>
                    <w:jc w:val="left"/>
                    <w:jc w:val="center"/>
                  </w:pPr>
                  <w:r>
                    <w:t xml:space="preserve">Insertion of Sensitive Information into Log File</w:t>
                  </w:r>
                </w:p>
              </w:tc>
              <w:tc>
                <w:tcPr/>
                <w:p>
                  <w:pPr>
                    <w:pStyle w:val="Compact"/>
                    <w:jc w:val="right"/>
                    <w:jc w:val="center"/>
                  </w:pPr>
                  <w:r>
                    <w:t xml:space="preserve">31</w:t>
                  </w:r>
                </w:p>
              </w:tc>
              <w:tc>
                <w:tcPr/>
                <w:p>
                  <w:pPr>
                    <w:pStyle w:val="Compact"/>
                    <w:jc w:val="right"/>
                    <w:jc w:val="center"/>
                  </w:pPr>
                  <w:r>
                    <w:t xml:space="preserve">45.2</w:t>
                  </w:r>
                </w:p>
              </w:tc>
            </w:tr>
            <w:tr>
              <w:tc>
                <w:tcPr/>
                <w:p>
                  <w:pPr>
                    <w:pStyle w:val="Compact"/>
                    <w:jc w:val="right"/>
                    <w:jc w:val="center"/>
                  </w:pPr>
                  <w:r>
                    <w:t xml:space="preserve">12</w:t>
                  </w:r>
                </w:p>
              </w:tc>
              <w:tc>
                <w:tcPr/>
                <w:p>
                  <w:pPr>
                    <w:pStyle w:val="Compact"/>
                    <w:jc w:val="left"/>
                    <w:jc w:val="center"/>
                  </w:pPr>
                  <w:r>
                    <w:t xml:space="preserve">CWE-798</w:t>
                  </w:r>
                </w:p>
              </w:tc>
              <w:tc>
                <w:tcPr/>
                <w:p>
                  <w:pPr>
                    <w:pStyle w:val="Compact"/>
                    <w:jc w:val="left"/>
                    <w:jc w:val="center"/>
                  </w:pPr>
                  <w:r>
                    <w:t xml:space="preserve">Use of Hard-coded Credentials</w:t>
                  </w:r>
                </w:p>
              </w:tc>
              <w:tc>
                <w:tcPr/>
                <w:p>
                  <w:pPr>
                    <w:pStyle w:val="Compact"/>
                    <w:jc w:val="right"/>
                    <w:jc w:val="center"/>
                  </w:pPr>
                  <w:r>
                    <w:t xml:space="preserve">31</w:t>
                  </w:r>
                </w:p>
              </w:tc>
              <w:tc>
                <w:tcPr/>
                <w:p>
                  <w:pPr>
                    <w:pStyle w:val="Compact"/>
                    <w:jc w:val="right"/>
                    <w:jc w:val="center"/>
                  </w:pPr>
                  <w:r>
                    <w:t xml:space="preserve">47.7</w:t>
                  </w:r>
                </w:p>
              </w:tc>
            </w:tr>
            <w:tr>
              <w:tc>
                <w:tcPr/>
                <w:p>
                  <w:pPr>
                    <w:pStyle w:val="Compact"/>
                    <w:jc w:val="right"/>
                    <w:jc w:val="center"/>
                  </w:pPr>
                  <w:r>
                    <w:t xml:space="preserve">13</w:t>
                  </w:r>
                </w:p>
              </w:tc>
              <w:tc>
                <w:tcPr/>
                <w:p>
                  <w:pPr>
                    <w:pStyle w:val="Compact"/>
                    <w:jc w:val="left"/>
                    <w:jc w:val="center"/>
                  </w:pPr>
                  <w:r>
                    <w:t xml:space="preserve">CWE-204</w:t>
                  </w:r>
                </w:p>
              </w:tc>
              <w:tc>
                <w:tcPr/>
                <w:p>
                  <w:pPr>
                    <w:pStyle w:val="Compact"/>
                    <w:jc w:val="left"/>
                    <w:jc w:val="center"/>
                  </w:pPr>
                  <w:r>
                    <w:t xml:space="preserve">Observable Response Discrepancy</w:t>
                  </w:r>
                </w:p>
              </w:tc>
              <w:tc>
                <w:tcPr/>
                <w:p>
                  <w:pPr>
                    <w:pStyle w:val="Compact"/>
                    <w:jc w:val="right"/>
                    <w:jc w:val="center"/>
                  </w:pPr>
                  <w:r>
                    <w:t xml:space="preserve">26</w:t>
                  </w:r>
                </w:p>
              </w:tc>
              <w:tc>
                <w:tcPr/>
                <w:p>
                  <w:pPr>
                    <w:pStyle w:val="Compact"/>
                    <w:jc w:val="right"/>
                    <w:jc w:val="center"/>
                  </w:pPr>
                  <w:r>
                    <w:t xml:space="preserve">49.9</w:t>
                  </w:r>
                </w:p>
              </w:tc>
            </w:tr>
            <w:tr>
              <w:tc>
                <w:tcPr/>
                <w:p>
                  <w:pPr>
                    <w:pStyle w:val="Compact"/>
                    <w:jc w:val="right"/>
                    <w:jc w:val="center"/>
                  </w:pPr>
                  <w:r>
                    <w:t xml:space="preserve">14</w:t>
                  </w:r>
                </w:p>
              </w:tc>
              <w:tc>
                <w:tcPr/>
                <w:p>
                  <w:pPr>
                    <w:pStyle w:val="Compact"/>
                    <w:jc w:val="left"/>
                    <w:jc w:val="center"/>
                  </w:pPr>
                  <w:r>
                    <w:t xml:space="preserve">CWE-209</w:t>
                  </w:r>
                </w:p>
              </w:tc>
              <w:tc>
                <w:tcPr/>
                <w:p>
                  <w:pPr>
                    <w:pStyle w:val="Compact"/>
                    <w:jc w:val="left"/>
                    <w:jc w:val="center"/>
                  </w:pPr>
                  <w:r>
                    <w:t xml:space="preserve">Generation of Error Message Containing Sensitive Information</w:t>
                  </w:r>
                </w:p>
              </w:tc>
              <w:tc>
                <w:tcPr/>
                <w:p>
                  <w:pPr>
                    <w:pStyle w:val="Compact"/>
                    <w:jc w:val="right"/>
                    <w:jc w:val="center"/>
                  </w:pPr>
                  <w:r>
                    <w:t xml:space="preserve">25</w:t>
                  </w:r>
                </w:p>
              </w:tc>
              <w:tc>
                <w:tcPr/>
                <w:p>
                  <w:pPr>
                    <w:pStyle w:val="Compact"/>
                    <w:jc w:val="right"/>
                    <w:jc w:val="center"/>
                  </w:pPr>
                  <w:r>
                    <w:t xml:space="preserve">51.9</w:t>
                  </w:r>
                </w:p>
              </w:tc>
            </w:tr>
          </w:tbl>
          <w:bookmarkEnd w:id="53"/>
          <w:p/>
        </w:tc>
      </w:tr>
    </w:tbl>
    <w:p>
      <w:pPr>
        <w:pStyle w:val="BodyText"/>
      </w:pPr>
      <w:r>
        <w:t xml:space="preserve">CWE-307 ranks first in</w:t>
      </w:r>
      <w:r>
        <w:t xml:space="preserve"> </w:t>
      </w:r>
      <w:hyperlink w:anchor="tbl-top-cwes">
        <w:r>
          <w:rPr>
            <w:rStyle w:val="Hyperlink"/>
          </w:rPr>
          <w:t xml:space="preserve">Table 5</w:t>
        </w:r>
      </w:hyperlink>
      <w:r>
        <w:t xml:space="preserve"> </w:t>
      </w:r>
      <w:r>
        <w:t xml:space="preserve">with 90 findings (7.4%), followed by CWE-400 with 82; CWE-916 is third with 58. The 14 listed CWEs account for 51.9% of all reviewer-reported findings, with CWE-209 ranked 14th at 25 findings.</w:t>
      </w:r>
    </w:p>
    <w:bookmarkEnd w:id="54"/>
    <w:bookmarkStart w:id="59" w:name="findings-per-review-by-cwe"/>
    <w:p>
      <w:pPr>
        <w:pStyle w:val="Heading2"/>
      </w:pPr>
      <w:r>
        <w:t xml:space="preserve">Findings per review by CWE</w:t>
      </w:r>
    </w:p>
    <w:tbl>
      <w:tblPr>
        <w:tblStyle w:val="Table"/>
        <w:tblW w:type="pct" w:w="5000"/>
        <w:tblLayout w:type="fixed"/>
        <w:tblLook w:firstRow="0" w:lastRow="0" w:firstColumn="0" w:lastColumn="0" w:noHBand="0" w:noVBand="0" w:val="0000"/>
      </w:tblPr>
      <w:tblGrid>
        <w:gridCol w:w="7920"/>
      </w:tblGrid>
      <w:tr>
        <w:tc>
          <w:tcPr/>
          <w:bookmarkStart w:id="58" w:name="fig-cwe-rates"/>
          <w:p>
            <w:pPr>
              <w:pStyle w:val="Compact"/>
              <w:jc w:val="center"/>
            </w:pPr>
            <w:r>
              <w:drawing>
                <wp:inline>
                  <wp:extent cx="5334000" cy="4310222"/>
                  <wp:effectExtent b="0" l="0" r="0" t="0"/>
                  <wp:docPr descr="" title="" id="56" name="Picture"/>
                  <a:graphic>
                    <a:graphicData uri="http://schemas.openxmlformats.org/drawingml/2006/picture">
                      <pic:pic>
                        <pic:nvPicPr>
                          <pic:cNvPr descr="final_report_findings_files/figure-docx/fig-cwe-rates-output-1.png" id="57" name="Picture"/>
                          <pic:cNvPicPr>
                            <a:picLocks noChangeArrowheads="1" noChangeAspect="1"/>
                          </pic:cNvPicPr>
                        </pic:nvPicPr>
                        <pic:blipFill>
                          <a:blip r:embed="rId55"/>
                          <a:stretch>
                            <a:fillRect/>
                          </a:stretch>
                        </pic:blipFill>
                        <pic:spPr bwMode="auto">
                          <a:xfrm>
                            <a:off x="0" y="0"/>
                            <a:ext cx="5334000" cy="4310222"/>
                          </a:xfrm>
                          <a:prstGeom prst="rect">
                            <a:avLst/>
                          </a:prstGeom>
                          <a:noFill/>
                          <a:ln w="9525">
                            <a:noFill/>
                            <a:headEnd/>
                            <a:tailEnd/>
                          </a:ln>
                        </pic:spPr>
                      </pic:pic>
                    </a:graphicData>
                  </a:graphic>
                </wp:inline>
              </w:drawing>
            </w:r>
          </w:p>
          <w:p>
            <w:pPr>
              <w:jc w:val="center"/>
            </w:pPr>
            <w:pPr>
              <w:jc w:val="left"/>
              <w:spacing w:before="200"/>
              <w:pStyle w:val="ImageCaption"/>
            </w:pPr>
            <w:r>
              <w:t xml:space="preserve">Figure 8: Findings per review by CWE · All conditions, self-review</w:t>
            </w:r>
          </w:p>
          <w:bookmarkEnd w:id="58"/>
        </w:tc>
      </w:tr>
    </w:tbl>
    <w:p>
      <w:pPr>
        <w:pStyle w:val="BodyText"/>
      </w:pPr>
      <w:hyperlink w:anchor="fig-cwe-rates">
        <w:r>
          <w:rPr>
            <w:rStyle w:val="Hyperlink"/>
          </w:rPr>
          <w:t xml:space="preserve">Figure 8</w:t>
        </w:r>
      </w:hyperlink>
      <w:r>
        <w:t xml:space="preserve"> </w:t>
      </w:r>
      <w:r>
        <w:t xml:space="preserve">shows different condition profiles among the most-reported CWEs. Security-informed is highest for CWE-307, CWE-400, CWE-770, and CWE-367, but lowest for several others, including CWE-521, CWE-362, CWE-532, CWE-798, CWE-204, and CWE-209.</w:t>
      </w:r>
    </w:p>
    <w:bookmarkEnd w:id="59"/>
    <w:bookmarkStart w:id="61" w:name="findings-per-review-by-cwe-per-condition"/>
    <w:p>
      <w:pPr>
        <w:pStyle w:val="Heading2"/>
      </w:pPr>
      <w:r>
        <w:t xml:space="preserve">Findings per review by CWE, per condition</w:t>
      </w:r>
    </w:p>
    <w:tbl>
      <w:tblPr>
        <w:tblStyle w:val="Table"/>
        <w:tblW w:type="pct" w:w="5000"/>
        <w:tblLayout w:type="fixed"/>
        <w:tblLook w:firstRow="0" w:lastRow="0" w:firstColumn="0" w:lastColumn="0" w:noHBand="0" w:noVBand="0" w:val="0000"/>
      </w:tblPr>
      <w:tblGrid>
        <w:gridCol w:w="7920"/>
      </w:tblGrid>
      <w:tr>
        <w:tc>
          <w:tcPr/>
          <w:bookmarkStart w:id="60" w:name="tbl-cwe-rates"/>
          <w:p>
            <w:pPr>
              <w:jc w:val="center"/>
            </w:pPr>
            <w:pPr>
              <w:jc w:val="left"/>
              <w:spacing w:before="200"/>
              <w:pStyle w:val="ImageCaption"/>
            </w:pPr>
            <w:r>
              <w:t xml:space="preserve">Table 6: Findings per review by CWE, per condition · All conditions, self-review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Basic</w:t>
                  </w:r>
                </w:p>
              </w:tc>
              <w:tc>
                <w:tcPr/>
                <w:p>
                  <w:pPr>
                    <w:pStyle w:val="Compact"/>
                    <w:jc w:val="right"/>
                    <w:jc w:val="center"/>
                  </w:pPr>
                  <w:r>
                    <w:t xml:space="preserve">Security-aware</w:t>
                  </w:r>
                </w:p>
              </w:tc>
              <w:tc>
                <w:tcPr/>
                <w:p>
                  <w:pPr>
                    <w:pStyle w:val="Compact"/>
                    <w:jc w:val="right"/>
                    <w:jc w:val="center"/>
                  </w:pPr>
                  <w:r>
                    <w:t xml:space="preserve">Security-informed</w:t>
                  </w:r>
                </w:p>
              </w:tc>
            </w:tr>
            <w:tr>
              <w:tc>
                <w:tcPr/>
                <w:p>
                  <w:pPr>
                    <w:pStyle w:val="Compact"/>
                    <w:jc w:val="left"/>
                    <w:jc w:val="center"/>
                  </w:pPr>
                  <w:r>
                    <w:t xml:space="preserve">CWE-307 Improper Restriction of Excessive…</w:t>
                  </w:r>
                </w:p>
              </w:tc>
              <w:tc>
                <w:tcPr/>
                <w:p>
                  <w:pPr>
                    <w:pStyle w:val="Compact"/>
                    <w:jc w:val="right"/>
                    <w:jc w:val="center"/>
                  </w:pPr>
                  <w:r>
                    <w:t xml:space="preserve">0.48</w:t>
                  </w:r>
                </w:p>
              </w:tc>
              <w:tc>
                <w:tcPr/>
                <w:p>
                  <w:pPr>
                    <w:pStyle w:val="Compact"/>
                    <w:jc w:val="right"/>
                    <w:jc w:val="center"/>
                  </w:pPr>
                  <w:r>
                    <w:t xml:space="preserve">0.48</w:t>
                  </w:r>
                </w:p>
              </w:tc>
              <w:tc>
                <w:tcPr/>
                <w:p>
                  <w:pPr>
                    <w:pStyle w:val="Compact"/>
                    <w:jc w:val="right"/>
                    <w:jc w:val="center"/>
                  </w:pPr>
                  <w:r>
                    <w:t xml:space="preserve">0.5</w:t>
                  </w:r>
                </w:p>
              </w:tc>
            </w:tr>
            <w:tr>
              <w:tc>
                <w:tcPr/>
                <w:p>
                  <w:pPr>
                    <w:pStyle w:val="Compact"/>
                    <w:jc w:val="left"/>
                    <w:jc w:val="center"/>
                  </w:pPr>
                  <w:r>
                    <w:t xml:space="preserve">CWE-400 Uncontrolled Resource Consumption</w:t>
                  </w:r>
                </w:p>
              </w:tc>
              <w:tc>
                <w:tcPr/>
                <w:p>
                  <w:pPr>
                    <w:pStyle w:val="Compact"/>
                    <w:jc w:val="right"/>
                    <w:jc w:val="center"/>
                  </w:pPr>
                  <w:r>
                    <w:t xml:space="preserve">0.35</w:t>
                  </w:r>
                </w:p>
              </w:tc>
              <w:tc>
                <w:tcPr/>
                <w:p>
                  <w:pPr>
                    <w:pStyle w:val="Compact"/>
                    <w:jc w:val="right"/>
                    <w:jc w:val="center"/>
                  </w:pPr>
                  <w:r>
                    <w:t xml:space="preserve">0.31</w:t>
                  </w:r>
                </w:p>
              </w:tc>
              <w:tc>
                <w:tcPr/>
                <w:p>
                  <w:pPr>
                    <w:pStyle w:val="Compact"/>
                    <w:jc w:val="right"/>
                    <w:jc w:val="center"/>
                  </w:pPr>
                  <w:r>
                    <w:t xml:space="preserve">0.5</w:t>
                  </w:r>
                </w:p>
              </w:tc>
            </w:tr>
            <w:tr>
              <w:tc>
                <w:tcPr/>
                <w:p>
                  <w:pPr>
                    <w:pStyle w:val="Compact"/>
                    <w:jc w:val="left"/>
                    <w:jc w:val="center"/>
                  </w:pPr>
                  <w:r>
                    <w:t xml:space="preserve">CWE-916 Use of Password Hash With Insufficient…</w:t>
                  </w:r>
                </w:p>
              </w:tc>
              <w:tc>
                <w:tcPr/>
                <w:p>
                  <w:pPr>
                    <w:pStyle w:val="Compact"/>
                    <w:jc w:val="right"/>
                    <w:jc w:val="center"/>
                  </w:pPr>
                  <w:r>
                    <w:t xml:space="preserve">0.38</w:t>
                  </w:r>
                </w:p>
              </w:tc>
              <w:tc>
                <w:tcPr/>
                <w:p>
                  <w:pPr>
                    <w:pStyle w:val="Compact"/>
                    <w:jc w:val="right"/>
                    <w:jc w:val="center"/>
                  </w:pPr>
                  <w:r>
                    <w:t xml:space="preserve">0.38</w:t>
                  </w:r>
                </w:p>
              </w:tc>
              <w:tc>
                <w:tcPr/>
                <w:p>
                  <w:pPr>
                    <w:pStyle w:val="Compact"/>
                    <w:jc w:val="right"/>
                    <w:jc w:val="center"/>
                  </w:pPr>
                  <w:r>
                    <w:t xml:space="preserve">0.25</w:t>
                  </w:r>
                </w:p>
              </w:tc>
            </w:tr>
            <w:tr>
              <w:tc>
                <w:tcPr/>
                <w:p>
                  <w:pPr>
                    <w:pStyle w:val="Compact"/>
                    <w:jc w:val="left"/>
                    <w:jc w:val="center"/>
                  </w:pPr>
                  <w:r>
                    <w:t xml:space="preserve">CWE-316 Cleartext Storage of Sensitive Information…</w:t>
                  </w:r>
                </w:p>
              </w:tc>
              <w:tc>
                <w:tcPr/>
                <w:p>
                  <w:pPr>
                    <w:pStyle w:val="Compact"/>
                    <w:jc w:val="right"/>
                    <w:jc w:val="center"/>
                  </w:pPr>
                  <w:r>
                    <w:t xml:space="preserve">0.29</w:t>
                  </w:r>
                </w:p>
              </w:tc>
              <w:tc>
                <w:tcPr/>
                <w:p>
                  <w:pPr>
                    <w:pStyle w:val="Compact"/>
                    <w:jc w:val="right"/>
                    <w:jc w:val="center"/>
                  </w:pPr>
                  <w:r>
                    <w:t xml:space="preserve">0.31</w:t>
                  </w:r>
                </w:p>
              </w:tc>
              <w:tc>
                <w:tcPr/>
                <w:p>
                  <w:pPr>
                    <w:pStyle w:val="Compact"/>
                    <w:jc w:val="right"/>
                    <w:jc w:val="center"/>
                  </w:pPr>
                  <w:r>
                    <w:t xml:space="preserve">0.21</w:t>
                  </w:r>
                </w:p>
              </w:tc>
            </w:tr>
            <w:tr>
              <w:tc>
                <w:tcPr/>
                <w:p>
                  <w:pPr>
                    <w:pStyle w:val="Compact"/>
                    <w:jc w:val="left"/>
                    <w:jc w:val="center"/>
                  </w:pPr>
                  <w:r>
                    <w:t xml:space="preserve">CWE-732 Incorrect Permission Assignment for Critical…</w:t>
                  </w:r>
                </w:p>
              </w:tc>
              <w:tc>
                <w:tcPr/>
                <w:p>
                  <w:pPr>
                    <w:pStyle w:val="Compact"/>
                    <w:jc w:val="right"/>
                    <w:jc w:val="center"/>
                  </w:pPr>
                  <w:r>
                    <w:t xml:space="preserve">0.31</w:t>
                  </w:r>
                </w:p>
              </w:tc>
              <w:tc>
                <w:tcPr/>
                <w:p>
                  <w:pPr>
                    <w:pStyle w:val="Compact"/>
                    <w:jc w:val="right"/>
                    <w:jc w:val="center"/>
                  </w:pPr>
                  <w:r>
                    <w:t xml:space="preserve">0.25</w:t>
                  </w:r>
                </w:p>
              </w:tc>
              <w:tc>
                <w:tcPr/>
                <w:p>
                  <w:pPr>
                    <w:pStyle w:val="Compact"/>
                    <w:jc w:val="right"/>
                    <w:jc w:val="center"/>
                  </w:pPr>
                  <w:r>
                    <w:t xml:space="preserve">0.29</w:t>
                  </w:r>
                </w:p>
              </w:tc>
            </w:tr>
            <w:tr>
              <w:tc>
                <w:tcPr/>
                <w:p>
                  <w:pPr>
                    <w:pStyle w:val="Compact"/>
                    <w:jc w:val="left"/>
                    <w:jc w:val="center"/>
                  </w:pPr>
                  <w:r>
                    <w:t xml:space="preserve">CWE-521 Weak Password Requirements</w:t>
                  </w:r>
                </w:p>
              </w:tc>
              <w:tc>
                <w:tcPr/>
                <w:p>
                  <w:pPr>
                    <w:pStyle w:val="Compact"/>
                    <w:jc w:val="right"/>
                    <w:jc w:val="center"/>
                  </w:pPr>
                  <w:r>
                    <w:t xml:space="preserve">0.44</w:t>
                  </w:r>
                </w:p>
              </w:tc>
              <w:tc>
                <w:tcPr/>
                <w:p>
                  <w:pPr>
                    <w:pStyle w:val="Compact"/>
                    <w:jc w:val="right"/>
                    <w:jc w:val="center"/>
                  </w:pPr>
                  <w:r>
                    <w:t xml:space="preserve">0.29</w:t>
                  </w:r>
                </w:p>
              </w:tc>
              <w:tc>
                <w:tcPr/>
                <w:p>
                  <w:pPr>
                    <w:pStyle w:val="Compact"/>
                    <w:jc w:val="right"/>
                    <w:jc w:val="center"/>
                  </w:pPr>
                  <w:r>
                    <w:t xml:space="preserve">0.08</w:t>
                  </w:r>
                </w:p>
              </w:tc>
            </w:tr>
            <w:tr>
              <w:tc>
                <w:tcPr/>
                <w:p>
                  <w:pPr>
                    <w:pStyle w:val="Compact"/>
                    <w:jc w:val="left"/>
                    <w:jc w:val="center"/>
                  </w:pPr>
                  <w:r>
                    <w:t xml:space="preserve">CWE-770 Allocation of Resources Without Limits or…</w:t>
                  </w:r>
                </w:p>
              </w:tc>
              <w:tc>
                <w:tcPr/>
                <w:p>
                  <w:pPr>
                    <w:pStyle w:val="Compact"/>
                    <w:jc w:val="right"/>
                    <w:jc w:val="center"/>
                  </w:pPr>
                  <w:r>
                    <w:t xml:space="preserve">0.06</w:t>
                  </w:r>
                </w:p>
              </w:tc>
              <w:tc>
                <w:tcPr/>
                <w:p>
                  <w:pPr>
                    <w:pStyle w:val="Compact"/>
                    <w:jc w:val="right"/>
                    <w:jc w:val="center"/>
                  </w:pPr>
                  <w:r>
                    <w:t xml:space="preserve">0.08</w:t>
                  </w:r>
                </w:p>
              </w:tc>
              <w:tc>
                <w:tcPr/>
                <w:p>
                  <w:pPr>
                    <w:pStyle w:val="Compact"/>
                    <w:jc w:val="right"/>
                    <w:jc w:val="center"/>
                  </w:pPr>
                  <w:r>
                    <w:t xml:space="preserve">0.21</w:t>
                  </w:r>
                </w:p>
              </w:tc>
            </w:tr>
            <w:tr>
              <w:tc>
                <w:tcPr/>
                <w:p>
                  <w:pPr>
                    <w:pStyle w:val="Compact"/>
                    <w:jc w:val="left"/>
                    <w:jc w:val="center"/>
                  </w:pPr>
                  <w:r>
                    <w:t xml:space="preserve">CWE-367 Time-of-check Time-of-use (TOCTOU) Race…</w:t>
                  </w:r>
                </w:p>
              </w:tc>
              <w:tc>
                <w:tcPr/>
                <w:p>
                  <w:pPr>
                    <w:pStyle w:val="Compact"/>
                    <w:jc w:val="right"/>
                    <w:jc w:val="center"/>
                  </w:pPr>
                  <w:r>
                    <w:t xml:space="preserve">0.04</w:t>
                  </w:r>
                </w:p>
              </w:tc>
              <w:tc>
                <w:tcPr/>
                <w:p>
                  <w:pPr>
                    <w:pStyle w:val="Compact"/>
                    <w:jc w:val="right"/>
                    <w:jc w:val="center"/>
                  </w:pPr>
                  <w:r>
                    <w:t xml:space="preserve">0.1</w:t>
                  </w:r>
                </w:p>
              </w:tc>
              <w:tc>
                <w:tcPr/>
                <w:p>
                  <w:pPr>
                    <w:pStyle w:val="Compact"/>
                    <w:jc w:val="right"/>
                    <w:jc w:val="center"/>
                  </w:pPr>
                  <w:r>
                    <w:t xml:space="preserve">0.29</w:t>
                  </w:r>
                </w:p>
              </w:tc>
            </w:tr>
            <w:tr>
              <w:tc>
                <w:tcPr/>
                <w:p>
                  <w:pPr>
                    <w:pStyle w:val="Compact"/>
                    <w:jc w:val="left"/>
                    <w:jc w:val="center"/>
                  </w:pPr>
                  <w:r>
                    <w:t xml:space="preserve">CWE-362 Concurrent Execution using Shared Resource…</w:t>
                  </w:r>
                </w:p>
              </w:tc>
              <w:tc>
                <w:tcPr/>
                <w:p>
                  <w:pPr>
                    <w:pStyle w:val="Compact"/>
                    <w:jc w:val="right"/>
                    <w:jc w:val="center"/>
                  </w:pPr>
                  <w:r>
                    <w:t xml:space="preserve">0.19</w:t>
                  </w:r>
                </w:p>
              </w:tc>
              <w:tc>
                <w:tcPr/>
                <w:p>
                  <w:pPr>
                    <w:pStyle w:val="Compact"/>
                    <w:jc w:val="right"/>
                    <w:jc w:val="center"/>
                  </w:pPr>
                  <w:r>
                    <w:t xml:space="preserve">0.15</w:t>
                  </w:r>
                </w:p>
              </w:tc>
              <w:tc>
                <w:tcPr/>
                <w:p>
                  <w:pPr>
                    <w:pStyle w:val="Compact"/>
                    <w:jc w:val="right"/>
                    <w:jc w:val="center"/>
                  </w:pPr>
                  <w:r>
                    <w:t xml:space="preserve">0.04</w:t>
                  </w:r>
                </w:p>
              </w:tc>
            </w:tr>
            <w:tr>
              <w:tc>
                <w:tcPr/>
                <w:p>
                  <w:pPr>
                    <w:pStyle w:val="Compact"/>
                    <w:jc w:val="left"/>
                    <w:jc w:val="center"/>
                  </w:pPr>
                  <w:r>
                    <w:t xml:space="preserve">CWE-208 Observable Timing Discrepancy</w:t>
                  </w:r>
                </w:p>
              </w:tc>
              <w:tc>
                <w:tcPr/>
                <w:p>
                  <w:pPr>
                    <w:pStyle w:val="Compact"/>
                    <w:jc w:val="right"/>
                    <w:jc w:val="center"/>
                  </w:pPr>
                  <w:r>
                    <w:t xml:space="preserve">0.1</w:t>
                  </w:r>
                </w:p>
              </w:tc>
              <w:tc>
                <w:tcPr/>
                <w:p>
                  <w:pPr>
                    <w:pStyle w:val="Compact"/>
                    <w:jc w:val="right"/>
                    <w:jc w:val="center"/>
                  </w:pPr>
                  <w:r>
                    <w:t xml:space="preserve">0.17</w:t>
                  </w:r>
                </w:p>
              </w:tc>
              <w:tc>
                <w:tcPr/>
                <w:p>
                  <w:pPr>
                    <w:pStyle w:val="Compact"/>
                    <w:jc w:val="right"/>
                    <w:jc w:val="center"/>
                  </w:pPr>
                  <w:r>
                    <w:t xml:space="preserve">0.08</w:t>
                  </w:r>
                </w:p>
              </w:tc>
            </w:tr>
            <w:tr>
              <w:tc>
                <w:tcPr/>
                <w:p>
                  <w:pPr>
                    <w:pStyle w:val="Compact"/>
                    <w:jc w:val="left"/>
                    <w:jc w:val="center"/>
                  </w:pPr>
                  <w:r>
                    <w:t xml:space="preserve">CWE-532 Insertion of Sensitive Information into Log…</w:t>
                  </w:r>
                </w:p>
              </w:tc>
              <w:tc>
                <w:tcPr/>
                <w:p>
                  <w:pPr>
                    <w:pStyle w:val="Compact"/>
                    <w:jc w:val="right"/>
                    <w:jc w:val="center"/>
                  </w:pPr>
                  <w:r>
                    <w:t xml:space="preserve">0.15</w:t>
                  </w:r>
                </w:p>
              </w:tc>
              <w:tc>
                <w:tcPr/>
                <w:p>
                  <w:pPr>
                    <w:pStyle w:val="Compact"/>
                    <w:jc w:val="right"/>
                    <w:jc w:val="center"/>
                  </w:pPr>
                  <w:r>
                    <w:t xml:space="preserve">0.23</w:t>
                  </w:r>
                </w:p>
              </w:tc>
              <w:tc>
                <w:tcPr/>
                <w:p>
                  <w:pPr>
                    <w:pStyle w:val="Compact"/>
                    <w:jc w:val="right"/>
                    <w:jc w:val="center"/>
                  </w:pPr>
                  <w:r>
                    <w:t xml:space="preserve">0.08</w:t>
                  </w:r>
                </w:p>
              </w:tc>
            </w:tr>
            <w:tr>
              <w:tc>
                <w:tcPr/>
                <w:p>
                  <w:pPr>
                    <w:pStyle w:val="Compact"/>
                    <w:jc w:val="left"/>
                    <w:jc w:val="center"/>
                  </w:pPr>
                  <w:r>
                    <w:t xml:space="preserve">CWE-798 Use of Hard-coded Credentials</w:t>
                  </w:r>
                </w:p>
              </w:tc>
              <w:tc>
                <w:tcPr/>
                <w:p>
                  <w:pPr>
                    <w:pStyle w:val="Compact"/>
                    <w:jc w:val="right"/>
                    <w:jc w:val="center"/>
                  </w:pPr>
                  <w:r>
                    <w:t xml:space="preserve">0.31</w:t>
                  </w:r>
                </w:p>
              </w:tc>
              <w:tc>
                <w:tcPr/>
                <w:p>
                  <w:pPr>
                    <w:pStyle w:val="Compact"/>
                    <w:jc w:val="right"/>
                    <w:jc w:val="center"/>
                  </w:pPr>
                  <w:r>
                    <w:t xml:space="preserve">0.29</w:t>
                  </w:r>
                </w:p>
              </w:tc>
              <w:tc>
                <w:tcPr/>
                <w:p>
                  <w:pPr>
                    <w:pStyle w:val="Compact"/>
                    <w:jc w:val="right"/>
                    <w:jc w:val="center"/>
                  </w:pPr>
                  <w:r>
                    <w:t xml:space="preserve">0.0</w:t>
                  </w:r>
                </w:p>
              </w:tc>
            </w:tr>
            <w:tr>
              <w:tc>
                <w:tcPr/>
                <w:p>
                  <w:pPr>
                    <w:pStyle w:val="Compact"/>
                    <w:jc w:val="left"/>
                    <w:jc w:val="center"/>
                  </w:pPr>
                  <w:r>
                    <w:t xml:space="preserve">CWE-204 Observable Response Discrepancy</w:t>
                  </w:r>
                </w:p>
              </w:tc>
              <w:tc>
                <w:tcPr/>
                <w:p>
                  <w:pPr>
                    <w:pStyle w:val="Compact"/>
                    <w:jc w:val="right"/>
                    <w:jc w:val="center"/>
                  </w:pPr>
                  <w:r>
                    <w:t xml:space="preserve">0.23</w:t>
                  </w:r>
                </w:p>
              </w:tc>
              <w:tc>
                <w:tcPr/>
                <w:p>
                  <w:pPr>
                    <w:pStyle w:val="Compact"/>
                    <w:jc w:val="right"/>
                    <w:jc w:val="center"/>
                  </w:pPr>
                  <w:r>
                    <w:t xml:space="preserve">0.25</w:t>
                  </w:r>
                </w:p>
              </w:tc>
              <w:tc>
                <w:tcPr/>
                <w:p>
                  <w:pPr>
                    <w:pStyle w:val="Compact"/>
                    <w:jc w:val="right"/>
                    <w:jc w:val="center"/>
                  </w:pPr>
                  <w:r>
                    <w:t xml:space="preserve">0.0</w:t>
                  </w:r>
                </w:p>
              </w:tc>
            </w:tr>
            <w:tr>
              <w:tc>
                <w:tcPr/>
                <w:p>
                  <w:pPr>
                    <w:pStyle w:val="Compact"/>
                    <w:jc w:val="left"/>
                    <w:jc w:val="center"/>
                  </w:pPr>
                  <w:r>
                    <w:t xml:space="preserve">CWE-209 Generation of Error Message Containing…</w:t>
                  </w:r>
                </w:p>
              </w:tc>
              <w:tc>
                <w:tcPr/>
                <w:p>
                  <w:pPr>
                    <w:pStyle w:val="Compact"/>
                    <w:jc w:val="right"/>
                    <w:jc w:val="center"/>
                  </w:pPr>
                  <w:r>
                    <w:t xml:space="preserve">0.15</w:t>
                  </w:r>
                </w:p>
              </w:tc>
              <w:tc>
                <w:tcPr/>
                <w:p>
                  <w:pPr>
                    <w:pStyle w:val="Compact"/>
                    <w:jc w:val="right"/>
                    <w:jc w:val="center"/>
                  </w:pPr>
                  <w:r>
                    <w:t xml:space="preserve">0.21</w:t>
                  </w:r>
                </w:p>
              </w:tc>
              <w:tc>
                <w:tcPr/>
                <w:p>
                  <w:pPr>
                    <w:pStyle w:val="Compact"/>
                    <w:jc w:val="right"/>
                    <w:jc w:val="center"/>
                  </w:pPr>
                  <w:r>
                    <w:t xml:space="preserve">0.12</w:t>
                  </w:r>
                </w:p>
              </w:tc>
            </w:tr>
            <w:tr>
              <w:tc>
                <w:tcPr/>
                <w:p>
                  <w:pPr>
                    <w:pStyle w:val="Compact"/>
                    <w:jc w:val="left"/>
                    <w:jc w:val="center"/>
                  </w:pPr>
                  <w:r>
                    <w:t xml:space="preserve">Other</w:t>
                  </w:r>
                </w:p>
              </w:tc>
              <w:tc>
                <w:tcPr/>
                <w:p>
                  <w:pPr>
                    <w:pStyle w:val="Compact"/>
                    <w:jc w:val="right"/>
                    <w:jc w:val="center"/>
                  </w:pPr>
                  <w:r>
                    <w:t xml:space="preserve">2.77</w:t>
                  </w:r>
                </w:p>
              </w:tc>
              <w:tc>
                <w:tcPr/>
                <w:p>
                  <w:pPr>
                    <w:pStyle w:val="Compact"/>
                    <w:jc w:val="right"/>
                    <w:jc w:val="center"/>
                  </w:pPr>
                  <w:r>
                    <w:t xml:space="preserve">3.06</w:t>
                  </w:r>
                </w:p>
              </w:tc>
              <w:tc>
                <w:tcPr/>
                <w:p>
                  <w:pPr>
                    <w:pStyle w:val="Compact"/>
                    <w:jc w:val="right"/>
                    <w:jc w:val="center"/>
                  </w:pPr>
                  <w:r>
                    <w:t xml:space="preserve">3.12</w:t>
                  </w:r>
                </w:p>
              </w:tc>
            </w:tr>
          </w:tbl>
          <w:bookmarkEnd w:id="60"/>
          <w:p/>
        </w:tc>
      </w:tr>
    </w:tbl>
    <w:p>
      <w:pPr>
        <w:pStyle w:val="BodyText"/>
      </w:pPr>
      <w:r>
        <w:t xml:space="preserve">In</w:t>
      </w:r>
      <w:r>
        <w:t xml:space="preserve"> </w:t>
      </w:r>
      <w:hyperlink w:anchor="tbl-cwe-rates">
        <w:r>
          <w:rPr>
            <w:rStyle w:val="Hyperlink"/>
          </w:rPr>
          <w:t xml:space="preserve">Table 6</w:t>
        </w:r>
      </w:hyperlink>
      <w:r>
        <w:t xml:space="preserve">, CWE-307 is similar across conditions at 0.48, 0.48, and 0.5 findings per review, while CWE-400 rises from 0.35 and 0.31 to 0.5 in Security-informed. Security-informed is also higher for CWE-770 at 0.21 and CWE-367 at 0.29, but records 0.0 for CWE-798 and CWE-204.</w:t>
      </w:r>
    </w:p>
    <w:bookmarkEnd w:id="61"/>
    <w:bookmarkStart w:id="66" w:name="findings-per-review-by-owasp-category"/>
    <w:p>
      <w:pPr>
        <w:pStyle w:val="Heading2"/>
      </w:pPr>
      <w:r>
        <w:t xml:space="preserve">Findings per review by OWASP category</w:t>
      </w:r>
    </w:p>
    <w:tbl>
      <w:tblPr>
        <w:tblStyle w:val="Table"/>
        <w:tblW w:type="pct" w:w="5000"/>
        <w:tblLayout w:type="fixed"/>
        <w:tblLook w:firstRow="0" w:lastRow="0" w:firstColumn="0" w:lastColumn="0" w:noHBand="0" w:noVBand="0" w:val="0000"/>
      </w:tblPr>
      <w:tblGrid>
        <w:gridCol w:w="7920"/>
      </w:tblGrid>
      <w:tr>
        <w:tc>
          <w:tcPr/>
          <w:bookmarkStart w:id="65" w:name="fig-owasp-rates"/>
          <w:p>
            <w:pPr>
              <w:pStyle w:val="Compact"/>
              <w:jc w:val="center"/>
            </w:pPr>
            <w:r>
              <w:drawing>
                <wp:inline>
                  <wp:extent cx="5334000" cy="3552022"/>
                  <wp:effectExtent b="0" l="0" r="0" t="0"/>
                  <wp:docPr descr="" title="" id="63" name="Picture"/>
                  <a:graphic>
                    <a:graphicData uri="http://schemas.openxmlformats.org/drawingml/2006/picture">
                      <pic:pic>
                        <pic:nvPicPr>
                          <pic:cNvPr descr="final_report_findings_files/figure-docx/fig-owasp-rates-output-1.png" id="64" name="Picture"/>
                          <pic:cNvPicPr>
                            <a:picLocks noChangeArrowheads="1" noChangeAspect="1"/>
                          </pic:cNvPicPr>
                        </pic:nvPicPr>
                        <pic:blipFill>
                          <a:blip r:embed="rId62"/>
                          <a:stretch>
                            <a:fillRect/>
                          </a:stretch>
                        </pic:blipFill>
                        <pic:spPr bwMode="auto">
                          <a:xfrm>
                            <a:off x="0" y="0"/>
                            <a:ext cx="5334000" cy="3552022"/>
                          </a:xfrm>
                          <a:prstGeom prst="rect">
                            <a:avLst/>
                          </a:prstGeom>
                          <a:noFill/>
                          <a:ln w="9525">
                            <a:noFill/>
                            <a:headEnd/>
                            <a:tailEnd/>
                          </a:ln>
                        </pic:spPr>
                      </pic:pic>
                    </a:graphicData>
                  </a:graphic>
                </wp:inline>
              </w:drawing>
            </w:r>
          </w:p>
          <w:p>
            <w:pPr>
              <w:jc w:val="center"/>
            </w:pPr>
            <w:pPr>
              <w:jc w:val="left"/>
              <w:spacing w:before="200"/>
              <w:pStyle w:val="ImageCaption"/>
            </w:pPr>
            <w:r>
              <w:t xml:space="preserve">Figure 9: Findings per review by OWASP category · All conditions, self-review</w:t>
            </w:r>
          </w:p>
          <w:bookmarkEnd w:id="65"/>
        </w:tc>
      </w:tr>
    </w:tbl>
    <w:p>
      <w:pPr>
        <w:pStyle w:val="BodyText"/>
      </w:pPr>
      <w:hyperlink w:anchor="fig-owasp-rates">
        <w:r>
          <w:rPr>
            <w:rStyle w:val="Hyperlink"/>
          </w:rPr>
          <w:t xml:space="preserve">Figure 9</w:t>
        </w:r>
      </w:hyperlink>
      <w:r>
        <w:t xml:space="preserve"> </w:t>
      </w:r>
      <w:r>
        <w:t xml:space="preserve">shows A07 as the highest mapped OWASP category in each condition, although its rate declines from Basic through Security-informed. Unmapped CWEs have the highest overall rate in Security-aware and Security-informed, while A04 and A05 rise across the three conditions.</w:t>
      </w:r>
    </w:p>
    <w:bookmarkEnd w:id="66"/>
    <w:bookmarkStart w:id="68" w:name="X6b4880d6af13f66d3f64356c50ed53302ce213c"/>
    <w:p>
      <w:pPr>
        <w:pStyle w:val="Heading2"/>
      </w:pPr>
      <w:r>
        <w:t xml:space="preserve">Findings per review by OWASP category, per condition</w:t>
      </w:r>
    </w:p>
    <w:tbl>
      <w:tblPr>
        <w:tblStyle w:val="Table"/>
        <w:tblW w:type="pct" w:w="5000"/>
        <w:tblLayout w:type="fixed"/>
        <w:tblLook w:firstRow="0" w:lastRow="0" w:firstColumn="0" w:lastColumn="0" w:noHBand="0" w:noVBand="0" w:val="0000"/>
      </w:tblPr>
      <w:tblGrid>
        <w:gridCol w:w="7920"/>
      </w:tblGrid>
      <w:tr>
        <w:tc>
          <w:tcPr/>
          <w:bookmarkStart w:id="67" w:name="tbl-owasp-rates"/>
          <w:p>
            <w:pPr>
              <w:jc w:val="center"/>
            </w:pPr>
            <w:pPr>
              <w:jc w:val="left"/>
              <w:spacing w:before="200"/>
              <w:pStyle w:val="ImageCaption"/>
            </w:pPr>
            <w:r>
              <w:t xml:space="preserve">Table 7: Findings per review by OWASP category, per condition · All conditions, self-review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Basic</w:t>
                  </w:r>
                </w:p>
              </w:tc>
              <w:tc>
                <w:tcPr/>
                <w:p>
                  <w:pPr>
                    <w:pStyle w:val="Compact"/>
                    <w:jc w:val="right"/>
                    <w:jc w:val="center"/>
                  </w:pPr>
                  <w:r>
                    <w:t xml:space="preserve">Security-aware</w:t>
                  </w:r>
                </w:p>
              </w:tc>
              <w:tc>
                <w:tcPr/>
                <w:p>
                  <w:pPr>
                    <w:pStyle w:val="Compact"/>
                    <w:jc w:val="right"/>
                    <w:jc w:val="center"/>
                  </w:pPr>
                  <w:r>
                    <w:t xml:space="preserve">Security-informed</w:t>
                  </w:r>
                </w:p>
              </w:tc>
            </w:tr>
            <w:tr>
              <w:tc>
                <w:tcPr/>
                <w:p>
                  <w:pPr>
                    <w:pStyle w:val="Compact"/>
                    <w:jc w:val="left"/>
                    <w:jc w:val="center"/>
                  </w:pPr>
                  <w:r>
                    <w:t xml:space="preserve">A01 Broken Access Control</w:t>
                  </w:r>
                </w:p>
              </w:tc>
              <w:tc>
                <w:tcPr/>
                <w:p>
                  <w:pPr>
                    <w:pStyle w:val="Compact"/>
                    <w:jc w:val="right"/>
                    <w:jc w:val="center"/>
                  </w:pPr>
                  <w:r>
                    <w:t xml:space="preserve">0.77</w:t>
                  </w:r>
                </w:p>
              </w:tc>
              <w:tc>
                <w:tcPr/>
                <w:p>
                  <w:pPr>
                    <w:pStyle w:val="Compact"/>
                    <w:jc w:val="right"/>
                    <w:jc w:val="center"/>
                  </w:pPr>
                  <w:r>
                    <w:t xml:space="preserve">0.83</w:t>
                  </w:r>
                </w:p>
              </w:tc>
              <w:tc>
                <w:tcPr/>
                <w:p>
                  <w:pPr>
                    <w:pStyle w:val="Compact"/>
                    <w:jc w:val="right"/>
                    <w:jc w:val="center"/>
                  </w:pPr>
                  <w:r>
                    <w:t xml:space="preserve">0.54</w:t>
                  </w:r>
                </w:p>
              </w:tc>
            </w:tr>
            <w:tr>
              <w:tc>
                <w:tcPr/>
                <w:p>
                  <w:pPr>
                    <w:pStyle w:val="Compact"/>
                    <w:jc w:val="left"/>
                    <w:jc w:val="center"/>
                  </w:pPr>
                  <w:r>
                    <w:t xml:space="preserve">A02 Security Misconfiguration</w:t>
                  </w:r>
                </w:p>
              </w:tc>
              <w:tc>
                <w:tcPr/>
                <w:p>
                  <w:pPr>
                    <w:pStyle w:val="Compact"/>
                    <w:jc w:val="right"/>
                    <w:jc w:val="center"/>
                  </w:pPr>
                  <w:r>
                    <w:t xml:space="preserve">0.17</w:t>
                  </w:r>
                </w:p>
              </w:tc>
              <w:tc>
                <w:tcPr/>
                <w:p>
                  <w:pPr>
                    <w:pStyle w:val="Compact"/>
                    <w:jc w:val="right"/>
                    <w:jc w:val="center"/>
                  </w:pPr>
                  <w:r>
                    <w:t xml:space="preserve">0.12</w:t>
                  </w:r>
                </w:p>
              </w:tc>
              <w:tc>
                <w:tcPr/>
                <w:p>
                  <w:pPr>
                    <w:pStyle w:val="Compact"/>
                    <w:jc w:val="right"/>
                    <w:jc w:val="center"/>
                  </w:pPr>
                  <w:r>
                    <w:t xml:space="preserve">0.08</w:t>
                  </w:r>
                </w:p>
              </w:tc>
            </w:tr>
            <w:tr>
              <w:tc>
                <w:tcPr/>
                <w:p>
                  <w:pPr>
                    <w:pStyle w:val="Compact"/>
                    <w:jc w:val="left"/>
                    <w:jc w:val="center"/>
                  </w:pPr>
                  <w:r>
                    <w:t xml:space="preserve">A03 Software Supply Chain Failures</w:t>
                  </w:r>
                </w:p>
              </w:tc>
              <w:tc>
                <w:tcPr/>
                <w:p>
                  <w:pPr>
                    <w:pStyle w:val="Compact"/>
                    <w:jc w:val="right"/>
                    <w:jc w:val="center"/>
                  </w:pPr>
                  <w:r>
                    <w:t xml:space="preserve">0.02</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left"/>
                    <w:jc w:val="center"/>
                  </w:pPr>
                  <w:r>
                    <w:t xml:space="preserve">A04 Cryptographic Failures</w:t>
                  </w:r>
                </w:p>
              </w:tc>
              <w:tc>
                <w:tcPr/>
                <w:p>
                  <w:pPr>
                    <w:pStyle w:val="Compact"/>
                    <w:jc w:val="right"/>
                    <w:jc w:val="center"/>
                  </w:pPr>
                  <w:r>
                    <w:t xml:space="preserve">0.52</w:t>
                  </w:r>
                </w:p>
              </w:tc>
              <w:tc>
                <w:tcPr/>
                <w:p>
                  <w:pPr>
                    <w:pStyle w:val="Compact"/>
                    <w:jc w:val="right"/>
                    <w:jc w:val="center"/>
                  </w:pPr>
                  <w:r>
                    <w:t xml:space="preserve">0.69</w:t>
                  </w:r>
                </w:p>
              </w:tc>
              <w:tc>
                <w:tcPr/>
                <w:p>
                  <w:pPr>
                    <w:pStyle w:val="Compact"/>
                    <w:jc w:val="right"/>
                    <w:jc w:val="center"/>
                  </w:pPr>
                  <w:r>
                    <w:t xml:space="preserve">0.79</w:t>
                  </w:r>
                </w:p>
              </w:tc>
            </w:tr>
            <w:tr>
              <w:tc>
                <w:tcPr/>
                <w:p>
                  <w:pPr>
                    <w:pStyle w:val="Compact"/>
                    <w:jc w:val="left"/>
                    <w:jc w:val="center"/>
                  </w:pPr>
                  <w:r>
                    <w:t xml:space="preserve">A05 Injection</w:t>
                  </w:r>
                </w:p>
              </w:tc>
              <w:tc>
                <w:tcPr/>
                <w:p>
                  <w:pPr>
                    <w:pStyle w:val="Compact"/>
                    <w:jc w:val="right"/>
                    <w:jc w:val="center"/>
                  </w:pPr>
                  <w:r>
                    <w:t xml:space="preserve">0.17</w:t>
                  </w:r>
                </w:p>
              </w:tc>
              <w:tc>
                <w:tcPr/>
                <w:p>
                  <w:pPr>
                    <w:pStyle w:val="Compact"/>
                    <w:jc w:val="right"/>
                    <w:jc w:val="center"/>
                  </w:pPr>
                  <w:r>
                    <w:t xml:space="preserve">0.21</w:t>
                  </w:r>
                </w:p>
              </w:tc>
              <w:tc>
                <w:tcPr/>
                <w:p>
                  <w:pPr>
                    <w:pStyle w:val="Compact"/>
                    <w:jc w:val="right"/>
                    <w:jc w:val="center"/>
                  </w:pPr>
                  <w:r>
                    <w:t xml:space="preserve">0.25</w:t>
                  </w:r>
                </w:p>
              </w:tc>
            </w:tr>
            <w:tr>
              <w:tc>
                <w:tcPr/>
                <w:p>
                  <w:pPr>
                    <w:pStyle w:val="Compact"/>
                    <w:jc w:val="left"/>
                    <w:jc w:val="center"/>
                  </w:pPr>
                  <w:r>
                    <w:t xml:space="preserve">A06 Insecure Design</w:t>
                  </w:r>
                </w:p>
              </w:tc>
              <w:tc>
                <w:tcPr/>
                <w:p>
                  <w:pPr>
                    <w:pStyle w:val="Compact"/>
                    <w:jc w:val="right"/>
                    <w:jc w:val="center"/>
                  </w:pPr>
                  <w:r>
                    <w:t xml:space="preserve">0.73</w:t>
                  </w:r>
                </w:p>
              </w:tc>
              <w:tc>
                <w:tcPr/>
                <w:p>
                  <w:pPr>
                    <w:pStyle w:val="Compact"/>
                    <w:jc w:val="right"/>
                    <w:jc w:val="center"/>
                  </w:pPr>
                  <w:r>
                    <w:t xml:space="preserve">0.58</w:t>
                  </w:r>
                </w:p>
              </w:tc>
              <w:tc>
                <w:tcPr/>
                <w:p>
                  <w:pPr>
                    <w:pStyle w:val="Compact"/>
                    <w:jc w:val="right"/>
                    <w:jc w:val="center"/>
                  </w:pPr>
                  <w:r>
                    <w:t xml:space="preserve">0.5</w:t>
                  </w:r>
                </w:p>
              </w:tc>
            </w:tr>
            <w:tr>
              <w:tc>
                <w:tcPr/>
                <w:p>
                  <w:pPr>
                    <w:pStyle w:val="Compact"/>
                    <w:jc w:val="left"/>
                    <w:jc w:val="center"/>
                  </w:pPr>
                  <w:r>
                    <w:t xml:space="preserve">A07 Authentication Failures</w:t>
                  </w:r>
                </w:p>
              </w:tc>
              <w:tc>
                <w:tcPr/>
                <w:p>
                  <w:pPr>
                    <w:pStyle w:val="Compact"/>
                    <w:jc w:val="right"/>
                    <w:jc w:val="center"/>
                  </w:pPr>
                  <w:r>
                    <w:t xml:space="preserve">1.75</w:t>
                  </w:r>
                </w:p>
              </w:tc>
              <w:tc>
                <w:tcPr/>
                <w:p>
                  <w:pPr>
                    <w:pStyle w:val="Compact"/>
                    <w:jc w:val="right"/>
                    <w:jc w:val="center"/>
                  </w:pPr>
                  <w:r>
                    <w:t xml:space="preserve">1.38</w:t>
                  </w:r>
                </w:p>
              </w:tc>
              <w:tc>
                <w:tcPr/>
                <w:p>
                  <w:pPr>
                    <w:pStyle w:val="Compact"/>
                    <w:jc w:val="right"/>
                    <w:jc w:val="center"/>
                  </w:pPr>
                  <w:r>
                    <w:t xml:space="preserve">1.04</w:t>
                  </w:r>
                </w:p>
              </w:tc>
            </w:tr>
            <w:tr>
              <w:tc>
                <w:tcPr/>
                <w:p>
                  <w:pPr>
                    <w:pStyle w:val="Compact"/>
                    <w:jc w:val="left"/>
                    <w:jc w:val="center"/>
                  </w:pPr>
                  <w:r>
                    <w:t xml:space="preserve">A08 Software or Data Integrity Failures</w:t>
                  </w:r>
                </w:p>
              </w:tc>
              <w:tc>
                <w:tcPr/>
                <w:p>
                  <w:pPr>
                    <w:pStyle w:val="Compact"/>
                    <w:jc w:val="right"/>
                    <w:jc w:val="center"/>
                  </w:pPr>
                  <w:r>
                    <w:t xml:space="preserve">0.15</w:t>
                  </w:r>
                </w:p>
              </w:tc>
              <w:tc>
                <w:tcPr/>
                <w:p>
                  <w:pPr>
                    <w:pStyle w:val="Compact"/>
                    <w:jc w:val="right"/>
                    <w:jc w:val="center"/>
                  </w:pPr>
                  <w:r>
                    <w:t xml:space="preserve">0.12</w:t>
                  </w:r>
                </w:p>
              </w:tc>
              <w:tc>
                <w:tcPr/>
                <w:p>
                  <w:pPr>
                    <w:pStyle w:val="Compact"/>
                    <w:jc w:val="right"/>
                    <w:jc w:val="center"/>
                  </w:pPr>
                  <w:r>
                    <w:t xml:space="preserve">0.08</w:t>
                  </w:r>
                </w:p>
              </w:tc>
            </w:tr>
            <w:tr>
              <w:tc>
                <w:tcPr/>
                <w:p>
                  <w:pPr>
                    <w:pStyle w:val="Compact"/>
                    <w:jc w:val="left"/>
                    <w:jc w:val="center"/>
                  </w:pPr>
                  <w:r>
                    <w:t xml:space="preserve">A09 Security Logging and Alerting Failures</w:t>
                  </w:r>
                </w:p>
              </w:tc>
              <w:tc>
                <w:tcPr/>
                <w:p>
                  <w:pPr>
                    <w:pStyle w:val="Compact"/>
                    <w:jc w:val="right"/>
                    <w:jc w:val="center"/>
                  </w:pPr>
                  <w:r>
                    <w:t xml:space="preserve">0.29</w:t>
                  </w:r>
                </w:p>
              </w:tc>
              <w:tc>
                <w:tcPr/>
                <w:p>
                  <w:pPr>
                    <w:pStyle w:val="Compact"/>
                    <w:jc w:val="right"/>
                    <w:jc w:val="center"/>
                  </w:pPr>
                  <w:r>
                    <w:t xml:space="preserve">0.44</w:t>
                  </w:r>
                </w:p>
              </w:tc>
              <w:tc>
                <w:tcPr/>
                <w:p>
                  <w:pPr>
                    <w:pStyle w:val="Compact"/>
                    <w:jc w:val="right"/>
                    <w:jc w:val="center"/>
                  </w:pPr>
                  <w:r>
                    <w:t xml:space="preserve">0.33</w:t>
                  </w:r>
                </w:p>
              </w:tc>
            </w:tr>
            <w:tr>
              <w:tc>
                <w:tcPr/>
                <w:p>
                  <w:pPr>
                    <w:pStyle w:val="Compact"/>
                    <w:jc w:val="left"/>
                    <w:jc w:val="center"/>
                  </w:pPr>
                  <w:r>
                    <w:t xml:space="preserve">A10 Mishandling of Exceptional Conditions</w:t>
                  </w:r>
                </w:p>
              </w:tc>
              <w:tc>
                <w:tcPr/>
                <w:p>
                  <w:pPr>
                    <w:pStyle w:val="Compact"/>
                    <w:jc w:val="right"/>
                    <w:jc w:val="center"/>
                  </w:pPr>
                  <w:r>
                    <w:t xml:space="preserve">0.21</w:t>
                  </w:r>
                </w:p>
              </w:tc>
              <w:tc>
                <w:tcPr/>
                <w:p>
                  <w:pPr>
                    <w:pStyle w:val="Compact"/>
                    <w:jc w:val="right"/>
                    <w:jc w:val="center"/>
                  </w:pPr>
                  <w:r>
                    <w:t xml:space="preserve">0.27</w:t>
                  </w:r>
                </w:p>
              </w:tc>
              <w:tc>
                <w:tcPr/>
                <w:p>
                  <w:pPr>
                    <w:pStyle w:val="Compact"/>
                    <w:jc w:val="right"/>
                    <w:jc w:val="center"/>
                  </w:pPr>
                  <w:r>
                    <w:t xml:space="preserve">0.25</w:t>
                  </w:r>
                </w:p>
              </w:tc>
            </w:tr>
            <w:tr>
              <w:tc>
                <w:tcPr/>
                <w:p>
                  <w:pPr>
                    <w:pStyle w:val="Compact"/>
                    <w:jc w:val="left"/>
                    <w:jc w:val="center"/>
                  </w:pPr>
                  <w:r>
                    <w:t xml:space="preserve">Unmapped CWE outside the OWASP Top 10:2025 list</w:t>
                  </w:r>
                </w:p>
              </w:tc>
              <w:tc>
                <w:tcPr/>
                <w:p>
                  <w:pPr>
                    <w:pStyle w:val="Compact"/>
                    <w:jc w:val="right"/>
                    <w:jc w:val="center"/>
                  </w:pPr>
                  <w:r>
                    <w:t xml:space="preserve">1.48</w:t>
                  </w:r>
                </w:p>
              </w:tc>
              <w:tc>
                <w:tcPr/>
                <w:p>
                  <w:pPr>
                    <w:pStyle w:val="Compact"/>
                    <w:jc w:val="right"/>
                    <w:jc w:val="center"/>
                  </w:pPr>
                  <w:r>
                    <w:t xml:space="preserve">1.92</w:t>
                  </w:r>
                </w:p>
              </w:tc>
              <w:tc>
                <w:tcPr/>
                <w:p>
                  <w:pPr>
                    <w:pStyle w:val="Compact"/>
                    <w:jc w:val="right"/>
                    <w:jc w:val="center"/>
                  </w:pPr>
                  <w:r>
                    <w:t xml:space="preserve">1.92</w:t>
                  </w:r>
                </w:p>
              </w:tc>
            </w:tr>
          </w:tbl>
          <w:bookmarkEnd w:id="67"/>
          <w:p/>
        </w:tc>
      </w:tr>
    </w:tbl>
    <w:p>
      <w:pPr>
        <w:pStyle w:val="BodyText"/>
      </w:pPr>
      <w:hyperlink w:anchor="tbl-owasp-rates">
        <w:r>
          <w:rPr>
            <w:rStyle w:val="Hyperlink"/>
          </w:rPr>
          <w:t xml:space="preserve">Table 7</w:t>
        </w:r>
      </w:hyperlink>
      <w:r>
        <w:t xml:space="preserve"> </w:t>
      </w:r>
      <w:r>
        <w:t xml:space="preserve">shows A07 at 1.75, 1.38, and 1.04 findings per review for Basic, Security-aware, and Security-informed, while unmapped CWEs are 1.48, 1.92, and 1.92. A04 increases from 0.52 to 0.69 to 0.79, whereas A01 is 0.77, 0.83, and 0.54.</w:t>
      </w:r>
    </w:p>
    <w:bookmarkEnd w:id="68"/>
    <w:bookmarkStart w:id="73" w:name="cwe-make-up-of-findings"/>
    <w:p>
      <w:pPr>
        <w:pStyle w:val="Heading2"/>
      </w:pPr>
      <w:r>
        <w:t xml:space="preserve">CWE make-up of findings</w:t>
      </w:r>
    </w:p>
    <w:tbl>
      <w:tblPr>
        <w:tblStyle w:val="Table"/>
        <w:tblW w:type="pct" w:w="5000"/>
        <w:tblLayout w:type="fixed"/>
        <w:tblLook w:firstRow="0" w:lastRow="0" w:firstColumn="0" w:lastColumn="0" w:noHBand="0" w:noVBand="0" w:val="0000"/>
      </w:tblPr>
      <w:tblGrid>
        <w:gridCol w:w="7920"/>
      </w:tblGrid>
      <w:tr>
        <w:tc>
          <w:tcPr/>
          <w:bookmarkStart w:id="72" w:name="fig-cwe-mix"/>
          <w:p>
            <w:pPr>
              <w:pStyle w:val="Compact"/>
              <w:jc w:val="center"/>
            </w:pPr>
            <w:r>
              <w:drawing>
                <wp:inline>
                  <wp:extent cx="5334000" cy="1725801"/>
                  <wp:effectExtent b="0" l="0" r="0" t="0"/>
                  <wp:docPr descr="" title="" id="70" name="Picture"/>
                  <a:graphic>
                    <a:graphicData uri="http://schemas.openxmlformats.org/drawingml/2006/picture">
                      <pic:pic>
                        <pic:nvPicPr>
                          <pic:cNvPr descr="final_report_findings_files/figure-docx/fig-cwe-mix-output-1.png" id="71" name="Picture"/>
                          <pic:cNvPicPr>
                            <a:picLocks noChangeArrowheads="1" noChangeAspect="1"/>
                          </pic:cNvPicPr>
                        </pic:nvPicPr>
                        <pic:blipFill>
                          <a:blip r:embed="rId69"/>
                          <a:stretch>
                            <a:fillRect/>
                          </a:stretch>
                        </pic:blipFill>
                        <pic:spPr bwMode="auto">
                          <a:xfrm>
                            <a:off x="0" y="0"/>
                            <a:ext cx="5334000" cy="17258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CWE make-up of findings · All conditions, self-review</w:t>
            </w:r>
          </w:p>
          <w:bookmarkEnd w:id="72"/>
        </w:tc>
      </w:tr>
    </w:tbl>
    <w:p>
      <w:pPr>
        <w:pStyle w:val="BodyText"/>
      </w:pPr>
      <w:hyperlink w:anchor="fig-cwe-mix">
        <w:r>
          <w:rPr>
            <w:rStyle w:val="Hyperlink"/>
          </w:rPr>
          <w:t xml:space="preserve">Figure 10</w:t>
        </w:r>
      </w:hyperlink>
      <w:r>
        <w:t xml:space="preserve"> </w:t>
      </w:r>
      <w:r>
        <w:t xml:space="preserve">shows that the combined Other CWEs form the largest share in every condition and are most prominent in Security-informed. Among the individually displayed CWEs, Security-informed gives relatively greater shares to CWE-307, CWE-400, CWE-770, and CWE-367, while CWE-521 is less prominent.</w:t>
      </w:r>
    </w:p>
    <w:bookmarkEnd w:id="73"/>
    <w:bookmarkStart w:id="78" w:name="owasp-category-make-up-of-findings"/>
    <w:p>
      <w:pPr>
        <w:pStyle w:val="Heading2"/>
      </w:pPr>
      <w:r>
        <w:t xml:space="preserve">OWASP category make-up of findings</w:t>
      </w:r>
    </w:p>
    <w:tbl>
      <w:tblPr>
        <w:tblStyle w:val="Table"/>
        <w:tblW w:type="pct" w:w="5000"/>
        <w:tblLayout w:type="fixed"/>
        <w:tblLook w:firstRow="0" w:lastRow="0" w:firstColumn="0" w:lastColumn="0" w:noHBand="0" w:noVBand="0" w:val="0000"/>
      </w:tblPr>
      <w:tblGrid>
        <w:gridCol w:w="7920"/>
      </w:tblGrid>
      <w:tr>
        <w:tc>
          <w:tcPr/>
          <w:bookmarkStart w:id="77" w:name="fig-owasp-mix"/>
          <w:p>
            <w:pPr>
              <w:pStyle w:val="Compact"/>
              <w:jc w:val="center"/>
            </w:pPr>
            <w:r>
              <w:drawing>
                <wp:inline>
                  <wp:extent cx="5334000" cy="1725801"/>
                  <wp:effectExtent b="0" l="0" r="0" t="0"/>
                  <wp:docPr descr="" title="" id="75" name="Picture"/>
                  <a:graphic>
                    <a:graphicData uri="http://schemas.openxmlformats.org/drawingml/2006/picture">
                      <pic:pic>
                        <pic:nvPicPr>
                          <pic:cNvPr descr="final_report_findings_files/figure-docx/fig-owasp-mix-output-1.png" id="76" name="Picture"/>
                          <pic:cNvPicPr>
                            <a:picLocks noChangeArrowheads="1" noChangeAspect="1"/>
                          </pic:cNvPicPr>
                        </pic:nvPicPr>
                        <pic:blipFill>
                          <a:blip r:embed="rId74"/>
                          <a:stretch>
                            <a:fillRect/>
                          </a:stretch>
                        </pic:blipFill>
                        <pic:spPr bwMode="auto">
                          <a:xfrm>
                            <a:off x="0" y="0"/>
                            <a:ext cx="5334000" cy="17258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OWASP category make-up of findings · All conditions, self-review</w:t>
            </w:r>
          </w:p>
          <w:bookmarkEnd w:id="77"/>
        </w:tc>
      </w:tr>
    </w:tbl>
    <w:p>
      <w:pPr>
        <w:pStyle w:val="BodyText"/>
      </w:pPr>
      <w:hyperlink w:anchor="fig-owasp-mix">
        <w:r>
          <w:rPr>
            <w:rStyle w:val="Hyperlink"/>
          </w:rPr>
          <w:t xml:space="preserve">Figure 11</w:t>
        </w:r>
      </w:hyperlink>
      <w:r>
        <w:t xml:space="preserve"> </w:t>
      </w:r>
      <w:r>
        <w:t xml:space="preserve">shows unmapped CWEs taking a progressively larger share from Basic to Security-informed, while A07 takes a progressively smaller share. A04 also occupies a larger share in Security-informed than in the other conditions.</w:t>
      </w:r>
    </w:p>
    <w:bookmarkEnd w:id="78"/>
    <w:bookmarkStart w:id="83" w:name="cwe-make-up-of-findings-by-generator"/>
    <w:p>
      <w:pPr>
        <w:pStyle w:val="Heading2"/>
      </w:pPr>
      <w:r>
        <w:t xml:space="preserve">CWE make-up of findings by generator</w:t>
      </w:r>
    </w:p>
    <w:tbl>
      <w:tblPr>
        <w:tblStyle w:val="Table"/>
        <w:tblW w:type="pct" w:w="5000"/>
        <w:tblLayout w:type="fixed"/>
        <w:tblLook w:firstRow="0" w:lastRow="0" w:firstColumn="0" w:lastColumn="0" w:noHBand="0" w:noVBand="0" w:val="0000"/>
      </w:tblPr>
      <w:tblGrid>
        <w:gridCol w:w="7920"/>
      </w:tblGrid>
      <w:tr>
        <w:tc>
          <w:tcPr/>
          <w:bookmarkStart w:id="82" w:name="fig-cwe-pies"/>
          <w:p>
            <w:pPr>
              <w:pStyle w:val="Compact"/>
              <w:jc w:val="center"/>
            </w:pPr>
            <w:r>
              <w:drawing>
                <wp:inline>
                  <wp:extent cx="5334000" cy="6483731"/>
                  <wp:effectExtent b="0" l="0" r="0" t="0"/>
                  <wp:docPr descr="" title="" id="80" name="Picture"/>
                  <a:graphic>
                    <a:graphicData uri="http://schemas.openxmlformats.org/drawingml/2006/picture">
                      <pic:pic>
                        <pic:nvPicPr>
                          <pic:cNvPr descr="final_report_findings_files/figure-docx/fig-cwe-pies-output-1.png" id="81" name="Picture"/>
                          <pic:cNvPicPr>
                            <a:picLocks noChangeArrowheads="1" noChangeAspect="1"/>
                          </pic:cNvPicPr>
                        </pic:nvPicPr>
                        <pic:blipFill>
                          <a:blip r:embed="rId79"/>
                          <a:stretch>
                            <a:fillRect/>
                          </a:stretch>
                        </pic:blipFill>
                        <pic:spPr bwMode="auto">
                          <a:xfrm>
                            <a:off x="0" y="0"/>
                            <a:ext cx="5334000" cy="648373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CWE make-up of findings by generator · All conditions, self-review</w:t>
            </w:r>
          </w:p>
          <w:bookmarkEnd w:id="82"/>
        </w:tc>
      </w:tr>
    </w:tbl>
    <w:p>
      <w:pPr>
        <w:pStyle w:val="BodyText"/>
      </w:pPr>
      <w:hyperlink w:anchor="fig-cwe-pies">
        <w:r>
          <w:rPr>
            <w:rStyle w:val="Hyperlink"/>
          </w:rPr>
          <w:t xml:space="preserve">Figure 12</w:t>
        </w:r>
      </w:hyperlink>
      <w:r>
        <w:t xml:space="preserve"> </w:t>
      </w:r>
      <w:r>
        <w:t xml:space="preserve">shows substantial variation in CWE composition across both generators and conditions. Other CWEs dominate most panels, while codex Security-informed is notably concentrated in CWE-307 and agy Security-informed gives the largest named slice to CWE-400.</w:t>
      </w:r>
    </w:p>
    <w:bookmarkEnd w:id="83"/>
    <w:bookmarkStart w:id="88" w:name="X5588f9f25edc68c33bc7c5f59ce42eb14dcdb5b"/>
    <w:p>
      <w:pPr>
        <w:pStyle w:val="Heading2"/>
      </w:pPr>
      <w:r>
        <w:t xml:space="preserve">OWASP category make-up of findings by generator</w:t>
      </w:r>
    </w:p>
    <w:tbl>
      <w:tblPr>
        <w:tblStyle w:val="Table"/>
        <w:tblW w:type="pct" w:w="5000"/>
        <w:tblLayout w:type="fixed"/>
        <w:tblLook w:firstRow="0" w:lastRow="0" w:firstColumn="0" w:lastColumn="0" w:noHBand="0" w:noVBand="0" w:val="0000"/>
      </w:tblPr>
      <w:tblGrid>
        <w:gridCol w:w="7920"/>
      </w:tblGrid>
      <w:tr>
        <w:tc>
          <w:tcPr/>
          <w:bookmarkStart w:id="87" w:name="fig-owasp-pies"/>
          <w:p>
            <w:pPr>
              <w:pStyle w:val="Compact"/>
              <w:jc w:val="center"/>
            </w:pPr>
            <w:r>
              <w:drawing>
                <wp:inline>
                  <wp:extent cx="5334000" cy="6483872"/>
                  <wp:effectExtent b="0" l="0" r="0" t="0"/>
                  <wp:docPr descr="" title="" id="85" name="Picture"/>
                  <a:graphic>
                    <a:graphicData uri="http://schemas.openxmlformats.org/drawingml/2006/picture">
                      <pic:pic>
                        <pic:nvPicPr>
                          <pic:cNvPr descr="final_report_findings_files/figure-docx/fig-owasp-pies-output-1.png" id="86" name="Picture"/>
                          <pic:cNvPicPr>
                            <a:picLocks noChangeArrowheads="1" noChangeAspect="1"/>
                          </pic:cNvPicPr>
                        </pic:nvPicPr>
                        <pic:blipFill>
                          <a:blip r:embed="rId84"/>
                          <a:stretch>
                            <a:fillRect/>
                          </a:stretch>
                        </pic:blipFill>
                        <pic:spPr bwMode="auto">
                          <a:xfrm>
                            <a:off x="0" y="0"/>
                            <a:ext cx="5334000" cy="6483872"/>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OWASP category make-up of findings by generator · All conditions, self-review</w:t>
            </w:r>
          </w:p>
          <w:bookmarkEnd w:id="87"/>
        </w:tc>
      </w:tr>
    </w:tbl>
    <w:p>
      <w:pPr>
        <w:pStyle w:val="BodyText"/>
      </w:pPr>
      <w:hyperlink w:anchor="fig-owasp-pies">
        <w:r>
          <w:rPr>
            <w:rStyle w:val="Hyperlink"/>
          </w:rPr>
          <w:t xml:space="preserve">Figure 13</w:t>
        </w:r>
      </w:hyperlink>
      <w:r>
        <w:t xml:space="preserve"> </w:t>
      </w:r>
      <w:r>
        <w:t xml:space="preserve">shows that A07 and unmapped CWEs are the dominant portions in most generator-condition combinations. The Security-informed mixes differ visibly by generator: codex is concentrated in A07, claude has a comparatively large A04 share, and agy and qwen are led by unmapped CWEs.</w:t>
      </w:r>
    </w:p>
    <w:bookmarkEnd w:id="88"/>
    <w:bookmarkStart w:id="93" w:name="X21aaf1d3bb1e987ee5810ef58344bf1ffd8b1ff"/>
    <w:p>
      <w:pPr>
        <w:pStyle w:val="Heading2"/>
      </w:pPr>
      <w:r>
        <w:t xml:space="preserve">Findings per review by Security-informed rule</w:t>
      </w:r>
    </w:p>
    <w:tbl>
      <w:tblPr>
        <w:tblStyle w:val="Table"/>
        <w:tblW w:type="pct" w:w="5000"/>
        <w:tblLayout w:type="fixed"/>
        <w:tblLook w:firstRow="0" w:lastRow="0" w:firstColumn="0" w:lastColumn="0" w:noHBand="0" w:noVBand="0" w:val="0000"/>
      </w:tblPr>
      <w:tblGrid>
        <w:gridCol w:w="7920"/>
      </w:tblGrid>
      <w:tr>
        <w:tc>
          <w:tcPr/>
          <w:bookmarkStart w:id="92" w:name="fig-rule-rates"/>
          <w:p>
            <w:pPr>
              <w:pStyle w:val="Compact"/>
              <w:jc w:val="center"/>
            </w:pPr>
            <w:r>
              <w:drawing>
                <wp:inline>
                  <wp:extent cx="5334000" cy="3051414"/>
                  <wp:effectExtent b="0" l="0" r="0" t="0"/>
                  <wp:docPr descr="" title="" id="90" name="Picture"/>
                  <a:graphic>
                    <a:graphicData uri="http://schemas.openxmlformats.org/drawingml/2006/picture">
                      <pic:pic>
                        <pic:nvPicPr>
                          <pic:cNvPr descr="final_report_findings_files/figure-docx/fig-rule-rates-output-1.png" id="91" name="Picture"/>
                          <pic:cNvPicPr>
                            <a:picLocks noChangeArrowheads="1" noChangeAspect="1"/>
                          </pic:cNvPicPr>
                        </pic:nvPicPr>
                        <pic:blipFill>
                          <a:blip r:embed="rId89"/>
                          <a:stretch>
                            <a:fillRect/>
                          </a:stretch>
                        </pic:blipFill>
                        <pic:spPr bwMode="auto">
                          <a:xfrm>
                            <a:off x="0" y="0"/>
                            <a:ext cx="5334000" cy="30514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Findings per review by Security-informed rule · All conditions, self-review</w:t>
            </w:r>
          </w:p>
          <w:bookmarkEnd w:id="92"/>
        </w:tc>
      </w:tr>
    </w:tbl>
    <w:p>
      <w:pPr>
        <w:pStyle w:val="BodyText"/>
      </w:pPr>
      <w:hyperlink w:anchor="fig-rule-rates">
        <w:r>
          <w:rPr>
            <w:rStyle w:val="Hyperlink"/>
          </w:rPr>
          <w:t xml:space="preserve">Figure 14</w:t>
        </w:r>
      </w:hyperlink>
      <w:r>
        <w:t xml:space="preserve"> </w:t>
      </w:r>
      <w:r>
        <w:t xml:space="preserve">shows Sensitive data as the highest-rate rule grouping in every condition. Security-informed is higher for Trust boundaries, Identifiers and tokens, Concurrency, and No rule, but lower for Secrets, Authentication and access, Failure behaviour, and Prefer the platform.</w:t>
      </w:r>
    </w:p>
    <w:bookmarkEnd w:id="93"/>
    <w:bookmarkStart w:id="95" w:name="X8945eee94da5df5c53f8482351087d810a94f70"/>
    <w:p>
      <w:pPr>
        <w:pStyle w:val="Heading2"/>
      </w:pPr>
      <w:r>
        <w:t xml:space="preserve">Findings per review by Security-informed rule, per condition</w:t>
      </w:r>
    </w:p>
    <w:tbl>
      <w:tblPr>
        <w:tblStyle w:val="Table"/>
        <w:tblW w:type="pct" w:w="5000"/>
        <w:tblLayout w:type="fixed"/>
        <w:tblLook w:firstRow="0" w:lastRow="0" w:firstColumn="0" w:lastColumn="0" w:noHBand="0" w:noVBand="0" w:val="0000"/>
      </w:tblPr>
      <w:tblGrid>
        <w:gridCol w:w="7920"/>
      </w:tblGrid>
      <w:tr>
        <w:tc>
          <w:tcPr/>
          <w:bookmarkStart w:id="94" w:name="tbl-rule-rates"/>
          <w:p>
            <w:pPr>
              <w:jc w:val="center"/>
            </w:pPr>
            <w:pPr>
              <w:jc w:val="left"/>
              <w:spacing w:before="200"/>
              <w:pStyle w:val="ImageCaption"/>
            </w:pPr>
            <w:r>
              <w:t xml:space="preserve">Table 8: Findings per review by Security-informed rule, per condition · All conditions, self-review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Basic</w:t>
                  </w:r>
                </w:p>
              </w:tc>
              <w:tc>
                <w:tcPr/>
                <w:p>
                  <w:pPr>
                    <w:pStyle w:val="Compact"/>
                    <w:jc w:val="right"/>
                    <w:jc w:val="center"/>
                  </w:pPr>
                  <w:r>
                    <w:t xml:space="preserve">Security-aware</w:t>
                  </w:r>
                </w:p>
              </w:tc>
              <w:tc>
                <w:tcPr/>
                <w:p>
                  <w:pPr>
                    <w:pStyle w:val="Compact"/>
                    <w:jc w:val="right"/>
                    <w:jc w:val="center"/>
                  </w:pPr>
                  <w:r>
                    <w:t xml:space="preserve">Security-informed</w:t>
                  </w:r>
                </w:p>
              </w:tc>
            </w:tr>
            <w:tr>
              <w:tc>
                <w:tcPr/>
                <w:p>
                  <w:pPr>
                    <w:pStyle w:val="Compact"/>
                    <w:jc w:val="left"/>
                    <w:jc w:val="center"/>
                  </w:pPr>
                  <w:r>
                    <w:t xml:space="preserve">1 Trust boundaries</w:t>
                  </w:r>
                </w:p>
              </w:tc>
              <w:tc>
                <w:tcPr/>
                <w:p>
                  <w:pPr>
                    <w:pStyle w:val="Compact"/>
                    <w:jc w:val="right"/>
                    <w:jc w:val="center"/>
                  </w:pPr>
                  <w:r>
                    <w:t xml:space="preserve">0.48</w:t>
                  </w:r>
                </w:p>
              </w:tc>
              <w:tc>
                <w:tcPr/>
                <w:p>
                  <w:pPr>
                    <w:pStyle w:val="Compact"/>
                    <w:jc w:val="right"/>
                    <w:jc w:val="center"/>
                  </w:pPr>
                  <w:r>
                    <w:t xml:space="preserve">0.48</w:t>
                  </w:r>
                </w:p>
              </w:tc>
              <w:tc>
                <w:tcPr/>
                <w:p>
                  <w:pPr>
                    <w:pStyle w:val="Compact"/>
                    <w:jc w:val="right"/>
                    <w:jc w:val="center"/>
                  </w:pPr>
                  <w:r>
                    <w:t xml:space="preserve">0.58</w:t>
                  </w:r>
                </w:p>
              </w:tc>
            </w:tr>
            <w:tr>
              <w:tc>
                <w:tcPr/>
                <w:p>
                  <w:pPr>
                    <w:pStyle w:val="Compact"/>
                    <w:jc w:val="left"/>
                    <w:jc w:val="center"/>
                  </w:pPr>
                  <w:r>
                    <w:t xml:space="preserve">2 Secrets</w:t>
                  </w:r>
                </w:p>
              </w:tc>
              <w:tc>
                <w:tcPr/>
                <w:p>
                  <w:pPr>
                    <w:pStyle w:val="Compact"/>
                    <w:jc w:val="right"/>
                    <w:jc w:val="center"/>
                  </w:pPr>
                  <w:r>
                    <w:t xml:space="preserve">0.73</w:t>
                  </w:r>
                </w:p>
              </w:tc>
              <w:tc>
                <w:tcPr/>
                <w:p>
                  <w:pPr>
                    <w:pStyle w:val="Compact"/>
                    <w:jc w:val="right"/>
                    <w:jc w:val="center"/>
                  </w:pPr>
                  <w:r>
                    <w:t xml:space="preserve">0.73</w:t>
                  </w:r>
                </w:p>
              </w:tc>
              <w:tc>
                <w:tcPr/>
                <w:p>
                  <w:pPr>
                    <w:pStyle w:val="Compact"/>
                    <w:jc w:val="right"/>
                    <w:jc w:val="center"/>
                  </w:pPr>
                  <w:r>
                    <w:t xml:space="preserve">0.17</w:t>
                  </w:r>
                </w:p>
              </w:tc>
            </w:tr>
            <w:tr>
              <w:tc>
                <w:tcPr/>
                <w:p>
                  <w:pPr>
                    <w:pStyle w:val="Compact"/>
                    <w:jc w:val="left"/>
                    <w:jc w:val="center"/>
                  </w:pPr>
                  <w:r>
                    <w:t xml:space="preserve">3 Authentication and access</w:t>
                  </w:r>
                </w:p>
              </w:tc>
              <w:tc>
                <w:tcPr/>
                <w:p>
                  <w:pPr>
                    <w:pStyle w:val="Compact"/>
                    <w:jc w:val="right"/>
                    <w:jc w:val="center"/>
                  </w:pPr>
                  <w:r>
                    <w:t xml:space="preserve">1.25</w:t>
                  </w:r>
                </w:p>
              </w:tc>
              <w:tc>
                <w:tcPr/>
                <w:p>
                  <w:pPr>
                    <w:pStyle w:val="Compact"/>
                    <w:jc w:val="right"/>
                    <w:jc w:val="center"/>
                  </w:pPr>
                  <w:r>
                    <w:t xml:space="preserve">1.1</w:t>
                  </w:r>
                </w:p>
              </w:tc>
              <w:tc>
                <w:tcPr/>
                <w:p>
                  <w:pPr>
                    <w:pStyle w:val="Compact"/>
                    <w:jc w:val="right"/>
                    <w:jc w:val="center"/>
                  </w:pPr>
                  <w:r>
                    <w:t xml:space="preserve">0.88</w:t>
                  </w:r>
                </w:p>
              </w:tc>
            </w:tr>
            <w:tr>
              <w:tc>
                <w:tcPr/>
                <w:p>
                  <w:pPr>
                    <w:pStyle w:val="Compact"/>
                    <w:jc w:val="left"/>
                    <w:jc w:val="center"/>
                  </w:pPr>
                  <w:r>
                    <w:t xml:space="preserve">4 Identifiers and tokens</w:t>
                  </w:r>
                </w:p>
              </w:tc>
              <w:tc>
                <w:tcPr/>
                <w:p>
                  <w:pPr>
                    <w:pStyle w:val="Compact"/>
                    <w:jc w:val="right"/>
                    <w:jc w:val="center"/>
                  </w:pPr>
                  <w:r>
                    <w:t xml:space="preserve">0.35</w:t>
                  </w:r>
                </w:p>
              </w:tc>
              <w:tc>
                <w:tcPr/>
                <w:p>
                  <w:pPr>
                    <w:pStyle w:val="Compact"/>
                    <w:jc w:val="right"/>
                    <w:jc w:val="center"/>
                  </w:pPr>
                  <w:r>
                    <w:t xml:space="preserve">0.21</w:t>
                  </w:r>
                </w:p>
              </w:tc>
              <w:tc>
                <w:tcPr/>
                <w:p>
                  <w:pPr>
                    <w:pStyle w:val="Compact"/>
                    <w:jc w:val="right"/>
                    <w:jc w:val="center"/>
                  </w:pPr>
                  <w:r>
                    <w:t xml:space="preserve">0.38</w:t>
                  </w:r>
                </w:p>
              </w:tc>
            </w:tr>
            <w:tr>
              <w:tc>
                <w:tcPr/>
                <w:p>
                  <w:pPr>
                    <w:pStyle w:val="Compact"/>
                    <w:jc w:val="left"/>
                    <w:jc w:val="center"/>
                  </w:pPr>
                  <w:r>
                    <w:t xml:space="preserve">5 Sensitive data</w:t>
                  </w:r>
                </w:p>
              </w:tc>
              <w:tc>
                <w:tcPr/>
                <w:p>
                  <w:pPr>
                    <w:pStyle w:val="Compact"/>
                    <w:jc w:val="right"/>
                    <w:jc w:val="center"/>
                  </w:pPr>
                  <w:r>
                    <w:t xml:space="preserve">1.58</w:t>
                  </w:r>
                </w:p>
              </w:tc>
              <w:tc>
                <w:tcPr/>
                <w:p>
                  <w:pPr>
                    <w:pStyle w:val="Compact"/>
                    <w:jc w:val="right"/>
                    <w:jc w:val="center"/>
                  </w:pPr>
                  <w:r>
                    <w:t xml:space="preserve">1.77</w:t>
                  </w:r>
                </w:p>
              </w:tc>
              <w:tc>
                <w:tcPr/>
                <w:p>
                  <w:pPr>
                    <w:pStyle w:val="Compact"/>
                    <w:jc w:val="right"/>
                    <w:jc w:val="center"/>
                  </w:pPr>
                  <w:r>
                    <w:t xml:space="preserve">1.75</w:t>
                  </w:r>
                </w:p>
              </w:tc>
            </w:tr>
            <w:tr>
              <w:tc>
                <w:tcPr/>
                <w:p>
                  <w:pPr>
                    <w:pStyle w:val="Compact"/>
                    <w:jc w:val="left"/>
                    <w:jc w:val="center"/>
                  </w:pPr>
                  <w:r>
                    <w:t xml:space="preserve">6 Failure behaviour</w:t>
                  </w:r>
                </w:p>
              </w:tc>
              <w:tc>
                <w:tcPr/>
                <w:p>
                  <w:pPr>
                    <w:pStyle w:val="Compact"/>
                    <w:jc w:val="right"/>
                    <w:jc w:val="center"/>
                  </w:pPr>
                  <w:r>
                    <w:t xml:space="preserve">0.65</w:t>
                  </w:r>
                </w:p>
              </w:tc>
              <w:tc>
                <w:tcPr/>
                <w:p>
                  <w:pPr>
                    <w:pStyle w:val="Compact"/>
                    <w:jc w:val="right"/>
                    <w:jc w:val="center"/>
                  </w:pPr>
                  <w:r>
                    <w:t xml:space="preserve">0.81</w:t>
                  </w:r>
                </w:p>
              </w:tc>
              <w:tc>
                <w:tcPr/>
                <w:p>
                  <w:pPr>
                    <w:pStyle w:val="Compact"/>
                    <w:jc w:val="right"/>
                    <w:jc w:val="center"/>
                  </w:pPr>
                  <w:r>
                    <w:t xml:space="preserve">0.42</w:t>
                  </w:r>
                </w:p>
              </w:tc>
            </w:tr>
            <w:tr>
              <w:tc>
                <w:tcPr/>
                <w:p>
                  <w:pPr>
                    <w:pStyle w:val="Compact"/>
                    <w:jc w:val="left"/>
                    <w:jc w:val="center"/>
                  </w:pPr>
                  <w:r>
                    <w:t xml:space="preserve">7 Concurrency</w:t>
                  </w:r>
                </w:p>
              </w:tc>
              <w:tc>
                <w:tcPr/>
                <w:p>
                  <w:pPr>
                    <w:pStyle w:val="Compact"/>
                    <w:jc w:val="right"/>
                    <w:jc w:val="center"/>
                  </w:pPr>
                  <w:r>
                    <w:t xml:space="preserve">0.23</w:t>
                  </w:r>
                </w:p>
              </w:tc>
              <w:tc>
                <w:tcPr/>
                <w:p>
                  <w:pPr>
                    <w:pStyle w:val="Compact"/>
                    <w:jc w:val="right"/>
                    <w:jc w:val="center"/>
                  </w:pPr>
                  <w:r>
                    <w:t xml:space="preserve">0.25</w:t>
                  </w:r>
                </w:p>
              </w:tc>
              <w:tc>
                <w:tcPr/>
                <w:p>
                  <w:pPr>
                    <w:pStyle w:val="Compact"/>
                    <w:jc w:val="right"/>
                    <w:jc w:val="center"/>
                  </w:pPr>
                  <w:r>
                    <w:t xml:space="preserve">0.33</w:t>
                  </w:r>
                </w:p>
              </w:tc>
            </w:tr>
            <w:tr>
              <w:tc>
                <w:tcPr/>
                <w:p>
                  <w:pPr>
                    <w:pStyle w:val="Compact"/>
                    <w:jc w:val="left"/>
                    <w:jc w:val="center"/>
                  </w:pPr>
                  <w:r>
                    <w:t xml:space="preserve">8 Prefer the platform</w:t>
                  </w:r>
                </w:p>
              </w:tc>
              <w:tc>
                <w:tcPr/>
                <w:p>
                  <w:pPr>
                    <w:pStyle w:val="Compact"/>
                    <w:jc w:val="right"/>
                    <w:jc w:val="center"/>
                  </w:pPr>
                  <w:r>
                    <w:t xml:space="preserve">0.44</w:t>
                  </w:r>
                </w:p>
              </w:tc>
              <w:tc>
                <w:tcPr/>
                <w:p>
                  <w:pPr>
                    <w:pStyle w:val="Compact"/>
                    <w:jc w:val="right"/>
                    <w:jc w:val="center"/>
                  </w:pPr>
                  <w:r>
                    <w:t xml:space="preserve">0.48</w:t>
                  </w:r>
                </w:p>
              </w:tc>
              <w:tc>
                <w:tcPr/>
                <w:p>
                  <w:pPr>
                    <w:pStyle w:val="Compact"/>
                    <w:jc w:val="right"/>
                    <w:jc w:val="center"/>
                  </w:pPr>
                  <w:r>
                    <w:t xml:space="preserve">0.38</w:t>
                  </w:r>
                </w:p>
              </w:tc>
            </w:tr>
            <w:tr>
              <w:tc>
                <w:tcPr/>
                <w:p>
                  <w:pPr>
                    <w:pStyle w:val="Compact"/>
                    <w:jc w:val="left"/>
                    <w:jc w:val="center"/>
                  </w:pPr>
                  <w:r>
                    <w:t xml:space="preserve">No rule</w:t>
                  </w:r>
                </w:p>
              </w:tc>
              <w:tc>
                <w:tcPr/>
                <w:p>
                  <w:pPr>
                    <w:pStyle w:val="Compact"/>
                    <w:jc w:val="right"/>
                    <w:jc w:val="center"/>
                  </w:pPr>
                  <w:r>
                    <w:t xml:space="preserve">0.54</w:t>
                  </w:r>
                </w:p>
              </w:tc>
              <w:tc>
                <w:tcPr/>
                <w:p>
                  <w:pPr>
                    <w:pStyle w:val="Compact"/>
                    <w:jc w:val="right"/>
                    <w:jc w:val="center"/>
                  </w:pPr>
                  <w:r>
                    <w:t xml:space="preserve">0.73</w:t>
                  </w:r>
                </w:p>
              </w:tc>
              <w:tc>
                <w:tcPr/>
                <w:p>
                  <w:pPr>
                    <w:pStyle w:val="Compact"/>
                    <w:jc w:val="right"/>
                    <w:jc w:val="center"/>
                  </w:pPr>
                  <w:r>
                    <w:t xml:space="preserve">0.92</w:t>
                  </w:r>
                </w:p>
              </w:tc>
            </w:tr>
          </w:tbl>
          <w:bookmarkEnd w:id="94"/>
          <w:p/>
        </w:tc>
      </w:tr>
    </w:tbl>
    <w:p>
      <w:pPr>
        <w:pStyle w:val="BodyText"/>
      </w:pPr>
      <w:r>
        <w:t xml:space="preserve">In</w:t>
      </w:r>
      <w:r>
        <w:t xml:space="preserve"> </w:t>
      </w:r>
      <w:hyperlink w:anchor="tbl-rule-rates">
        <w:r>
          <w:rPr>
            <w:rStyle w:val="Hyperlink"/>
          </w:rPr>
          <w:t xml:space="preserve">Table 8</w:t>
        </w:r>
      </w:hyperlink>
      <w:r>
        <w:t xml:space="preserve">, Sensitive data has 1.58, 1.77, and 1.75 findings per review across Basic, Security-aware, and Security-informed. Security-informed is much lower for Secrets at 0.17 versus 0.73 in both other conditions, while No rule rises from 0.54 to 0.73 to 0.92.</w:t>
      </w:r>
    </w:p>
    <w:bookmarkEnd w:id="95"/>
    <w:bookmarkStart w:id="100" w:name="rule-make-up-of-findings"/>
    <w:p>
      <w:pPr>
        <w:pStyle w:val="Heading2"/>
      </w:pPr>
      <w:r>
        <w:t xml:space="preserve">Rule make-up of findings</w:t>
      </w:r>
    </w:p>
    <w:tbl>
      <w:tblPr>
        <w:tblStyle w:val="Table"/>
        <w:tblW w:type="pct" w:w="5000"/>
        <w:tblLayout w:type="fixed"/>
        <w:tblLook w:firstRow="0" w:lastRow="0" w:firstColumn="0" w:lastColumn="0" w:noHBand="0" w:noVBand="0" w:val="0000"/>
      </w:tblPr>
      <w:tblGrid>
        <w:gridCol w:w="7920"/>
      </w:tblGrid>
      <w:tr>
        <w:tc>
          <w:tcPr/>
          <w:bookmarkStart w:id="99" w:name="fig-rule-mix"/>
          <w:p>
            <w:pPr>
              <w:pStyle w:val="Compact"/>
              <w:jc w:val="center"/>
            </w:pPr>
            <w:r>
              <w:drawing>
                <wp:inline>
                  <wp:extent cx="5334000" cy="1723693"/>
                  <wp:effectExtent b="0" l="0" r="0" t="0"/>
                  <wp:docPr descr="" title="" id="97" name="Picture"/>
                  <a:graphic>
                    <a:graphicData uri="http://schemas.openxmlformats.org/drawingml/2006/picture">
                      <pic:pic>
                        <pic:nvPicPr>
                          <pic:cNvPr descr="final_report_findings_files/figure-docx/fig-rule-mix-output-1.png" id="98" name="Picture"/>
                          <pic:cNvPicPr>
                            <a:picLocks noChangeArrowheads="1" noChangeAspect="1"/>
                          </pic:cNvPicPr>
                        </pic:nvPicPr>
                        <pic:blipFill>
                          <a:blip r:embed="rId96"/>
                          <a:stretch>
                            <a:fillRect/>
                          </a:stretch>
                        </pic:blipFill>
                        <pic:spPr bwMode="auto">
                          <a:xfrm>
                            <a:off x="0" y="0"/>
                            <a:ext cx="5334000" cy="1723693"/>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Rule make-up of findings · All conditions, self-review</w:t>
            </w:r>
          </w:p>
          <w:bookmarkEnd w:id="99"/>
        </w:tc>
      </w:tr>
    </w:tbl>
    <w:p>
      <w:pPr>
        <w:pStyle w:val="BodyText"/>
      </w:pPr>
      <w:hyperlink w:anchor="fig-rule-mix">
        <w:r>
          <w:rPr>
            <w:rStyle w:val="Hyperlink"/>
          </w:rPr>
          <w:t xml:space="preserve">Figure 15</w:t>
        </w:r>
      </w:hyperlink>
      <w:r>
        <w:t xml:space="preserve"> </w:t>
      </w:r>
      <w:r>
        <w:t xml:space="preserve">shows Sensitive data as the largest share in all three conditions. Security-informed has larger shares for Trust boundaries, Identifiers and tokens, Concurrency, and No rule, alongside smaller shares for Secrets, Authentication and access, Failure behaviour, and Prefer the platform.</w:t>
      </w:r>
    </w:p>
    <w:bookmarkEnd w:id="100"/>
    <w:bookmarkStart w:id="105" w:name="X01976c1a1383bcf45df31cd6ea0d9446d341581"/>
    <w:p>
      <w:pPr>
        <w:pStyle w:val="Heading2"/>
      </w:pPr>
      <w:r>
        <w:t xml:space="preserve">Findings per review by reviewer and generator</w:t>
      </w:r>
    </w:p>
    <w:tbl>
      <w:tblPr>
        <w:tblStyle w:val="Table"/>
        <w:tblW w:type="pct" w:w="5000"/>
        <w:tblLayout w:type="fixed"/>
        <w:tblLook w:firstRow="0" w:lastRow="0" w:firstColumn="0" w:lastColumn="0" w:noHBand="0" w:noVBand="0" w:val="0000"/>
      </w:tblPr>
      <w:tblGrid>
        <w:gridCol w:w="7920"/>
      </w:tblGrid>
      <w:tr>
        <w:tc>
          <w:tcPr/>
          <w:bookmarkStart w:id="104" w:name="fig-matrix"/>
          <w:p>
            <w:pPr>
              <w:pStyle w:val="Compact"/>
              <w:jc w:val="center"/>
            </w:pPr>
            <w:r>
              <w:drawing>
                <wp:inline>
                  <wp:extent cx="5334000" cy="2219379"/>
                  <wp:effectExtent b="0" l="0" r="0" t="0"/>
                  <wp:docPr descr="" title="" id="102" name="Picture"/>
                  <a:graphic>
                    <a:graphicData uri="http://schemas.openxmlformats.org/drawingml/2006/picture">
                      <pic:pic>
                        <pic:nvPicPr>
                          <pic:cNvPr descr="final_report_findings_files/figure-docx/fig-matrix-output-1.png" id="103" name="Picture"/>
                          <pic:cNvPicPr>
                            <a:picLocks noChangeArrowheads="1" noChangeAspect="1"/>
                          </pic:cNvPicPr>
                        </pic:nvPicPr>
                        <pic:blipFill>
                          <a:blip r:embed="rId101"/>
                          <a:stretch>
                            <a:fillRect/>
                          </a:stretch>
                        </pic:blipFill>
                        <pic:spPr bwMode="auto">
                          <a:xfrm>
                            <a:off x="0" y="0"/>
                            <a:ext cx="5334000" cy="2219379"/>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Findings per review by reviewer and generator · Security-informed, all four reviewers</w:t>
            </w:r>
          </w:p>
          <w:bookmarkEnd w:id="104"/>
        </w:tc>
      </w:tr>
    </w:tbl>
    <w:p>
      <w:pPr>
        <w:pStyle w:val="BodyText"/>
      </w:pPr>
      <w:hyperlink w:anchor="fig-matrix">
        <w:r>
          <w:rPr>
            <w:rStyle w:val="Hyperlink"/>
          </w:rPr>
          <w:t xml:space="preserve">Figure 16</w:t>
        </w:r>
      </w:hyperlink>
      <w:r>
        <w:t xml:space="preserve"> </w:t>
      </w:r>
      <w:r>
        <w:t xml:space="preserve">shows that reviewer identity and generator identity both correspond to large differences in findings per review. Every reviewer reports the highest rate on agy-generated programs and a lower rate on codex-generated programs, with self-review cells especially low for codex and comparatively high for agy.</w:t>
      </w:r>
    </w:p>
    <w:bookmarkEnd w:id="105"/>
    <w:bookmarkStart w:id="107" w:name="X36c0e1959a5b1be06cf11278dced6c2f889ccc4"/>
    <w:p>
      <w:pPr>
        <w:pStyle w:val="Heading2"/>
      </w:pPr>
      <w:r>
        <w:t xml:space="preserve">Reviewer volume, severity and own-code contrast</w:t>
      </w:r>
    </w:p>
    <w:tbl>
      <w:tblPr>
        <w:tblStyle w:val="Table"/>
        <w:tblW w:type="pct" w:w="5000"/>
        <w:tblLayout w:type="fixed"/>
        <w:tblLook w:firstRow="0" w:lastRow="0" w:firstColumn="0" w:lastColumn="0" w:noHBand="0" w:noVBand="0" w:val="0000"/>
      </w:tblPr>
      <w:tblGrid>
        <w:gridCol w:w="7920"/>
      </w:tblGrid>
      <w:tr>
        <w:tc>
          <w:tcPr/>
          <w:bookmarkStart w:id="106" w:name="tbl-behaviour"/>
          <w:p>
            <w:pPr>
              <w:jc w:val="center"/>
            </w:pPr>
            <w:pPr>
              <w:jc w:val="left"/>
              <w:spacing w:before="200"/>
              <w:pStyle w:val="ImageCaption"/>
            </w:pPr>
            <w:r>
              <w:t xml:space="preserve">Table 9: Reviewer volume, severity and own-code contrast · Security-informed, all four reviewers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jc w:val="center"/>
                  </w:pPr>
                  <w:r>
                    <w:t xml:space="preserve">reviewer</w:t>
                  </w:r>
                </w:p>
              </w:tc>
              <w:tc>
                <w:tcPr/>
                <w:p>
                  <w:pPr>
                    <w:pStyle w:val="Compact"/>
                    <w:jc w:val="right"/>
                    <w:jc w:val="center"/>
                  </w:pPr>
                  <w:r>
                    <w:t xml:space="preserve">reviews</w:t>
                  </w:r>
                </w:p>
              </w:tc>
              <w:tc>
                <w:tcPr/>
                <w:p>
                  <w:pPr>
                    <w:pStyle w:val="Compact"/>
                    <w:jc w:val="right"/>
                    <w:jc w:val="center"/>
                  </w:pPr>
                  <w:r>
                    <w:t xml:space="preserve">findings per review</w:t>
                  </w:r>
                </w:p>
              </w:tc>
              <w:tc>
                <w:tcPr/>
                <w:p>
                  <w:pPr>
                    <w:pStyle w:val="Compact"/>
                    <w:jc w:val="right"/>
                    <w:jc w:val="center"/>
                  </w:pPr>
                  <w:r>
                    <w:t xml:space="preserve">High/Critical %</w:t>
                  </w:r>
                </w:p>
              </w:tc>
              <w:tc>
                <w:tcPr/>
                <w:p>
                  <w:pPr>
                    <w:pStyle w:val="Compact"/>
                    <w:jc w:val="right"/>
                    <w:jc w:val="center"/>
                  </w:pPr>
                  <w:r>
                    <w:t xml:space="preserve">distinct CWEs</w:t>
                  </w:r>
                </w:p>
              </w:tc>
              <w:tc>
                <w:tcPr/>
                <w:p>
                  <w:pPr>
                    <w:pStyle w:val="Compact"/>
                    <w:jc w:val="right"/>
                    <w:jc w:val="center"/>
                  </w:pPr>
                  <w:r>
                    <w:t xml:space="preserve">own code</w:t>
                  </w:r>
                </w:p>
              </w:tc>
              <w:tc>
                <w:tcPr/>
                <w:p>
                  <w:pPr>
                    <w:pStyle w:val="Compact"/>
                    <w:jc w:val="right"/>
                    <w:jc w:val="center"/>
                  </w:pPr>
                  <w:r>
                    <w:t xml:space="preserve">other code</w:t>
                  </w:r>
                </w:p>
              </w:tc>
              <w:tc>
                <w:tcPr/>
                <w:p>
                  <w:pPr>
                    <w:pStyle w:val="Compact"/>
                    <w:jc w:val="right"/>
                    <w:jc w:val="center"/>
                  </w:pPr>
                  <w:r>
                    <w:t xml:space="preserve">other minus own</w:t>
                  </w:r>
                </w:p>
              </w:tc>
            </w:tr>
            <w:tr>
              <w:tc>
                <w:tcPr/>
                <w:p>
                  <w:pPr>
                    <w:pStyle w:val="Compact"/>
                    <w:jc w:val="left"/>
                    <w:jc w:val="center"/>
                  </w:pPr>
                  <w:r>
                    <w:t xml:space="preserve">agy</w:t>
                  </w:r>
                </w:p>
              </w:tc>
              <w:tc>
                <w:tcPr/>
                <w:p>
                  <w:pPr>
                    <w:pStyle w:val="Compact"/>
                    <w:jc w:val="right"/>
                    <w:jc w:val="center"/>
                  </w:pPr>
                  <w:r>
                    <w:t xml:space="preserve">24</w:t>
                  </w:r>
                </w:p>
              </w:tc>
              <w:tc>
                <w:tcPr/>
                <w:p>
                  <w:pPr>
                    <w:pStyle w:val="Compact"/>
                    <w:jc w:val="right"/>
                    <w:jc w:val="center"/>
                  </w:pPr>
                  <w:r>
                    <w:t xml:space="preserve">4.83</w:t>
                  </w:r>
                </w:p>
              </w:tc>
              <w:tc>
                <w:tcPr/>
                <w:p>
                  <w:pPr>
                    <w:pStyle w:val="Compact"/>
                    <w:jc w:val="right"/>
                    <w:jc w:val="center"/>
                  </w:pPr>
                  <w:r>
                    <w:t xml:space="preserve">29.31</w:t>
                  </w:r>
                </w:p>
              </w:tc>
              <w:tc>
                <w:tcPr/>
                <w:p>
                  <w:pPr>
                    <w:pStyle w:val="Compact"/>
                    <w:jc w:val="right"/>
                    <w:jc w:val="center"/>
                  </w:pPr>
                  <w:r>
                    <w:t xml:space="preserve">50</w:t>
                  </w:r>
                </w:p>
              </w:tc>
              <w:tc>
                <w:tcPr/>
                <w:p>
                  <w:pPr>
                    <w:pStyle w:val="Compact"/>
                    <w:jc w:val="right"/>
                    <w:jc w:val="center"/>
                  </w:pPr>
                  <w:r>
                    <w:t xml:space="preserve">6.67</w:t>
                  </w:r>
                </w:p>
              </w:tc>
              <w:tc>
                <w:tcPr/>
                <w:p>
                  <w:pPr>
                    <w:pStyle w:val="Compact"/>
                    <w:jc w:val="right"/>
                    <w:jc w:val="center"/>
                  </w:pPr>
                  <w:r>
                    <w:t xml:space="preserve">4.22</w:t>
                  </w:r>
                </w:p>
              </w:tc>
              <w:tc>
                <w:tcPr/>
                <w:p>
                  <w:pPr>
                    <w:pStyle w:val="Compact"/>
                    <w:jc w:val="right"/>
                    <w:jc w:val="center"/>
                  </w:pPr>
                  <w:r>
                    <w:t xml:space="preserve">-2.44</w:t>
                  </w:r>
                </w:p>
              </w:tc>
            </w:tr>
            <w:tr>
              <w:tc>
                <w:tcPr/>
                <w:p>
                  <w:pPr>
                    <w:pStyle w:val="Compact"/>
                    <w:jc w:val="left"/>
                    <w:jc w:val="center"/>
                  </w:pPr>
                  <w:r>
                    <w:t xml:space="preserve">claude</w:t>
                  </w:r>
                </w:p>
              </w:tc>
              <w:tc>
                <w:tcPr/>
                <w:p>
                  <w:pPr>
                    <w:pStyle w:val="Compact"/>
                    <w:jc w:val="right"/>
                    <w:jc w:val="center"/>
                  </w:pPr>
                  <w:r>
                    <w:t xml:space="preserve">24</w:t>
                  </w:r>
                </w:p>
              </w:tc>
              <w:tc>
                <w:tcPr/>
                <w:p>
                  <w:pPr>
                    <w:pStyle w:val="Compact"/>
                    <w:jc w:val="right"/>
                    <w:jc w:val="center"/>
                  </w:pPr>
                  <w:r>
                    <w:t xml:space="preserve">7.83</w:t>
                  </w:r>
                </w:p>
              </w:tc>
              <w:tc>
                <w:tcPr/>
                <w:p>
                  <w:pPr>
                    <w:pStyle w:val="Compact"/>
                    <w:jc w:val="right"/>
                    <w:jc w:val="center"/>
                  </w:pPr>
                  <w:r>
                    <w:t xml:space="preserve">7.98</w:t>
                  </w:r>
                </w:p>
              </w:tc>
              <w:tc>
                <w:tcPr/>
                <w:p>
                  <w:pPr>
                    <w:pStyle w:val="Compact"/>
                    <w:jc w:val="right"/>
                    <w:jc w:val="center"/>
                  </w:pPr>
                  <w:r>
                    <w:t xml:space="preserve">60</w:t>
                  </w:r>
                </w:p>
              </w:tc>
              <w:tc>
                <w:tcPr/>
                <w:p>
                  <w:pPr>
                    <w:pStyle w:val="Compact"/>
                    <w:jc w:val="right"/>
                    <w:jc w:val="center"/>
                  </w:pPr>
                  <w:r>
                    <w:t xml:space="preserve">8.0</w:t>
                  </w:r>
                </w:p>
              </w:tc>
              <w:tc>
                <w:tcPr/>
                <w:p>
                  <w:pPr>
                    <w:pStyle w:val="Compact"/>
                    <w:jc w:val="right"/>
                    <w:jc w:val="center"/>
                  </w:pPr>
                  <w:r>
                    <w:t xml:space="preserve">7.78</w:t>
                  </w:r>
                </w:p>
              </w:tc>
              <w:tc>
                <w:tcPr/>
                <w:p>
                  <w:pPr>
                    <w:pStyle w:val="Compact"/>
                    <w:jc w:val="right"/>
                    <w:jc w:val="center"/>
                  </w:pPr>
                  <w:r>
                    <w:t xml:space="preserve">-0.22</w:t>
                  </w:r>
                </w:p>
              </w:tc>
            </w:tr>
            <w:tr>
              <w:tc>
                <w:tcPr/>
                <w:p>
                  <w:pPr>
                    <w:pStyle w:val="Compact"/>
                    <w:jc w:val="left"/>
                    <w:jc w:val="center"/>
                  </w:pPr>
                  <w:r>
                    <w:t xml:space="preserve">codex</w:t>
                  </w:r>
                </w:p>
              </w:tc>
              <w:tc>
                <w:tcPr/>
                <w:p>
                  <w:pPr>
                    <w:pStyle w:val="Compact"/>
                    <w:jc w:val="right"/>
                    <w:jc w:val="center"/>
                  </w:pPr>
                  <w:r>
                    <w:t xml:space="preserve">24</w:t>
                  </w:r>
                </w:p>
              </w:tc>
              <w:tc>
                <w:tcPr/>
                <w:p>
                  <w:pPr>
                    <w:pStyle w:val="Compact"/>
                    <w:jc w:val="right"/>
                    <w:jc w:val="center"/>
                  </w:pPr>
                  <w:r>
                    <w:t xml:space="preserve">5.29</w:t>
                  </w:r>
                </w:p>
              </w:tc>
              <w:tc>
                <w:tcPr/>
                <w:p>
                  <w:pPr>
                    <w:pStyle w:val="Compact"/>
                    <w:jc w:val="right"/>
                    <w:jc w:val="center"/>
                  </w:pPr>
                  <w:r>
                    <w:t xml:space="preserve">14.96</w:t>
                  </w:r>
                </w:p>
              </w:tc>
              <w:tc>
                <w:tcPr/>
                <w:p>
                  <w:pPr>
                    <w:pStyle w:val="Compact"/>
                    <w:jc w:val="right"/>
                    <w:jc w:val="center"/>
                  </w:pPr>
                  <w:r>
                    <w:t xml:space="preserve">46</w:t>
                  </w:r>
                </w:p>
              </w:tc>
              <w:tc>
                <w:tcPr/>
                <w:p>
                  <w:pPr>
                    <w:pStyle w:val="Compact"/>
                    <w:jc w:val="right"/>
                    <w:jc w:val="center"/>
                  </w:pPr>
                  <w:r>
                    <w:t xml:space="preserve">2.0</w:t>
                  </w:r>
                </w:p>
              </w:tc>
              <w:tc>
                <w:tcPr/>
                <w:p>
                  <w:pPr>
                    <w:pStyle w:val="Compact"/>
                    <w:jc w:val="right"/>
                    <w:jc w:val="center"/>
                  </w:pPr>
                  <w:r>
                    <w:t xml:space="preserve">6.39</w:t>
                  </w:r>
                </w:p>
              </w:tc>
              <w:tc>
                <w:tcPr/>
                <w:p>
                  <w:pPr>
                    <w:pStyle w:val="Compact"/>
                    <w:jc w:val="right"/>
                    <w:jc w:val="center"/>
                  </w:pPr>
                  <w:r>
                    <w:t xml:space="preserve">4.39</w:t>
                  </w:r>
                </w:p>
              </w:tc>
            </w:tr>
            <w:tr>
              <w:tc>
                <w:tcPr/>
                <w:p>
                  <w:pPr>
                    <w:pStyle w:val="Compact"/>
                    <w:jc w:val="left"/>
                    <w:jc w:val="center"/>
                  </w:pPr>
                  <w:r>
                    <w:t xml:space="preserve">qwen</w:t>
                  </w:r>
                </w:p>
              </w:tc>
              <w:tc>
                <w:tcPr/>
                <w:p>
                  <w:pPr>
                    <w:pStyle w:val="Compact"/>
                    <w:jc w:val="right"/>
                    <w:jc w:val="center"/>
                  </w:pPr>
                  <w:r>
                    <w:t xml:space="preserve">24</w:t>
                  </w:r>
                </w:p>
              </w:tc>
              <w:tc>
                <w:tcPr/>
                <w:p>
                  <w:pPr>
                    <w:pStyle w:val="Compact"/>
                    <w:jc w:val="right"/>
                    <w:jc w:val="center"/>
                  </w:pPr>
                  <w:r>
                    <w:t xml:space="preserve">7.12</w:t>
                  </w:r>
                </w:p>
              </w:tc>
              <w:tc>
                <w:tcPr/>
                <w:p>
                  <w:pPr>
                    <w:pStyle w:val="Compact"/>
                    <w:jc w:val="right"/>
                    <w:jc w:val="center"/>
                  </w:pPr>
                  <w:r>
                    <w:t xml:space="preserve">15.79</w:t>
                  </w:r>
                </w:p>
              </w:tc>
              <w:tc>
                <w:tcPr/>
                <w:p>
                  <w:pPr>
                    <w:pStyle w:val="Compact"/>
                    <w:jc w:val="right"/>
                    <w:jc w:val="center"/>
                  </w:pPr>
                  <w:r>
                    <w:t xml:space="preserve">68</w:t>
                  </w:r>
                </w:p>
              </w:tc>
              <w:tc>
                <w:tcPr/>
                <w:p>
                  <w:pPr>
                    <w:pStyle w:val="Compact"/>
                    <w:jc w:val="right"/>
                    <w:jc w:val="center"/>
                  </w:pPr>
                  <w:r>
                    <w:t xml:space="preserve">6.5</w:t>
                  </w:r>
                </w:p>
              </w:tc>
              <w:tc>
                <w:tcPr/>
                <w:p>
                  <w:pPr>
                    <w:pStyle w:val="Compact"/>
                    <w:jc w:val="right"/>
                    <w:jc w:val="center"/>
                  </w:pPr>
                  <w:r>
                    <w:t xml:space="preserve">7.33</w:t>
                  </w:r>
                </w:p>
              </w:tc>
              <w:tc>
                <w:tcPr/>
                <w:p>
                  <w:pPr>
                    <w:pStyle w:val="Compact"/>
                    <w:jc w:val="right"/>
                    <w:jc w:val="center"/>
                  </w:pPr>
                  <w:r>
                    <w:t xml:space="preserve">0.83</w:t>
                  </w:r>
                </w:p>
              </w:tc>
            </w:tr>
          </w:tbl>
          <w:bookmarkEnd w:id="106"/>
          <w:p/>
        </w:tc>
      </w:tr>
    </w:tbl>
    <w:p>
      <w:pPr>
        <w:pStyle w:val="BodyText"/>
      </w:pPr>
      <w:hyperlink w:anchor="tbl-behaviour">
        <w:r>
          <w:rPr>
            <w:rStyle w:val="Hyperlink"/>
          </w:rPr>
          <w:t xml:space="preserve">Table 9</w:t>
        </w:r>
      </w:hyperlink>
      <w:r>
        <w:t xml:space="preserve"> </w:t>
      </w:r>
      <w:r>
        <w:t xml:space="preserve">shows claude with the highest volume at 7.83 findings per review and agy with the highest High/Critical share at 29.31%; qwen reports the most distinct CWEs at 68. Codex reports 2.0 findings per review on its own code versus 6.39 on other code, an other-minus-own difference of 4.39, while agy shows -2.44.</w:t>
      </w:r>
    </w:p>
    <w:bookmarkEnd w:id="107"/>
    <w:bookmarkStart w:id="112" w:name="X98e3970bb441b22d3aa1984bcdaa7989604d415"/>
    <w:p>
      <w:pPr>
        <w:pStyle w:val="Heading2"/>
      </w:pPr>
      <w:r>
        <w:t xml:space="preserve">Reviewer volume against severity, and own code against other generators’ code</w:t>
      </w:r>
    </w:p>
    <w:tbl>
      <w:tblPr>
        <w:tblStyle w:val="Table"/>
        <w:tblW w:type="pct" w:w="5000"/>
        <w:tblLayout w:type="fixed"/>
        <w:tblLook w:firstRow="0" w:lastRow="0" w:firstColumn="0" w:lastColumn="0" w:noHBand="0" w:noVBand="0" w:val="0000"/>
      </w:tblPr>
      <w:tblGrid>
        <w:gridCol w:w="7920"/>
      </w:tblGrid>
      <w:tr>
        <w:tc>
          <w:tcPr/>
          <w:bookmarkStart w:id="111" w:name="fig-behaviour"/>
          <w:p>
            <w:pPr>
              <w:pStyle w:val="Compact"/>
              <w:jc w:val="center"/>
            </w:pPr>
            <w:r>
              <w:drawing>
                <wp:inline>
                  <wp:extent cx="5334000" cy="2014488"/>
                  <wp:effectExtent b="0" l="0" r="0" t="0"/>
                  <wp:docPr descr="" title="" id="109" name="Picture"/>
                  <a:graphic>
                    <a:graphicData uri="http://schemas.openxmlformats.org/drawingml/2006/picture">
                      <pic:pic>
                        <pic:nvPicPr>
                          <pic:cNvPr descr="final_report_findings_files/figure-docx/fig-behaviour-output-1.png" id="110" name="Picture"/>
                          <pic:cNvPicPr>
                            <a:picLocks noChangeArrowheads="1" noChangeAspect="1"/>
                          </pic:cNvPicPr>
                        </pic:nvPicPr>
                        <pic:blipFill>
                          <a:blip r:embed="rId108"/>
                          <a:stretch>
                            <a:fillRect/>
                          </a:stretch>
                        </pic:blipFill>
                        <pic:spPr bwMode="auto">
                          <a:xfrm>
                            <a:off x="0" y="0"/>
                            <a:ext cx="5334000" cy="2014488"/>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Reviewer volume against severity, and own code against other generators’ code · Security-informed, all four reviewers</w:t>
            </w:r>
          </w:p>
          <w:bookmarkEnd w:id="111"/>
        </w:tc>
      </w:tr>
    </w:tbl>
    <w:p>
      <w:pPr>
        <w:pStyle w:val="BodyText"/>
      </w:pPr>
      <w:hyperlink w:anchor="fig-behaviour">
        <w:r>
          <w:rPr>
            <w:rStyle w:val="Hyperlink"/>
          </w:rPr>
          <w:t xml:space="preserve">Figure 17</w:t>
        </w:r>
      </w:hyperlink>
      <w:r>
        <w:t xml:space="preserve"> </w:t>
      </w:r>
      <w:r>
        <w:t xml:space="preserve">separates the reviewers on both volume and severity: claude has the highest finding volume but the lowest High/Critical share, whereas agy has the lowest volume and highest High/Critical share. Codex reports markedly more findings on other generators’ code than on its own, while agy shows the reverse pattern.</w:t>
      </w:r>
    </w:p>
    <w:bookmarkEnd w:id="112"/>
    <w:bookmarkStart w:id="117" w:name="severity-of-findings-by-reviewer"/>
    <w:p>
      <w:pPr>
        <w:pStyle w:val="Heading2"/>
      </w:pPr>
      <w:r>
        <w:t xml:space="preserve">Severity of findings by reviewer</w:t>
      </w:r>
    </w:p>
    <w:tbl>
      <w:tblPr>
        <w:tblStyle w:val="Table"/>
        <w:tblW w:type="pct" w:w="5000"/>
        <w:tblLayout w:type="fixed"/>
        <w:tblLook w:firstRow="0" w:lastRow="0" w:firstColumn="0" w:lastColumn="0" w:noHBand="0" w:noVBand="0" w:val="0000"/>
      </w:tblPr>
      <w:tblGrid>
        <w:gridCol w:w="7920"/>
      </w:tblGrid>
      <w:tr>
        <w:tc>
          <w:tcPr/>
          <w:bookmarkStart w:id="116" w:name="fig-severity-reviewer"/>
          <w:p>
            <w:pPr>
              <w:pStyle w:val="Compact"/>
              <w:jc w:val="center"/>
            </w:pPr>
            <w:r>
              <w:drawing>
                <wp:inline>
                  <wp:extent cx="5334000" cy="1987801"/>
                  <wp:effectExtent b="0" l="0" r="0" t="0"/>
                  <wp:docPr descr="" title="" id="114" name="Picture"/>
                  <a:graphic>
                    <a:graphicData uri="http://schemas.openxmlformats.org/drawingml/2006/picture">
                      <pic:pic>
                        <pic:nvPicPr>
                          <pic:cNvPr descr="final_report_findings_files/figure-docx/fig-severity-reviewer-output-1.png" id="115" name="Picture"/>
                          <pic:cNvPicPr>
                            <a:picLocks noChangeArrowheads="1" noChangeAspect="1"/>
                          </pic:cNvPicPr>
                        </pic:nvPicPr>
                        <pic:blipFill>
                          <a:blip r:embed="rId113"/>
                          <a:stretch>
                            <a:fillRect/>
                          </a:stretch>
                        </pic:blipFill>
                        <pic:spPr bwMode="auto">
                          <a:xfrm>
                            <a:off x="0" y="0"/>
                            <a:ext cx="5334000" cy="19878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Severity of findings by reviewer · Security-informed, all four reviewers</w:t>
            </w:r>
          </w:p>
          <w:bookmarkEnd w:id="116"/>
        </w:tc>
      </w:tr>
    </w:tbl>
    <w:p>
      <w:pPr>
        <w:pStyle w:val="BodyText"/>
      </w:pPr>
      <w:hyperlink w:anchor="fig-severity-reviewer">
        <w:r>
          <w:rPr>
            <w:rStyle w:val="Hyperlink"/>
          </w:rPr>
          <w:t xml:space="preserve">Figure 18</w:t>
        </w:r>
      </w:hyperlink>
      <w:r>
        <w:t xml:space="preserve"> </w:t>
      </w:r>
      <w:r>
        <w:t xml:space="preserve">shows distinct severity profiles by reviewer. Agy has the largest High share, codex is dominated by Medium findings, and claude and qwen have comparatively large Low shares; Critical findings are only thin slivers where present.</w:t>
      </w:r>
    </w:p>
    <w:bookmarkEnd w:id="117"/>
    <w:bookmarkStart w:id="122" w:name="X0e35e8b80dc63fdb1920d0825f53358a5158edd"/>
    <w:p>
      <w:pPr>
        <w:pStyle w:val="Heading2"/>
      </w:pPr>
      <w:r>
        <w:t xml:space="preserve">Reviewers naming the same CWE, and the same OWASP category, on a program</w:t>
      </w:r>
    </w:p>
    <w:tbl>
      <w:tblPr>
        <w:tblStyle w:val="Table"/>
        <w:tblW w:type="pct" w:w="5000"/>
        <w:tblLayout w:type="fixed"/>
        <w:tblLook w:firstRow="0" w:lastRow="0" w:firstColumn="0" w:lastColumn="0" w:noHBand="0" w:noVBand="0" w:val="0000"/>
      </w:tblPr>
      <w:tblGrid>
        <w:gridCol w:w="7920"/>
      </w:tblGrid>
      <w:tr>
        <w:tc>
          <w:tcPr/>
          <w:bookmarkStart w:id="121" w:name="fig-agreement"/>
          <w:p>
            <w:pPr>
              <w:pStyle w:val="Compact"/>
              <w:jc w:val="center"/>
            </w:pPr>
            <w:r>
              <w:drawing>
                <wp:inline>
                  <wp:extent cx="5334000" cy="2002488"/>
                  <wp:effectExtent b="0" l="0" r="0" t="0"/>
                  <wp:docPr descr="" title="" id="119" name="Picture"/>
                  <a:graphic>
                    <a:graphicData uri="http://schemas.openxmlformats.org/drawingml/2006/picture">
                      <pic:pic>
                        <pic:nvPicPr>
                          <pic:cNvPr descr="final_report_findings_files/figure-docx/fig-agreement-output-1.png" id="120" name="Picture"/>
                          <pic:cNvPicPr>
                            <a:picLocks noChangeArrowheads="1" noChangeAspect="1"/>
                          </pic:cNvPicPr>
                        </pic:nvPicPr>
                        <pic:blipFill>
                          <a:blip r:embed="rId118"/>
                          <a:stretch>
                            <a:fillRect/>
                          </a:stretch>
                        </pic:blipFill>
                        <pic:spPr bwMode="auto">
                          <a:xfrm>
                            <a:off x="0" y="0"/>
                            <a:ext cx="5334000" cy="2002488"/>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Reviewers naming the same CWE, and the same OWASP category, on a program · Security-informed, all four reviewers</w:t>
            </w:r>
          </w:p>
          <w:bookmarkEnd w:id="121"/>
        </w:tc>
      </w:tr>
    </w:tbl>
    <w:p>
      <w:pPr>
        <w:pStyle w:val="BodyText"/>
      </w:pPr>
      <w:hyperlink w:anchor="fig-agreement">
        <w:r>
          <w:rPr>
            <w:rStyle w:val="Hyperlink"/>
          </w:rPr>
          <w:t xml:space="preserve">Figure 19</w:t>
        </w:r>
      </w:hyperlink>
      <w:r>
        <w:t xml:space="preserve"> </w:t>
      </w:r>
      <w:r>
        <w:t xml:space="preserve">shows that most exact CWE labels on a program are named by only one reviewer, with progressively fewer shared by two, three, or four reviewers. OWASP categories show broader agreement, with two-reviewer matches the largest group and visibly more three- and four-reviewer matches than for exact CWE labels.</w:t>
      </w:r>
    </w:p>
    <w:bookmarkEnd w:id="122"/>
    <w:bookmarkStart w:id="124" w:name="X0b3989f388dfcbdb6471f94718648b49bb73d85"/>
    <w:p>
      <w:pPr>
        <w:pStyle w:val="Heading2"/>
      </w:pPr>
      <w:r>
        <w:t xml:space="preserve">Share of (program, category) pairs named by 1, 2, 3 or 4 reviewers</w:t>
      </w:r>
    </w:p>
    <w:tbl>
      <w:tblPr>
        <w:tblStyle w:val="Table"/>
        <w:tblW w:type="pct" w:w="5000"/>
        <w:tblLayout w:type="fixed"/>
        <w:tblLook w:firstRow="0" w:lastRow="0" w:firstColumn="0" w:lastColumn="0" w:noHBand="0" w:noVBand="0" w:val="0000"/>
      </w:tblPr>
      <w:tblGrid>
        <w:gridCol w:w="7920"/>
      </w:tblGrid>
      <w:tr>
        <w:tc>
          <w:tcPr/>
          <w:bookmarkStart w:id="123" w:name="tbl-agreement"/>
          <w:p>
            <w:pPr>
              <w:jc w:val="center"/>
            </w:pPr>
            <w:pPr>
              <w:jc w:val="left"/>
              <w:spacing w:before="200"/>
              <w:pStyle w:val="ImageCaption"/>
            </w:pPr>
            <w:r>
              <w:t xml:space="preserve">Table 10: Share of (program, category) pairs named by 1, 2, 3 or 4 reviewers · Security-informed, all four reviewers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level</w:t>
                  </w:r>
                </w:p>
              </w:tc>
              <w:tc>
                <w:tcPr/>
                <w:p>
                  <w:pPr>
                    <w:pStyle w:val="Compact"/>
                    <w:jc w:val="right"/>
                    <w:jc w:val="center"/>
                  </w:pPr>
                  <w:r>
                    <w:t xml:space="preserve">pairs</w:t>
                  </w:r>
                </w:p>
              </w:tc>
              <w:tc>
                <w:tcPr/>
                <w:p>
                  <w:pPr>
                    <w:pStyle w:val="Compact"/>
                    <w:jc w:val="right"/>
                    <w:jc w:val="center"/>
                  </w:pPr>
                  <w:r>
                    <w:t xml:space="preserve">named by 1 %</w:t>
                  </w:r>
                </w:p>
              </w:tc>
              <w:tc>
                <w:tcPr/>
                <w:p>
                  <w:pPr>
                    <w:pStyle w:val="Compact"/>
                    <w:jc w:val="right"/>
                    <w:jc w:val="center"/>
                  </w:pPr>
                  <w:r>
                    <w:t xml:space="preserve">named by 2 %</w:t>
                  </w:r>
                </w:p>
              </w:tc>
              <w:tc>
                <w:tcPr/>
                <w:p>
                  <w:pPr>
                    <w:pStyle w:val="Compact"/>
                    <w:jc w:val="right"/>
                    <w:jc w:val="center"/>
                  </w:pPr>
                  <w:r>
                    <w:t xml:space="preserve">named by 3 %</w:t>
                  </w:r>
                </w:p>
              </w:tc>
              <w:tc>
                <w:tcPr/>
                <w:p>
                  <w:pPr>
                    <w:pStyle w:val="Compact"/>
                    <w:jc w:val="right"/>
                    <w:jc w:val="center"/>
                  </w:pPr>
                  <w:r>
                    <w:t xml:space="preserve">named by 4 %</w:t>
                  </w:r>
                </w:p>
              </w:tc>
            </w:tr>
            <w:tr>
              <w:tc>
                <w:tcPr/>
                <w:p>
                  <w:pPr>
                    <w:pStyle w:val="Compact"/>
                    <w:jc w:val="left"/>
                    <w:jc w:val="center"/>
                  </w:pPr>
                  <w:r>
                    <w:t xml:space="preserve">CWE label</w:t>
                  </w:r>
                </w:p>
              </w:tc>
              <w:tc>
                <w:tcPr/>
                <w:p>
                  <w:pPr>
                    <w:pStyle w:val="Compact"/>
                    <w:jc w:val="right"/>
                    <w:jc w:val="center"/>
                  </w:pPr>
                  <w:r>
                    <w:t xml:space="preserve">387</w:t>
                  </w:r>
                </w:p>
              </w:tc>
              <w:tc>
                <w:tcPr/>
                <w:p>
                  <w:pPr>
                    <w:pStyle w:val="Compact"/>
                    <w:jc w:val="right"/>
                    <w:jc w:val="center"/>
                  </w:pPr>
                  <w:r>
                    <w:t xml:space="preserve">64.3</w:t>
                  </w:r>
                </w:p>
              </w:tc>
              <w:tc>
                <w:tcPr/>
                <w:p>
                  <w:pPr>
                    <w:pStyle w:val="Compact"/>
                    <w:jc w:val="right"/>
                    <w:jc w:val="center"/>
                  </w:pPr>
                  <w:r>
                    <w:t xml:space="preserve">27.1</w:t>
                  </w:r>
                </w:p>
              </w:tc>
              <w:tc>
                <w:tcPr/>
                <w:p>
                  <w:pPr>
                    <w:pStyle w:val="Compact"/>
                    <w:jc w:val="right"/>
                    <w:jc w:val="center"/>
                  </w:pPr>
                  <w:r>
                    <w:t xml:space="preserve">7.2</w:t>
                  </w:r>
                </w:p>
              </w:tc>
              <w:tc>
                <w:tcPr/>
                <w:p>
                  <w:pPr>
                    <w:pStyle w:val="Compact"/>
                    <w:jc w:val="right"/>
                    <w:jc w:val="center"/>
                  </w:pPr>
                  <w:r>
                    <w:t xml:space="preserve">1.3</w:t>
                  </w:r>
                </w:p>
              </w:tc>
            </w:tr>
            <w:tr>
              <w:tc>
                <w:tcPr/>
                <w:p>
                  <w:pPr>
                    <w:pStyle w:val="Compact"/>
                    <w:jc w:val="left"/>
                    <w:jc w:val="center"/>
                  </w:pPr>
                  <w:r>
                    <w:t xml:space="preserve">OWASP category</w:t>
                  </w:r>
                </w:p>
              </w:tc>
              <w:tc>
                <w:tcPr/>
                <w:p>
                  <w:pPr>
                    <w:pStyle w:val="Compact"/>
                    <w:jc w:val="right"/>
                    <w:jc w:val="center"/>
                  </w:pPr>
                  <w:r>
                    <w:t xml:space="preserve">137</w:t>
                  </w:r>
                </w:p>
              </w:tc>
              <w:tc>
                <w:tcPr/>
                <w:p>
                  <w:pPr>
                    <w:pStyle w:val="Compact"/>
                    <w:jc w:val="right"/>
                    <w:jc w:val="center"/>
                  </w:pPr>
                  <w:r>
                    <w:t xml:space="preserve">32.1</w:t>
                  </w:r>
                </w:p>
              </w:tc>
              <w:tc>
                <w:tcPr/>
                <w:p>
                  <w:pPr>
                    <w:pStyle w:val="Compact"/>
                    <w:jc w:val="right"/>
                    <w:jc w:val="center"/>
                  </w:pPr>
                  <w:r>
                    <w:t xml:space="preserve">35.8</w:t>
                  </w:r>
                </w:p>
              </w:tc>
              <w:tc>
                <w:tcPr/>
                <w:p>
                  <w:pPr>
                    <w:pStyle w:val="Compact"/>
                    <w:jc w:val="right"/>
                    <w:jc w:val="center"/>
                  </w:pPr>
                  <w:r>
                    <w:t xml:space="preserve">21.2</w:t>
                  </w:r>
                </w:p>
              </w:tc>
              <w:tc>
                <w:tcPr/>
                <w:p>
                  <w:pPr>
                    <w:pStyle w:val="Compact"/>
                    <w:jc w:val="right"/>
                    <w:jc w:val="center"/>
                  </w:pPr>
                  <w:r>
                    <w:t xml:space="preserve">10.9</w:t>
                  </w:r>
                </w:p>
              </w:tc>
            </w:tr>
          </w:tbl>
          <w:bookmarkEnd w:id="123"/>
          <w:p/>
        </w:tc>
      </w:tr>
    </w:tbl>
    <w:p>
      <w:pPr>
        <w:pStyle w:val="BodyText"/>
      </w:pPr>
      <w:r>
        <w:t xml:space="preserve">For the 387 CWE-label pairs in</w:t>
      </w:r>
      <w:r>
        <w:t xml:space="preserve"> </w:t>
      </w:r>
      <w:hyperlink w:anchor="tbl-agreement">
        <w:r>
          <w:rPr>
            <w:rStyle w:val="Hyperlink"/>
          </w:rPr>
          <w:t xml:space="preserve">Table 10</w:t>
        </w:r>
      </w:hyperlink>
      <w:r>
        <w:t xml:space="preserve">, 64.3% were named by 1 reviewer, 27.1% by 2, 7.2% by 3, and 1.3% by all 4. Among 137 OWASP-category pairs, the corresponding shares were 32.1%, 35.8%, 21.2%, and 10.9%.</w:t>
      </w:r>
    </w:p>
    <w:bookmarkEnd w:id="124"/>
    <w:bookmarkStart w:id="126" w:name="X6a52f42e48c2282ed5535a075713dac9cbc1082"/>
    <w:p>
      <w:pPr>
        <w:pStyle w:val="Heading2"/>
      </w:pPr>
      <w:r>
        <w:t xml:space="preserve">Mean Jaccard overlap of each reviewer pair’s labels on the same program</w:t>
      </w:r>
    </w:p>
    <w:tbl>
      <w:tblPr>
        <w:tblStyle w:val="Table"/>
        <w:tblW w:type="pct" w:w="5000"/>
        <w:tblLayout w:type="fixed"/>
        <w:tblLook w:firstRow="0" w:lastRow="0" w:firstColumn="0" w:lastColumn="0" w:noHBand="0" w:noVBand="0" w:val="0000"/>
      </w:tblPr>
      <w:tblGrid>
        <w:gridCol w:w="7920"/>
      </w:tblGrid>
      <w:tr>
        <w:tc>
          <w:tcPr/>
          <w:bookmarkStart w:id="125" w:name="tbl-jaccard"/>
          <w:p>
            <w:pPr>
              <w:jc w:val="center"/>
            </w:pPr>
            <w:pPr>
              <w:jc w:val="left"/>
              <w:spacing w:before="200"/>
              <w:pStyle w:val="ImageCaption"/>
            </w:pPr>
            <w:r>
              <w:t xml:space="preserve">Table 11: Mean Jaccard overlap of each reviewer pair’s labels on the same program · Security-informed, all four reviewers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reviewer pair</w:t>
                  </w:r>
                </w:p>
              </w:tc>
              <w:tc>
                <w:tcPr/>
                <w:p>
                  <w:pPr>
                    <w:pStyle w:val="Compact"/>
                    <w:jc w:val="right"/>
                    <w:jc w:val="center"/>
                  </w:pPr>
                  <w:r>
                    <w:t xml:space="preserve">CWE Jaccard</w:t>
                  </w:r>
                </w:p>
              </w:tc>
              <w:tc>
                <w:tcPr/>
                <w:p>
                  <w:pPr>
                    <w:pStyle w:val="Compact"/>
                    <w:jc w:val="right"/>
                    <w:jc w:val="center"/>
                  </w:pPr>
                  <w:r>
                    <w:t xml:space="preserve">OWASP Jaccard</w:t>
                  </w:r>
                </w:p>
              </w:tc>
            </w:tr>
            <w:tr>
              <w:tc>
                <w:tcPr/>
                <w:p>
                  <w:pPr>
                    <w:pStyle w:val="Compact"/>
                    <w:jc w:val="left"/>
                    <w:jc w:val="center"/>
                  </w:pPr>
                  <w:r>
                    <w:t xml:space="preserve">agy / claude</w:t>
                  </w:r>
                </w:p>
              </w:tc>
              <w:tc>
                <w:tcPr/>
                <w:p>
                  <w:pPr>
                    <w:pStyle w:val="Compact"/>
                    <w:jc w:val="right"/>
                    <w:jc w:val="center"/>
                  </w:pPr>
                  <w:r>
                    <w:t xml:space="preserve">0.12</w:t>
                  </w:r>
                </w:p>
              </w:tc>
              <w:tc>
                <w:tcPr/>
                <w:p>
                  <w:pPr>
                    <w:pStyle w:val="Compact"/>
                    <w:jc w:val="right"/>
                    <w:jc w:val="center"/>
                  </w:pPr>
                  <w:r>
                    <w:t xml:space="preserve">0.29</w:t>
                  </w:r>
                </w:p>
              </w:tc>
            </w:tr>
            <w:tr>
              <w:tc>
                <w:tcPr/>
                <w:p>
                  <w:pPr>
                    <w:pStyle w:val="Compact"/>
                    <w:jc w:val="left"/>
                    <w:jc w:val="center"/>
                  </w:pPr>
                  <w:r>
                    <w:t xml:space="preserve">agy / codex</w:t>
                  </w:r>
                </w:p>
              </w:tc>
              <w:tc>
                <w:tcPr/>
                <w:p>
                  <w:pPr>
                    <w:pStyle w:val="Compact"/>
                    <w:jc w:val="right"/>
                    <w:jc w:val="center"/>
                  </w:pPr>
                  <w:r>
                    <w:t xml:space="preserve">0.12</w:t>
                  </w:r>
                </w:p>
              </w:tc>
              <w:tc>
                <w:tcPr/>
                <w:p>
                  <w:pPr>
                    <w:pStyle w:val="Compact"/>
                    <w:jc w:val="right"/>
                    <w:jc w:val="center"/>
                  </w:pPr>
                  <w:r>
                    <w:t xml:space="preserve">0.26</w:t>
                  </w:r>
                </w:p>
              </w:tc>
            </w:tr>
            <w:tr>
              <w:tc>
                <w:tcPr/>
                <w:p>
                  <w:pPr>
                    <w:pStyle w:val="Compact"/>
                    <w:jc w:val="left"/>
                    <w:jc w:val="center"/>
                  </w:pPr>
                  <w:r>
                    <w:t xml:space="preserve">agy / qwen</w:t>
                  </w:r>
                </w:p>
              </w:tc>
              <w:tc>
                <w:tcPr/>
                <w:p>
                  <w:pPr>
                    <w:pStyle w:val="Compact"/>
                    <w:jc w:val="right"/>
                    <w:jc w:val="center"/>
                  </w:pPr>
                  <w:r>
                    <w:t xml:space="preserve">0.1</w:t>
                  </w:r>
                </w:p>
              </w:tc>
              <w:tc>
                <w:tcPr/>
                <w:p>
                  <w:pPr>
                    <w:pStyle w:val="Compact"/>
                    <w:jc w:val="right"/>
                    <w:jc w:val="center"/>
                  </w:pPr>
                  <w:r>
                    <w:t xml:space="preserve">0.31</w:t>
                  </w:r>
                </w:p>
              </w:tc>
            </w:tr>
            <w:tr>
              <w:tc>
                <w:tcPr/>
                <w:p>
                  <w:pPr>
                    <w:pStyle w:val="Compact"/>
                    <w:jc w:val="left"/>
                    <w:jc w:val="center"/>
                  </w:pPr>
                  <w:r>
                    <w:t xml:space="preserve">claude / codex</w:t>
                  </w:r>
                </w:p>
              </w:tc>
              <w:tc>
                <w:tcPr/>
                <w:p>
                  <w:pPr>
                    <w:pStyle w:val="Compact"/>
                    <w:jc w:val="right"/>
                    <w:jc w:val="center"/>
                  </w:pPr>
                  <w:r>
                    <w:t xml:space="preserve">0.22</w:t>
                  </w:r>
                </w:p>
              </w:tc>
              <w:tc>
                <w:tcPr/>
                <w:p>
                  <w:pPr>
                    <w:pStyle w:val="Compact"/>
                    <w:jc w:val="right"/>
                    <w:jc w:val="center"/>
                  </w:pPr>
                  <w:r>
                    <w:t xml:space="preserve">0.31</w:t>
                  </w:r>
                </w:p>
              </w:tc>
            </w:tr>
            <w:tr>
              <w:tc>
                <w:tcPr/>
                <w:p>
                  <w:pPr>
                    <w:pStyle w:val="Compact"/>
                    <w:jc w:val="left"/>
                    <w:jc w:val="center"/>
                  </w:pPr>
                  <w:r>
                    <w:t xml:space="preserve">claude / qwen</w:t>
                  </w:r>
                </w:p>
              </w:tc>
              <w:tc>
                <w:tcPr/>
                <w:p>
                  <w:pPr>
                    <w:pStyle w:val="Compact"/>
                    <w:jc w:val="right"/>
                    <w:jc w:val="center"/>
                  </w:pPr>
                  <w:r>
                    <w:t xml:space="preserve">0.19</w:t>
                  </w:r>
                </w:p>
              </w:tc>
              <w:tc>
                <w:tcPr/>
                <w:p>
                  <w:pPr>
                    <w:pStyle w:val="Compact"/>
                    <w:jc w:val="right"/>
                    <w:jc w:val="center"/>
                  </w:pPr>
                  <w:r>
                    <w:t xml:space="preserve">0.54</w:t>
                  </w:r>
                </w:p>
              </w:tc>
            </w:tr>
            <w:tr>
              <w:tc>
                <w:tcPr/>
                <w:p>
                  <w:pPr>
                    <w:pStyle w:val="Compact"/>
                    <w:jc w:val="left"/>
                    <w:jc w:val="center"/>
                  </w:pPr>
                  <w:r>
                    <w:t xml:space="preserve">codex / qwen</w:t>
                  </w:r>
                </w:p>
              </w:tc>
              <w:tc>
                <w:tcPr/>
                <w:p>
                  <w:pPr>
                    <w:pStyle w:val="Compact"/>
                    <w:jc w:val="right"/>
                    <w:jc w:val="center"/>
                  </w:pPr>
                  <w:r>
                    <w:t xml:space="preserve">0.13</w:t>
                  </w:r>
                </w:p>
              </w:tc>
              <w:tc>
                <w:tcPr/>
                <w:p>
                  <w:pPr>
                    <w:pStyle w:val="Compact"/>
                    <w:jc w:val="right"/>
                    <w:jc w:val="center"/>
                  </w:pPr>
                  <w:r>
                    <w:t xml:space="preserve">0.34</w:t>
                  </w:r>
                </w:p>
              </w:tc>
            </w:tr>
          </w:tbl>
          <w:bookmarkEnd w:id="125"/>
          <w:p/>
        </w:tc>
      </w:tr>
    </w:tbl>
    <w:p>
      <w:pPr>
        <w:pStyle w:val="BodyText"/>
      </w:pPr>
      <w:hyperlink w:anchor="tbl-jaccard">
        <w:r>
          <w:rPr>
            <w:rStyle w:val="Hyperlink"/>
          </w:rPr>
          <w:t xml:space="preserve">Table 11</w:t>
        </w:r>
      </w:hyperlink>
      <w:r>
        <w:t xml:space="preserve"> </w:t>
      </w:r>
      <w:r>
        <w:t xml:space="preserve">shows low mean overlap for exact CWE labels, ranging from 0.1 for agy / qwen to 0.22 for claude / codex. OWASP overlap is higher for every pair, led by claude / qwen at 0.54 and lowest for agy / codex at 0.26.</w:t>
      </w:r>
    </w:p>
    <w:bookmarkEnd w:id="126"/>
    <w:bookmarkStart w:id="131" w:name="cwe-make-up-of-findings-by-generator-1"/>
    <w:p>
      <w:pPr>
        <w:pStyle w:val="Heading2"/>
      </w:pPr>
      <w:r>
        <w:t xml:space="preserve">CWE make-up of findings by generator</w:t>
      </w:r>
    </w:p>
    <w:tbl>
      <w:tblPr>
        <w:tblStyle w:val="Table"/>
        <w:tblW w:type="pct" w:w="5000"/>
        <w:tblLayout w:type="fixed"/>
        <w:tblLook w:firstRow="0" w:lastRow="0" w:firstColumn="0" w:lastColumn="0" w:noHBand="0" w:noVBand="0" w:val="0000"/>
      </w:tblPr>
      <w:tblGrid>
        <w:gridCol w:w="7920"/>
      </w:tblGrid>
      <w:tr>
        <w:tc>
          <w:tcPr/>
          <w:bookmarkStart w:id="130" w:name="fig-cwe-pies-2"/>
          <w:p>
            <w:pPr>
              <w:pStyle w:val="Compact"/>
              <w:jc w:val="center"/>
            </w:pPr>
            <w:r>
              <w:drawing>
                <wp:inline>
                  <wp:extent cx="5334000" cy="9323576"/>
                  <wp:effectExtent b="0" l="0" r="0" t="0"/>
                  <wp:docPr descr="" title="" id="128" name="Picture"/>
                  <a:graphic>
                    <a:graphicData uri="http://schemas.openxmlformats.org/drawingml/2006/picture">
                      <pic:pic>
                        <pic:nvPicPr>
                          <pic:cNvPr descr="final_report_findings_files/figure-docx/fig-cwe-pies-2-output-1.png" id="129" name="Picture"/>
                          <pic:cNvPicPr>
                            <a:picLocks noChangeArrowheads="1" noChangeAspect="1"/>
                          </pic:cNvPicPr>
                        </pic:nvPicPr>
                        <pic:blipFill>
                          <a:blip r:embed="rId127"/>
                          <a:stretch>
                            <a:fillRect/>
                          </a:stretch>
                        </pic:blipFill>
                        <pic:spPr bwMode="auto">
                          <a:xfrm>
                            <a:off x="0" y="0"/>
                            <a:ext cx="5334000" cy="9323576"/>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CWE make-up of findings by generator · Security-informed, self-review and external review</w:t>
            </w:r>
          </w:p>
          <w:bookmarkEnd w:id="130"/>
        </w:tc>
      </w:tr>
    </w:tbl>
    <w:p>
      <w:pPr>
        <w:pStyle w:val="BodyText"/>
      </w:pPr>
      <w:hyperlink w:anchor="fig-cwe-pies-2">
        <w:r>
          <w:rPr>
            <w:rStyle w:val="Hyperlink"/>
          </w:rPr>
          <w:t xml:space="preserve">Figure 20</w:t>
        </w:r>
      </w:hyperlink>
      <w:r>
        <w:t xml:space="preserve"> </w:t>
      </w:r>
      <w:r>
        <w:t xml:space="preserve">shows that Security-informed CWE composition differs between self-review and external review for every generator. External reviews are generally spread across more named CWE slices; the Other share decreases for agy and claude but increases markedly for codex, while qwen remains led by Other in both review types.</w:t>
      </w:r>
    </w:p>
    <w:bookmarkEnd w:id="131"/>
    <w:bookmarkStart w:id="136" w:name="Xd5bb2482f0d057d77a8d50e2c45af9e8e9054cc"/>
    <w:p>
      <w:pPr>
        <w:pStyle w:val="Heading2"/>
      </w:pPr>
      <w:r>
        <w:t xml:space="preserve">OWASP category make-up of findings by generator</w:t>
      </w:r>
    </w:p>
    <w:tbl>
      <w:tblPr>
        <w:tblStyle w:val="Table"/>
        <w:tblW w:type="pct" w:w="5000"/>
        <w:tblLayout w:type="fixed"/>
        <w:tblLook w:firstRow="0" w:lastRow="0" w:firstColumn="0" w:lastColumn="0" w:noHBand="0" w:noVBand="0" w:val="0000"/>
      </w:tblPr>
      <w:tblGrid>
        <w:gridCol w:w="7920"/>
      </w:tblGrid>
      <w:tr>
        <w:tc>
          <w:tcPr/>
          <w:bookmarkStart w:id="135" w:name="fig-owasp-pies-2"/>
          <w:p>
            <w:pPr>
              <w:pStyle w:val="Compact"/>
              <w:jc w:val="center"/>
            </w:pPr>
            <w:r>
              <w:drawing>
                <wp:inline>
                  <wp:extent cx="5334000" cy="9271000"/>
                  <wp:effectExtent b="0" l="0" r="0" t="0"/>
                  <wp:docPr descr="" title="" id="133" name="Picture"/>
                  <a:graphic>
                    <a:graphicData uri="http://schemas.openxmlformats.org/drawingml/2006/picture">
                      <pic:pic>
                        <pic:nvPicPr>
                          <pic:cNvPr descr="final_report_findings_files/figure-docx/fig-owasp-pies-2-output-1.png" id="134" name="Picture"/>
                          <pic:cNvPicPr>
                            <a:picLocks noChangeArrowheads="1" noChangeAspect="1"/>
                          </pic:cNvPicPr>
                        </pic:nvPicPr>
                        <pic:blipFill>
                          <a:blip r:embed="rId132"/>
                          <a:stretch>
                            <a:fillRect/>
                          </a:stretch>
                        </pic:blipFill>
                        <pic:spPr bwMode="auto">
                          <a:xfrm>
                            <a:off x="0" y="0"/>
                            <a:ext cx="5334000" cy="9271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OWASP category make-up of findings by generator · Security-informed, self-review and external review</w:t>
            </w:r>
          </w:p>
          <w:bookmarkEnd w:id="135"/>
        </w:tc>
      </w:tr>
    </w:tbl>
    <w:p>
      <w:pPr>
        <w:pStyle w:val="BodyText"/>
      </w:pPr>
      <w:hyperlink w:anchor="fig-owasp-pies-2">
        <w:r>
          <w:rPr>
            <w:rStyle w:val="Hyperlink"/>
          </w:rPr>
          <w:t xml:space="preserve">Figure 21</w:t>
        </w:r>
      </w:hyperlink>
      <w:r>
        <w:t xml:space="preserve"> </w:t>
      </w:r>
      <w:r>
        <w:t xml:space="preserve">shows broadly similar leading OWASP groupings between Security-informed self-review and external review, but with generator-specific shifts. Unmapped CWEs lead most panels, while codex self-review is led by A07 and its external-review mix shifts toward unmapped CWEs and A09.</w:t>
      </w:r>
    </w:p>
    <w:bookmarkEnd w:id="136"/>
    <w:bookmarkStart w:id="141" w:name="findings-per-review-by-cwe-and-task"/>
    <w:p>
      <w:pPr>
        <w:pStyle w:val="Heading2"/>
      </w:pPr>
      <w:r>
        <w:t xml:space="preserve">Findings per review by CWE and task</w:t>
      </w:r>
    </w:p>
    <w:tbl>
      <w:tblPr>
        <w:tblStyle w:val="Table"/>
        <w:tblW w:type="pct" w:w="5000"/>
        <w:tblLayout w:type="fixed"/>
        <w:tblLook w:firstRow="0" w:lastRow="0" w:firstColumn="0" w:lastColumn="0" w:noHBand="0" w:noVBand="0" w:val="0000"/>
      </w:tblPr>
      <w:tblGrid>
        <w:gridCol w:w="7920"/>
      </w:tblGrid>
      <w:tr>
        <w:tc>
          <w:tcPr/>
          <w:bookmarkStart w:id="140" w:name="fig-cwe-task"/>
          <w:p>
            <w:pPr>
              <w:pStyle w:val="Compact"/>
              <w:jc w:val="center"/>
            </w:pPr>
            <w:r>
              <w:drawing>
                <wp:inline>
                  <wp:extent cx="5334000" cy="4404800"/>
                  <wp:effectExtent b="0" l="0" r="0" t="0"/>
                  <wp:docPr descr="" title="" id="138" name="Picture"/>
                  <a:graphic>
                    <a:graphicData uri="http://schemas.openxmlformats.org/drawingml/2006/picture">
                      <pic:pic>
                        <pic:nvPicPr>
                          <pic:cNvPr descr="final_report_findings_files/figure-docx/fig-cwe-task-output-1.png" id="139" name="Picture"/>
                          <pic:cNvPicPr>
                            <a:picLocks noChangeArrowheads="1" noChangeAspect="1"/>
                          </pic:cNvPicPr>
                        </pic:nvPicPr>
                        <pic:blipFill>
                          <a:blip r:embed="rId137"/>
                          <a:stretch>
                            <a:fillRect/>
                          </a:stretch>
                        </pic:blipFill>
                        <pic:spPr bwMode="auto">
                          <a:xfrm>
                            <a:off x="0" y="0"/>
                            <a:ext cx="5334000" cy="4404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Findings per review by CWE and task · All conditions, self-review</w:t>
            </w:r>
          </w:p>
          <w:bookmarkEnd w:id="140"/>
        </w:tc>
      </w:tr>
    </w:tbl>
    <w:p>
      <w:pPr>
        <w:pStyle w:val="BodyText"/>
      </w:pPr>
      <w:hyperlink w:anchor="fig-cwe-task">
        <w:r>
          <w:rPr>
            <w:rStyle w:val="Hyperlink"/>
          </w:rPr>
          <w:t xml:space="preserve">Figure 22</w:t>
        </w:r>
      </w:hyperlink>
      <w:r>
        <w:t xml:space="preserve"> </w:t>
      </w:r>
      <w:r>
        <w:t xml:space="preserve">shows distinct CWE profiles across tasks rather than a single dominant pattern. CWE-307 is most prominent on the later tasks, CWE-732 peaks on the CWE-778 task, and the combined Other group is largest on the CWE-1004 task.</w:t>
      </w:r>
    </w:p>
    <w:bookmarkEnd w:id="141"/>
    <w:bookmarkStart w:id="146" w:name="X8e86ec72db2d3a06777ef60a13bee5cd881de43"/>
    <w:p>
      <w:pPr>
        <w:pStyle w:val="Heading2"/>
      </w:pPr>
      <w:r>
        <w:t xml:space="preserve">Findings per review by OWASP category and task</w:t>
      </w:r>
    </w:p>
    <w:tbl>
      <w:tblPr>
        <w:tblStyle w:val="Table"/>
        <w:tblW w:type="pct" w:w="5000"/>
        <w:tblLayout w:type="fixed"/>
        <w:tblLook w:firstRow="0" w:lastRow="0" w:firstColumn="0" w:lastColumn="0" w:noHBand="0" w:noVBand="0" w:val="0000"/>
      </w:tblPr>
      <w:tblGrid>
        <w:gridCol w:w="7920"/>
      </w:tblGrid>
      <w:tr>
        <w:tc>
          <w:tcPr/>
          <w:bookmarkStart w:id="145" w:name="fig-owasp-task"/>
          <w:p>
            <w:pPr>
              <w:pStyle w:val="Compact"/>
              <w:jc w:val="center"/>
            </w:pPr>
            <w:r>
              <w:drawing>
                <wp:inline>
                  <wp:extent cx="5334000" cy="3505200"/>
                  <wp:effectExtent b="0" l="0" r="0" t="0"/>
                  <wp:docPr descr="" title="" id="143" name="Picture"/>
                  <a:graphic>
                    <a:graphicData uri="http://schemas.openxmlformats.org/drawingml/2006/picture">
                      <pic:pic>
                        <pic:nvPicPr>
                          <pic:cNvPr descr="final_report_findings_files/figure-docx/fig-owasp-task-output-1.png" id="144" name="Picture"/>
                          <pic:cNvPicPr>
                            <a:picLocks noChangeArrowheads="1" noChangeAspect="1"/>
                          </pic:cNvPicPr>
                        </pic:nvPicPr>
                        <pic:blipFill>
                          <a:blip r:embed="rId142"/>
                          <a:stretch>
                            <a:fillRect/>
                          </a:stretch>
                        </pic:blipFill>
                        <pic:spPr bwMode="auto">
                          <a:xfrm>
                            <a:off x="0" y="0"/>
                            <a:ext cx="5334000" cy="3505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Findings per review by OWASP category and task · All conditions, self-review</w:t>
            </w:r>
          </w:p>
          <w:bookmarkEnd w:id="145"/>
        </w:tc>
      </w:tr>
    </w:tbl>
    <w:p>
      <w:pPr>
        <w:pStyle w:val="BodyText"/>
      </w:pPr>
      <w:hyperlink w:anchor="fig-owasp-task">
        <w:r>
          <w:rPr>
            <w:rStyle w:val="Hyperlink"/>
          </w:rPr>
          <w:t xml:space="preserve">Figure 23</w:t>
        </w:r>
      </w:hyperlink>
      <w:r>
        <w:t xml:space="preserve"> </w:t>
      </w:r>
      <w:r>
        <w:t xml:space="preserve">shows A07 and unmapped CWEs as the largest categories across most tasks. A01 is most prominent on the CWE-321 task, A04 on the CWE-1004 task, and A06 on the CWE-778 task.</w:t>
      </w:r>
    </w:p>
    <w:bookmarkEnd w:id="146"/>
    <w:bookmarkStart w:id="148" w:name="data-checks"/>
    <w:p>
      <w:pPr>
        <w:pStyle w:val="Heading2"/>
      </w:pPr>
      <w:r>
        <w:t xml:space="preserve">Data checks</w:t>
      </w:r>
    </w:p>
    <w:tbl>
      <w:tblPr>
        <w:tblStyle w:val="Table"/>
        <w:tblW w:type="pct" w:w="5000"/>
        <w:tblLayout w:type="fixed"/>
        <w:tblLook w:firstRow="0" w:lastRow="0" w:firstColumn="0" w:lastColumn="0" w:noHBand="0" w:noVBand="0" w:val="0000"/>
      </w:tblPr>
      <w:tblGrid>
        <w:gridCol w:w="7920"/>
      </w:tblGrid>
      <w:tr>
        <w:tc>
          <w:tcPr/>
          <w:bookmarkStart w:id="147" w:name="tbl-checks"/>
          <w:p>
            <w:pPr>
              <w:jc w:val="center"/>
            </w:pPr>
            <w:pPr>
              <w:jc w:val="left"/>
              <w:spacing w:before="200"/>
              <w:pStyle w:val="ImageCaption"/>
            </w:pPr>
            <w:r>
              <w:t xml:space="preserve">Table 12: Data checks · All reviews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check</w:t>
                  </w:r>
                </w:p>
              </w:tc>
              <w:tc>
                <w:tcPr/>
                <w:p>
                  <w:pPr>
                    <w:pStyle w:val="Compact"/>
                    <w:jc w:val="right"/>
                    <w:jc w:val="center"/>
                  </w:pPr>
                  <w:r>
                    <w:t xml:space="preserve">value</w:t>
                  </w:r>
                </w:p>
              </w:tc>
            </w:tr>
            <w:tr>
              <w:tc>
                <w:tcPr/>
                <w:p>
                  <w:pPr>
                    <w:pStyle w:val="Compact"/>
                    <w:jc w:val="left"/>
                    <w:jc w:val="center"/>
                  </w:pPr>
                  <w:r>
                    <w:t xml:space="preserve">CSV rows</w:t>
                  </w:r>
                </w:p>
              </w:tc>
              <w:tc>
                <w:tcPr/>
                <w:p>
                  <w:pPr>
                    <w:pStyle w:val="Compact"/>
                    <w:jc w:val="right"/>
                    <w:jc w:val="center"/>
                  </w:pPr>
                  <w:r>
                    <w:t xml:space="preserve">1224</w:t>
                  </w:r>
                </w:p>
              </w:tc>
            </w:tr>
            <w:tr>
              <w:tc>
                <w:tcPr/>
                <w:p>
                  <w:pPr>
                    <w:pStyle w:val="Compact"/>
                    <w:jc w:val="left"/>
                    <w:jc w:val="center"/>
                  </w:pPr>
                  <w:r>
                    <w:t xml:space="preserve">Recorded findings</w:t>
                  </w:r>
                </w:p>
              </w:tc>
              <w:tc>
                <w:tcPr/>
                <w:p>
                  <w:pPr>
                    <w:pStyle w:val="Compact"/>
                    <w:jc w:val="right"/>
                    <w:jc w:val="center"/>
                  </w:pPr>
                  <w:r>
                    <w:t xml:space="preserve">1217</w:t>
                  </w:r>
                </w:p>
              </w:tc>
            </w:tr>
            <w:tr>
              <w:tc>
                <w:tcPr/>
                <w:p>
                  <w:pPr>
                    <w:pStyle w:val="Compact"/>
                    <w:jc w:val="left"/>
                    <w:jc w:val="center"/>
                  </w:pPr>
                  <w:r>
                    <w:t xml:space="preserve">Reviews</w:t>
                  </w:r>
                </w:p>
              </w:tc>
              <w:tc>
                <w:tcPr/>
                <w:p>
                  <w:pPr>
                    <w:pStyle w:val="Compact"/>
                    <w:jc w:val="right"/>
                    <w:jc w:val="center"/>
                  </w:pPr>
                  <w:r>
                    <w:t xml:space="preserve">192</w:t>
                  </w:r>
                </w:p>
              </w:tc>
            </w:tr>
            <w:tr>
              <w:tc>
                <w:tcPr/>
                <w:p>
                  <w:pPr>
                    <w:pStyle w:val="Compact"/>
                    <w:jc w:val="left"/>
                    <w:jc w:val="center"/>
                  </w:pPr>
                  <w:r>
                    <w:t xml:space="preserve">Reviews with no findings</w:t>
                  </w:r>
                </w:p>
              </w:tc>
              <w:tc>
                <w:tcPr/>
                <w:p>
                  <w:pPr>
                    <w:pStyle w:val="Compact"/>
                    <w:jc w:val="right"/>
                    <w:jc w:val="center"/>
                  </w:pPr>
                  <w:r>
                    <w:t xml:space="preserve">7</w:t>
                  </w:r>
                </w:p>
              </w:tc>
            </w:tr>
            <w:tr>
              <w:tc>
                <w:tcPr/>
                <w:p>
                  <w:pPr>
                    <w:pStyle w:val="Compact"/>
                    <w:jc w:val="left"/>
                    <w:jc w:val="center"/>
                  </w:pPr>
                  <w:r>
                    <w:t xml:space="preserve">Generated programs</w:t>
                  </w:r>
                </w:p>
              </w:tc>
              <w:tc>
                <w:tcPr/>
                <w:p>
                  <w:pPr>
                    <w:pStyle w:val="Compact"/>
                    <w:jc w:val="right"/>
                    <w:jc w:val="center"/>
                  </w:pPr>
                  <w:r>
                    <w:t xml:space="preserve">120</w:t>
                  </w:r>
                </w:p>
              </w:tc>
            </w:tr>
            <w:tr>
              <w:tc>
                <w:tcPr/>
                <w:p>
                  <w:pPr>
                    <w:pStyle w:val="Compact"/>
                    <w:jc w:val="left"/>
                    <w:jc w:val="center"/>
                  </w:pPr>
                  <w:r>
                    <w:t xml:space="preserve">Rows missing reviewer or generator</w:t>
                  </w:r>
                </w:p>
              </w:tc>
              <w:tc>
                <w:tcPr/>
                <w:p>
                  <w:pPr>
                    <w:pStyle w:val="Compact"/>
                    <w:jc w:val="right"/>
                    <w:jc w:val="center"/>
                  </w:pPr>
                  <w:r>
                    <w:t xml:space="preserve">0</w:t>
                  </w:r>
                </w:p>
              </w:tc>
            </w:tr>
            <w:tr>
              <w:tc>
                <w:tcPr/>
                <w:p>
                  <w:pPr>
                    <w:pStyle w:val="Compact"/>
                    <w:jc w:val="left"/>
                    <w:jc w:val="center"/>
                  </w:pPr>
                  <w:r>
                    <w:t xml:space="preserve">Programs read by all 4 reviewers</w:t>
                  </w:r>
                </w:p>
              </w:tc>
              <w:tc>
                <w:tcPr/>
                <w:p>
                  <w:pPr>
                    <w:pStyle w:val="Compact"/>
                    <w:jc w:val="right"/>
                    <w:jc w:val="center"/>
                  </w:pPr>
                  <w:r>
                    <w:t xml:space="preserve">24</w:t>
                  </w:r>
                </w:p>
              </w:tc>
            </w:tr>
            <w:tr>
              <w:tc>
                <w:tcPr/>
                <w:p>
                  <w:pPr>
                    <w:pStyle w:val="Compact"/>
                    <w:jc w:val="left"/>
                    <w:jc w:val="center"/>
                  </w:pPr>
                  <w:r>
                    <w:t xml:space="preserve">Duplicate CSV rows</w:t>
                  </w:r>
                </w:p>
              </w:tc>
              <w:tc>
                <w:tcPr/>
                <w:p>
                  <w:pPr>
                    <w:pStyle w:val="Compact"/>
                    <w:jc w:val="right"/>
                    <w:jc w:val="center"/>
                  </w:pPr>
                  <w:r>
                    <w:t xml:space="preserve">0</w:t>
                  </w:r>
                </w:p>
              </w:tc>
            </w:tr>
            <w:tr>
              <w:tc>
                <w:tcPr/>
                <w:p>
                  <w:pPr>
                    <w:pStyle w:val="Compact"/>
                    <w:jc w:val="left"/>
                    <w:jc w:val="center"/>
                  </w:pPr>
                  <w:r>
                    <w:t xml:space="preserve">Findings with no CWE</w:t>
                  </w:r>
                </w:p>
              </w:tc>
              <w:tc>
                <w:tcPr/>
                <w:p>
                  <w:pPr>
                    <w:pStyle w:val="Compact"/>
                    <w:jc w:val="right"/>
                    <w:jc w:val="center"/>
                  </w:pPr>
                  <w:r>
                    <w:t xml:space="preserve">0</w:t>
                  </w:r>
                </w:p>
              </w:tc>
            </w:tr>
            <w:tr>
              <w:tc>
                <w:tcPr/>
                <w:p>
                  <w:pPr>
                    <w:pStyle w:val="Compact"/>
                    <w:jc w:val="left"/>
                    <w:jc w:val="center"/>
                  </w:pPr>
                  <w:r>
                    <w:t xml:space="preserve">Findings with non-standard severity</w:t>
                  </w:r>
                </w:p>
              </w:tc>
              <w:tc>
                <w:tcPr/>
                <w:p>
                  <w:pPr>
                    <w:pStyle w:val="Compact"/>
                    <w:jc w:val="right"/>
                    <w:jc w:val="center"/>
                  </w:pPr>
                  <w:r>
                    <w:t xml:space="preserve">8</w:t>
                  </w:r>
                </w:p>
              </w:tc>
            </w:tr>
            <w:tr>
              <w:tc>
                <w:tcPr/>
                <w:p>
                  <w:pPr>
                    <w:pStyle w:val="Compact"/>
                    <w:jc w:val="left"/>
                    <w:jc w:val="center"/>
                  </w:pPr>
                  <w:r>
                    <w:t xml:space="preserve">Repeated sec_id within one review</w:t>
                  </w:r>
                </w:p>
              </w:tc>
              <w:tc>
                <w:tcPr/>
                <w:p>
                  <w:pPr>
                    <w:pStyle w:val="Compact"/>
                    <w:jc w:val="right"/>
                    <w:jc w:val="center"/>
                  </w:pPr>
                  <w:r>
                    <w:t xml:space="preserve">0</w:t>
                  </w:r>
                </w:p>
              </w:tc>
            </w:tr>
          </w:tbl>
          <w:bookmarkEnd w:id="147"/>
          <w:p/>
        </w:tc>
      </w:tr>
    </w:tbl>
    <w:p>
      <w:pPr>
        <w:pStyle w:val="BodyText"/>
      </w:pPr>
      <w:hyperlink w:anchor="tbl-checks">
        <w:r>
          <w:rPr>
            <w:rStyle w:val="Hyperlink"/>
          </w:rPr>
          <w:t xml:space="preserve">Table 12</w:t>
        </w:r>
      </w:hyperlink>
      <w:r>
        <w:t xml:space="preserve"> </w:t>
      </w:r>
      <w:r>
        <w:t xml:space="preserve">records 1224 CSV rows representing 1217 findings across 192 reviews and 120 generated programs; 7 reviews had no findings. All 24 Security-informed programs were read by all 4 reviewers, with 0 rows missing reviewer or generator, 0 duplicate rows, 0 findings without a CWE, 8 findings with non-standard severity, and 0 repeated sec_id values within a review.</w:t>
      </w:r>
    </w:p>
    <w:bookmarkEnd w:id="148"/>
    <w:bookmarkStart w:id="149" w:name="about-this-report"/>
    <w:p>
      <w:pPr>
        <w:pStyle w:val="Heading2"/>
      </w:pPr>
      <w:r>
        <w:t xml:space="preserve">About this report</w:t>
      </w:r>
    </w:p>
    <w:p>
      <w:pPr>
        <w:pStyle w:val="FirstParagraph"/>
      </w:pPr>
      <w:r>
        <w:t xml:space="preserve">Every table and figure is computed from</w:t>
      </w:r>
      <w:r>
        <w:t xml:space="preserve"> </w:t>
      </w:r>
      <w:r>
        <w:rPr>
          <w:rStyle w:val="VerbatimChar"/>
        </w:rPr>
        <w:t xml:space="preserve">findings.csv</w:t>
      </w:r>
      <w:r>
        <w:t xml:space="preserve"> </w:t>
      </w:r>
      <w:r>
        <w:t xml:space="preserve">when the report is rendered. The text was written by an AI from the rendered tables and figures. All counts are reviewer-reported findings, not confirmed vulnerabilities.</w:t>
      </w:r>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8" Target="media/rId118.png" /><Relationship Type="http://schemas.openxmlformats.org/officeDocument/2006/relationships/image" Id="rId48" Target="media/rId48.png" /><Relationship Type="http://schemas.openxmlformats.org/officeDocument/2006/relationships/image" Id="rId108" Target="media/rId108.png" /><Relationship Type="http://schemas.openxmlformats.org/officeDocument/2006/relationships/image" Id="rId14" Target="media/rId14.png" /><Relationship Type="http://schemas.openxmlformats.org/officeDocument/2006/relationships/image" Id="rId69" Target="media/rId69.png" /><Relationship Type="http://schemas.openxmlformats.org/officeDocument/2006/relationships/image" Id="rId127" Target="media/rId127.png" /><Relationship Type="http://schemas.openxmlformats.org/officeDocument/2006/relationships/image" Id="rId79" Target="media/rId79.png" /><Relationship Type="http://schemas.openxmlformats.org/officeDocument/2006/relationships/image" Id="rId55" Target="media/rId55.png" /><Relationship Type="http://schemas.openxmlformats.org/officeDocument/2006/relationships/image" Id="rId137" Target="media/rId137.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101" Target="media/rId101.png" /><Relationship Type="http://schemas.openxmlformats.org/officeDocument/2006/relationships/image" Id="rId74" Target="media/rId74.png" /><Relationship Type="http://schemas.openxmlformats.org/officeDocument/2006/relationships/image" Id="rId132" Target="media/rId132.png" /><Relationship Type="http://schemas.openxmlformats.org/officeDocument/2006/relationships/image" Id="rId84" Target="media/rId84.png" /><Relationship Type="http://schemas.openxmlformats.org/officeDocument/2006/relationships/image" Id="rId62" Target="media/rId62.png" /><Relationship Type="http://schemas.openxmlformats.org/officeDocument/2006/relationships/image" Id="rId142" Target="media/rId142.png" /><Relationship Type="http://schemas.openxmlformats.org/officeDocument/2006/relationships/image" Id="rId21" Target="media/rId21.png" /><Relationship Type="http://schemas.openxmlformats.org/officeDocument/2006/relationships/image" Id="rId96" Target="media/rId96.png" /><Relationship Type="http://schemas.openxmlformats.org/officeDocument/2006/relationships/image" Id="rId89" Target="media/rId89.png" /><Relationship Type="http://schemas.openxmlformats.org/officeDocument/2006/relationships/image" Id="rId43" Target="media/rId43.png" /><Relationship Type="http://schemas.openxmlformats.org/officeDocument/2006/relationships/image" Id="rId113" Target="media/rId11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findings data report</dc:title>
  <dc:creator/>
  <cp:keywords/>
  <dcterms:created xsi:type="dcterms:W3CDTF">2026-10-19T04:07:51Z</dcterms:created>
  <dcterms:modified xsi:type="dcterms:W3CDTF">2026-10-19T04:07:51Z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jupyter">
    <vt:lpwstr>python3</vt:lpwstr>
  </property>
  <property fmtid="{D5CDD505-2E9C-101B-9397-08002B2CF9AE}" pid="8" name="labels">
    <vt:lpwstr/>
  </property>
  <property fmtid="{D5CDD505-2E9C-101B-9397-08002B2CF9AE}" pid="9" name="toc-title">
    <vt:lpwstr>Table of contents</vt:lpwstr>
  </property>
</Properties>
</file>