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53.png" ContentType="image/png"/>
  <Override PartName="/word/media/rId106.png" ContentType="image/png"/>
  <Override PartName="/word/media/rId23.png" ContentType="image/png"/>
  <Override PartName="/word/media/rId70.png" ContentType="image/png"/>
  <Override PartName="/word/media/rId122.png" ContentType="image/png"/>
  <Override PartName="/word/media/rId79.png" ContentType="image/png"/>
  <Override PartName="/word/media/rId59.png" ContentType="image/png"/>
  <Override PartName="/word/media/rId132.png" ContentType="image/png"/>
  <Override PartName="/word/media/rId16.png" ContentType="image/png"/>
  <Override PartName="/word/media/rId36.png" ContentType="image/png"/>
  <Override PartName="/word/media/rId40.png" ContentType="image/png"/>
  <Override PartName="/word/media/rId100.png" ContentType="image/png"/>
  <Override PartName="/word/media/rId74.png" ContentType="image/png"/>
  <Override PartName="/word/media/rId126.png" ContentType="image/png"/>
  <Override PartName="/word/media/rId83.png" ContentType="image/png"/>
  <Override PartName="/word/media/rId64.png" ContentType="image/png"/>
  <Override PartName="/word/media/rId136.png" ContentType="image/png"/>
  <Override PartName="/word/media/rId30.png" ContentType="image/png"/>
  <Override PartName="/word/media/rId94.png" ContentType="image/png"/>
  <Override PartName="/word/media/rId89.png" ContentType="image/png"/>
  <Override PartName="/word/media/rId48.png" ContentType="image/png"/>
  <Override PartName="/word/media/rId11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Findings and Comparative Analysis</w:t>
      </w:r>
    </w:p>
    <w:p>
      <w:pPr>
        <w:pStyle w:val="Subtitle"/>
      </w:pPr>
      <w:r>
        <w:t xml:space="preserve">CSI6224 | Evaluating security-aware LLM code generation across four AI coding assistants</w:t>
      </w:r>
    </w:p>
    <w:p>
      <w:pPr>
        <w:pStyle w:val="Author"/>
      </w:pPr>
      <w:r>
        <w:t xml:space="preserve">CSI6224 project team</w:t>
      </w:r>
    </w:p>
    <w:p>
      <w:pPr>
        <w:pStyle w:val="Date"/>
      </w:pPr>
      <w:r>
        <w:t xml:space="preserve">2026-10-10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2"/>
      </w:pPr>
      <w:r>
        <w:t xml:space="preserve">Executive summary</w:t>
      </w:r>
    </w:p>
    <w:p>
      <w:pPr>
        <w:pStyle w:val="FirstParagraph"/>
      </w:pPr>
      <w:r>
        <w:t xml:space="preserve">AI coding assistants can complete security-sensitive Java tasks while leaving weaknesses in authentication, credential handling, session management, cryptography, database access and audit logging. This project asks whether the way a task is prompted changes the security findings reported against the resulting code, whether those findings differ between four coding assistants, and how far four LLM security reviewers agree when they read the same program.</w:t>
      </w:r>
    </w:p>
    <w:p>
      <w:pPr>
        <w:pStyle w:val="BodyText"/>
      </w:pPr>
      <w:r>
        <w:t xml:space="preserve">The study ran in two stages.</w:t>
      </w:r>
      <w:r>
        <w:t xml:space="preserve"> </w:t>
      </w:r>
      <w:r>
        <w:rPr>
          <w:b/>
          <w:bCs/>
        </w:rPr>
        <w:t xml:space="preserve">Stage 1</w:t>
      </w:r>
      <w:r>
        <w:t xml:space="preserve"> </w:t>
      </w:r>
      <w:r>
        <w:t xml:space="preserve">compared a</w:t>
      </w:r>
      <w:r>
        <w:t xml:space="preserve"> </w:t>
      </w:r>
      <w:r>
        <w:rPr>
          <w:b/>
          <w:bCs/>
        </w:rPr>
        <w:t xml:space="preserve">Basic</w:t>
      </w:r>
      <w:r>
        <w:t xml:space="preserve"> </w:t>
      </w:r>
      <w:r>
        <w:t xml:space="preserve">prompt with a</w:t>
      </w:r>
      <w:r>
        <w:t xml:space="preserve"> </w:t>
      </w:r>
      <w:r>
        <w:rPr>
          <w:b/>
          <w:bCs/>
        </w:rPr>
        <w:t xml:space="preserve">Security-aware</w:t>
      </w:r>
      <w:r>
        <w:t xml:space="preserve"> </w:t>
      </w:r>
      <w:r>
        <w:t xml:space="preserve">prompt that adds a short hint about the task’s target weakness; each assistant reviewed its own code. The team then read the Stage 1 reviews and distilled the recurring problems into</w:t>
      </w:r>
      <w:r>
        <w:t xml:space="preserve"> </w:t>
      </w:r>
      <w:r>
        <w:rPr>
          <w:b/>
          <w:bCs/>
        </w:rPr>
        <w:t xml:space="preserve">eight security rules</w:t>
      </w:r>
      <w:r>
        <w:t xml:space="preserve">, which became the</w:t>
      </w:r>
      <w:r>
        <w:t xml:space="preserve"> </w:t>
      </w:r>
      <w:r>
        <w:rPr>
          <w:b/>
          <w:bCs/>
        </w:rPr>
        <w:t xml:space="preserve">Security-informed</w:t>
      </w:r>
      <w:r>
        <w:t xml:space="preserve"> </w:t>
      </w:r>
      <w:r>
        <w:t xml:space="preserve">prompt used in</w:t>
      </w:r>
      <w:r>
        <w:t xml:space="preserve"> </w:t>
      </w:r>
      <w:r>
        <w:rPr>
          <w:b/>
          <w:bCs/>
        </w:rPr>
        <w:t xml:space="preserve">Stage 2</w:t>
      </w:r>
      <w:r>
        <w:t xml:space="preserve">. In Stage 2 every program was read by all four reviewers, so reviewer behaviour can be separated from code quality.</w:t>
      </w:r>
    </w:p>
    <w:p>
      <w:pPr>
        <w:pStyle w:val="BodyText"/>
      </w:pPr>
      <w:r>
        <w:t xml:space="preserve">Across 120 programs and 192 reviews the reviewers recorded</w:t>
      </w:r>
      <w:r>
        <w:t xml:space="preserve"> </w:t>
      </w:r>
      <w:r>
        <w:rPr>
          <w:b/>
          <w:bCs/>
        </w:rPr>
        <w:t xml:space="preserve">1,217 findings</w:t>
      </w:r>
      <w:r>
        <w:t xml:space="preserve">. The main results are:</w:t>
      </w:r>
    </w:p>
    <w:p>
      <w:pPr>
        <w:pStyle w:val="Compact"/>
        <w:numPr>
          <w:ilvl w:val="0"/>
          <w:numId w:val="1001"/>
        </w:numPr>
      </w:pPr>
      <w:r>
        <w:rPr>
          <w:b/>
          <w:bCs/>
        </w:rPr>
        <w:t xml:space="preserve">A short security hint did not change the volume of findings.</w:t>
      </w:r>
      <w:r>
        <w:t xml:space="preserve"> </w:t>
      </w:r>
      <w:r>
        <w:t xml:space="preserve">Matched Stage 1 pairs moved from 6.25 to 6.56 findings per review, a difference of +0.31 whose 95% interval (−0.29 to +0.94) includes zero.</w:t>
      </w:r>
    </w:p>
    <w:p>
      <w:pPr>
        <w:pStyle w:val="Compact"/>
        <w:numPr>
          <w:ilvl w:val="0"/>
          <w:numId w:val="1001"/>
        </w:numPr>
      </w:pPr>
      <w:r>
        <w:rPr>
          <w:b/>
          <w:bCs/>
        </w:rPr>
        <w:t xml:space="preserve">The Security-informed prompt reduced findings in the areas its rules target most directly.</w:t>
      </w:r>
      <w:r>
        <w:t xml:space="preserve"> </w:t>
      </w:r>
      <w:r>
        <w:t xml:space="preserve">Under self-review, findings per review fell by 77% for secrets, 43% for failure behaviour and 26% for authentication and access, compared with the Stage 1 average. They did not fall for sensitive data, concurrency, tokens or trust boundaries, and findings outside every rule rose by 44%, led by insufficient logging (CWE-778), which no rule mentions.</w:t>
      </w:r>
    </w:p>
    <w:p>
      <w:pPr>
        <w:pStyle w:val="Compact"/>
        <w:numPr>
          <w:ilvl w:val="0"/>
          <w:numId w:val="1001"/>
        </w:numPr>
      </w:pPr>
      <w:r>
        <w:rPr>
          <w:b/>
          <w:bCs/>
        </w:rPr>
        <w:t xml:space="preserve">Total volume fell only modestly</w:t>
      </w:r>
      <w:r>
        <w:t xml:space="preserve">, from 6.25 and 6.56 to 5.79 findings per self-review, with no shift towards higher severity (14.4% High/Critical against 16.7% and 17.8%).</w:t>
      </w:r>
    </w:p>
    <w:p>
      <w:pPr>
        <w:pStyle w:val="Compact"/>
        <w:numPr>
          <w:ilvl w:val="0"/>
          <w:numId w:val="1001"/>
        </w:numPr>
      </w:pPr>
      <w:r>
        <w:rPr>
          <w:b/>
          <w:bCs/>
        </w:rPr>
        <w:t xml:space="preserve">The mix moved away from the OWASP categories.</w:t>
      </w:r>
      <w:r>
        <w:t xml:space="preserve"> </w:t>
      </w:r>
      <w:r>
        <w:t xml:space="preserve">Authentication Failures (A07) fell from 28.0% of self-review findings under Basic to 18.0% under Security-informed, while findings whose CWE sits outside the OWASP Top 10:2025 rose from 23.7% to 33.1%.</w:t>
      </w:r>
    </w:p>
    <w:p>
      <w:pPr>
        <w:pStyle w:val="Compact"/>
        <w:numPr>
          <w:ilvl w:val="0"/>
          <w:numId w:val="1001"/>
        </w:numPr>
      </w:pPr>
      <w:r>
        <w:rPr>
          <w:b/>
          <w:bCs/>
        </w:rPr>
        <w:t xml:space="preserve">Reviewers ranked the generators consistently at the ends.</w:t>
      </w:r>
      <w:r>
        <w:t xml:space="preserve"> </w:t>
      </w:r>
      <w:r>
        <w:t xml:space="preserve">Every reviewer gave Codex-generated code the fewest findings and Antigravity-generated code the most.</w:t>
      </w:r>
    </w:p>
    <w:p>
      <w:pPr>
        <w:pStyle w:val="Compact"/>
        <w:numPr>
          <w:ilvl w:val="0"/>
          <w:numId w:val="1001"/>
        </w:numPr>
      </w:pPr>
      <w:r>
        <w:rPr>
          <w:b/>
          <w:bCs/>
        </w:rPr>
        <w:t xml:space="preserve">Reviewers agreed on the broad category far more than on the exact weakness.</w:t>
      </w:r>
      <w:r>
        <w:t xml:space="preserve"> </w:t>
      </w:r>
      <w:r>
        <w:t xml:space="preserve">64.3% of program–CWE pairs were named by only one of the four reviewers, against 32.1% of program–OWASP-category pairs.</w:t>
      </w:r>
    </w:p>
    <w:p>
      <w:pPr>
        <w:pStyle w:val="FirstParagraph"/>
      </w:pPr>
      <w:r>
        <w:t xml:space="preserve">All counts are</w:t>
      </w:r>
      <w:r>
        <w:t xml:space="preserve"> </w:t>
      </w:r>
      <w:r>
        <w:rPr>
          <w:b/>
          <w:bCs/>
        </w:rPr>
        <w:t xml:space="preserve">reviewer-reported findings</w:t>
      </w:r>
      <w:r>
        <w:t xml:space="preserve">, not independently confirmed vulnerabilities. A larger count can reflect less secure code, a more thorough reviewer, or both.</w:t>
      </w:r>
    </w:p>
    <w:p>
      <w:pPr>
        <w:pStyle w:val="BlockText"/>
      </w:pPr>
      <w:r>
        <w:rPr>
          <w:b/>
          <w:bCs/>
        </w:rPr>
        <w:t xml:space="preserve">Reader’s rule:</w:t>
      </w:r>
      <w:r>
        <w:t xml:space="preserve"> </w:t>
      </w:r>
      <w:r>
        <w:t xml:space="preserve">a generated program is not a review, and a review is not a finding. One program can have four reviews, and one review can hold many findings. Every rate below states which of the three it counts, and which reviews it uses.</w:t>
      </w:r>
    </w:p>
    <w:bookmarkEnd w:id="9"/>
    <w:bookmarkStart w:id="10" w:name="background-aim-and-research-questions"/>
    <w:p>
      <w:pPr>
        <w:pStyle w:val="Heading2"/>
      </w:pPr>
      <w:r>
        <w:t xml:space="preserve">1 Background, aim and research questions</w:t>
      </w:r>
    </w:p>
    <w:p>
      <w:pPr>
        <w:pStyle w:val="FirstParagraph"/>
      </w:pPr>
      <w:r>
        <w:t xml:space="preserve">Prior research documents security API misuse in LLM-generated Java code (Mousavi et al., 2024) and security weaknesses persisting in AI-assisted development (Mousavi et al., 2026; Perry et al., 2023). The practical question is whether security guidance added to an otherwise fixed programming task improves the resulting code. This project uses the assistants’ native command-line tools rather than raw model APIs, so it evaluates the whole coding-assistant experience: model, provider scaffolding, tools and execution workflow. That is realistic for users of those assistants, but it limits claims about the underlying models.</w:t>
      </w:r>
    </w:p>
    <w:p>
      <w:pPr>
        <w:pStyle w:val="BodyText"/>
      </w:pPr>
      <w:r>
        <w:rPr>
          <w:b/>
          <w:bCs/>
        </w:rPr>
        <w:t xml:space="preserve">RQ1 — Prompt strategy.</w:t>
      </w:r>
      <w:r>
        <w:t xml:space="preserve"> </w:t>
      </w:r>
      <w:r>
        <w:t xml:space="preserve">How do the Basic, Security-aware and Security-informed prompts affect the security findings reported in generated Java programs?</w:t>
      </w:r>
    </w:p>
    <w:p>
      <w:pPr>
        <w:pStyle w:val="BodyText"/>
      </w:pPr>
      <w:r>
        <w:rPr>
          <w:b/>
          <w:bCs/>
        </w:rPr>
        <w:t xml:space="preserve">RQ2 — Coding assistant.</w:t>
      </w:r>
      <w:r>
        <w:t xml:space="preserve"> </w:t>
      </w:r>
      <w:r>
        <w:t xml:space="preserve">How do security findings differ across the four coding assistants when tasks, prompts and reviewers are held comparable?</w:t>
      </w:r>
    </w:p>
    <w:p>
      <w:pPr>
        <w:pStyle w:val="BodyText"/>
      </w:pPr>
      <w:r>
        <w:rPr>
          <w:b/>
          <w:bCs/>
        </w:rPr>
        <w:t xml:space="preserve">RQ3 — Security reviewer.</w:t>
      </w:r>
      <w:r>
        <w:t xml:space="preserve"> </w:t>
      </w:r>
      <w:r>
        <w:t xml:space="preserve">How consistently do four LLM security reviewers report weaknesses and assign severity when reviewing the</w:t>
      </w:r>
      <w:r>
        <w:t xml:space="preserve"> </w:t>
      </w:r>
      <w:r>
        <w:rPr>
          <w:b/>
          <w:bCs/>
        </w:rPr>
        <w:t xml:space="preserve">same</w:t>
      </w:r>
      <w:r>
        <w:t xml:space="preserve"> </w:t>
      </w:r>
      <w:r>
        <w:t xml:space="preserve">generated program?</w:t>
      </w:r>
    </w:p>
    <w:p>
      <w:pPr>
        <w:pStyle w:val="BodyText"/>
      </w:pPr>
      <w:r>
        <w:t xml:space="preserve">The analysis prefers rates with stated denominators, paired comparisons and the mix of weaknesses over a single total. It also examines each task’s</w:t>
      </w:r>
      <w:r>
        <w:t xml:space="preserve"> </w:t>
      </w:r>
      <w:r>
        <w:rPr>
          <w:b/>
          <w:bCs/>
        </w:rPr>
        <w:t xml:space="preserve">anchor CWE</w:t>
      </w:r>
      <w:r>
        <w:t xml:space="preserve"> </w:t>
      </w:r>
      <w:r>
        <w:t xml:space="preserve">separately from all other findings, because meeting one named requirement is not the same as producing secure code around it.</w:t>
      </w:r>
    </w:p>
    <w:bookmarkEnd w:id="10"/>
    <w:bookmarkStart w:id="28" w:name="method"/>
    <w:p>
      <w:pPr>
        <w:pStyle w:val="Heading2"/>
      </w:pPr>
      <w:r>
        <w:t xml:space="preserve">2 Method</w:t>
      </w:r>
    </w:p>
    <w:bookmarkStart w:id="11" w:name="six-java-benchmark-tasks"/>
    <w:p>
      <w:pPr>
        <w:pStyle w:val="Heading3"/>
      </w:pPr>
      <w:r>
        <w:t xml:space="preserve">2.1 Six Java benchmark tasks</w:t>
      </w:r>
    </w:p>
    <w:p>
      <w:pPr>
        <w:pStyle w:val="TableCaption"/>
      </w:pPr>
      <w:r>
        <w:t xml:space="preserve">The six benchmark tasks and their design anchors</w:t>
      </w:r>
    </w:p>
    <w:tbl>
      <w:tblPr>
        <w:tblStyle w:val="Table"/>
        <w:tblW w:type="pct" w:w="5000"/>
        <w:tblLayout w:type="fixed"/>
        <w:tblLook w:firstRow="1" w:lastRow="0" w:firstColumn="0" w:lastColumn="0" w:noHBand="0" w:noVBand="0" w:val="0020"/>
        <w:tblCaption w:val="The six benchmark tasks and their design anchors"/>
      </w:tblPr>
      <w:tblGrid>
        <w:gridCol w:w="1584"/>
        <w:gridCol w:w="1584"/>
        <w:gridCol w:w="1584"/>
        <w:gridCol w:w="1584"/>
        <w:gridCol w:w="1584"/>
      </w:tblGrid>
      <w:tr>
        <w:trPr>
          <w:tblHeader w:val="on"/>
        </w:trPr>
        <w:tc>
          <w:tcPr/>
          <w:p>
            <w:pPr>
              <w:pStyle w:val="Compact"/>
              <w:jc w:val="left"/>
            </w:pPr>
            <w:r>
              <w:t xml:space="preserve">Task</w:t>
            </w:r>
          </w:p>
        </w:tc>
        <w:tc>
          <w:tcPr/>
          <w:p>
            <w:pPr>
              <w:pStyle w:val="Compact"/>
              <w:jc w:val="left"/>
            </w:pPr>
            <w:r>
              <w:t xml:space="preserve">Programming scenario</w:t>
            </w:r>
          </w:p>
        </w:tc>
        <w:tc>
          <w:tcPr/>
          <w:p>
            <w:pPr>
              <w:pStyle w:val="Compact"/>
              <w:jc w:val="left"/>
            </w:pPr>
            <w:r>
              <w:t xml:space="preserve">Intended OWASP anchor</w:t>
            </w:r>
          </w:p>
        </w:tc>
        <w:tc>
          <w:tcPr/>
          <w:p>
            <w:pPr>
              <w:pStyle w:val="Compact"/>
              <w:jc w:val="left"/>
            </w:pPr>
            <w:r>
              <w:t xml:space="preserve">Anchor CWE</w:t>
            </w:r>
          </w:p>
        </w:tc>
        <w:tc>
          <w:tcPr/>
          <w:p>
            <w:pPr>
              <w:pStyle w:val="Compact"/>
              <w:jc w:val="left"/>
            </w:pPr>
            <w:r>
              <w:t xml:space="preserve">Key assessment question</w:t>
            </w:r>
          </w:p>
        </w:tc>
      </w:tr>
      <w:tr>
        <w:tc>
          <w:tcPr/>
          <w:p>
            <w:pPr>
              <w:pStyle w:val="Compact"/>
              <w:jc w:val="left"/>
            </w:pPr>
            <w:r>
              <w:t xml:space="preserve">1</w:t>
            </w:r>
          </w:p>
        </w:tc>
        <w:tc>
          <w:tcPr/>
          <w:p>
            <w:pPr>
              <w:pStyle w:val="Compact"/>
              <w:jc w:val="left"/>
            </w:pPr>
            <w:r>
              <w:t xml:space="preserve">Session cookie after authentication (Jakarta Servlet)</w:t>
            </w:r>
          </w:p>
        </w:tc>
        <w:tc>
          <w:tcPr/>
          <w:p>
            <w:pPr>
              <w:pStyle w:val="Compact"/>
              <w:jc w:val="left"/>
            </w:pPr>
            <w:r>
              <w:t xml:space="preserve">A02 Security Misconfiguration</w:t>
            </w:r>
          </w:p>
        </w:tc>
        <w:tc>
          <w:tcPr/>
          <w:p>
            <w:pPr>
              <w:pStyle w:val="Compact"/>
              <w:jc w:val="left"/>
            </w:pPr>
            <w:r>
              <w:t xml:space="preserve">CWE-1004</w:t>
            </w:r>
          </w:p>
        </w:tc>
        <w:tc>
          <w:tcPr/>
          <w:p>
            <w:pPr>
              <w:pStyle w:val="Compact"/>
              <w:jc w:val="left"/>
            </w:pPr>
            <w:r>
              <w:t xml:space="preserve">Is a sensitive session cookie protected from client-side script access?</w:t>
            </w:r>
          </w:p>
        </w:tc>
      </w:tr>
      <w:tr>
        <w:tc>
          <w:tcPr/>
          <w:p>
            <w:pPr>
              <w:pStyle w:val="Compact"/>
              <w:jc w:val="left"/>
            </w:pPr>
            <w:r>
              <w:t xml:space="preserve">2</w:t>
            </w:r>
          </w:p>
        </w:tc>
        <w:tc>
          <w:tcPr/>
          <w:p>
            <w:pPr>
              <w:pStyle w:val="Compact"/>
              <w:jc w:val="left"/>
            </w:pPr>
            <w:r>
              <w:t xml:space="preserve">Symmetric encryption/decryption of sensitive data</w:t>
            </w:r>
          </w:p>
        </w:tc>
        <w:tc>
          <w:tcPr/>
          <w:p>
            <w:pPr>
              <w:pStyle w:val="Compact"/>
              <w:jc w:val="left"/>
            </w:pPr>
            <w:r>
              <w:t xml:space="preserve">A04 Cryptographic Failures</w:t>
            </w:r>
          </w:p>
        </w:tc>
        <w:tc>
          <w:tcPr/>
          <w:p>
            <w:pPr>
              <w:pStyle w:val="Compact"/>
              <w:jc w:val="left"/>
            </w:pPr>
            <w:r>
              <w:t xml:space="preserve">CWE-321</w:t>
            </w:r>
          </w:p>
        </w:tc>
        <w:tc>
          <w:tcPr/>
          <w:p>
            <w:pPr>
              <w:pStyle w:val="Compact"/>
              <w:jc w:val="left"/>
            </w:pPr>
            <w:r>
              <w:t xml:space="preserve">Is a cryptographic key handled without hard-coding?</w:t>
            </w:r>
          </w:p>
        </w:tc>
      </w:tr>
      <w:tr>
        <w:tc>
          <w:tcPr/>
          <w:p>
            <w:pPr>
              <w:pStyle w:val="Compact"/>
              <w:jc w:val="left"/>
            </w:pPr>
            <w:r>
              <w:t xml:space="preserve">3</w:t>
            </w:r>
          </w:p>
        </w:tc>
        <w:tc>
          <w:tcPr/>
          <w:p>
            <w:pPr>
              <w:pStyle w:val="Compact"/>
              <w:jc w:val="left"/>
            </w:pPr>
            <w:r>
              <w:t xml:space="preserve">User account retrieval through JDBC</w:t>
            </w:r>
          </w:p>
        </w:tc>
        <w:tc>
          <w:tcPr/>
          <w:p>
            <w:pPr>
              <w:pStyle w:val="Compact"/>
              <w:jc w:val="left"/>
            </w:pPr>
            <w:r>
              <w:t xml:space="preserve">A05 Injection</w:t>
            </w:r>
          </w:p>
        </w:tc>
        <w:tc>
          <w:tcPr/>
          <w:p>
            <w:pPr>
              <w:pStyle w:val="Compact"/>
              <w:jc w:val="left"/>
            </w:pPr>
            <w:r>
              <w:t xml:space="preserve">CWE-89</w:t>
            </w:r>
          </w:p>
        </w:tc>
        <w:tc>
          <w:tcPr/>
          <w:p>
            <w:pPr>
              <w:pStyle w:val="Compact"/>
              <w:jc w:val="left"/>
            </w:pPr>
            <w:r>
              <w:t xml:space="preserve">Is untrusted input kept separate from SQL syntax?</w:t>
            </w:r>
          </w:p>
        </w:tc>
      </w:tr>
      <w:tr>
        <w:tc>
          <w:tcPr/>
          <w:p>
            <w:pPr>
              <w:pStyle w:val="Compact"/>
              <w:jc w:val="left"/>
            </w:pPr>
            <w:r>
              <w:t xml:space="preserve">4</w:t>
            </w:r>
          </w:p>
        </w:tc>
        <w:tc>
          <w:tcPr/>
          <w:p>
            <w:pPr>
              <w:pStyle w:val="Compact"/>
              <w:jc w:val="left"/>
            </w:pPr>
            <w:r>
              <w:t xml:space="preserve">User registration and credential storage</w:t>
            </w:r>
          </w:p>
        </w:tc>
        <w:tc>
          <w:tcPr/>
          <w:p>
            <w:pPr>
              <w:pStyle w:val="Compact"/>
              <w:jc w:val="left"/>
            </w:pPr>
            <w:r>
              <w:t xml:space="preserve">A06 Insecure Design</w:t>
            </w:r>
          </w:p>
        </w:tc>
        <w:tc>
          <w:tcPr/>
          <w:p>
            <w:pPr>
              <w:pStyle w:val="Compact"/>
              <w:jc w:val="left"/>
            </w:pPr>
            <w:r>
              <w:t xml:space="preserve">CWE-256</w:t>
            </w:r>
          </w:p>
        </w:tc>
        <w:tc>
          <w:tcPr/>
          <w:p>
            <w:pPr>
              <w:pStyle w:val="Compact"/>
              <w:jc w:val="left"/>
            </w:pPr>
            <w:r>
              <w:t xml:space="preserve">Is a password protected rather than stored in plaintext?</w:t>
            </w:r>
          </w:p>
        </w:tc>
      </w:tr>
      <w:tr>
        <w:tc>
          <w:tcPr/>
          <w:p>
            <w:pPr>
              <w:pStyle w:val="Compact"/>
              <w:jc w:val="left"/>
            </w:pPr>
            <w:r>
              <w:t xml:space="preserve">5</w:t>
            </w:r>
          </w:p>
        </w:tc>
        <w:tc>
          <w:tcPr/>
          <w:p>
            <w:pPr>
              <w:pStyle w:val="Compact"/>
              <w:jc w:val="left"/>
            </w:pPr>
            <w:r>
              <w:t xml:space="preserve">Login attempts and credential verification</w:t>
            </w:r>
          </w:p>
        </w:tc>
        <w:tc>
          <w:tcPr/>
          <w:p>
            <w:pPr>
              <w:pStyle w:val="Compact"/>
              <w:jc w:val="left"/>
            </w:pPr>
            <w:r>
              <w:t xml:space="preserve">A07 Authentication Failures</w:t>
            </w:r>
          </w:p>
        </w:tc>
        <w:tc>
          <w:tcPr/>
          <w:p>
            <w:pPr>
              <w:pStyle w:val="Compact"/>
              <w:jc w:val="left"/>
            </w:pPr>
            <w:r>
              <w:t xml:space="preserve">CWE-307</w:t>
            </w:r>
          </w:p>
        </w:tc>
        <w:tc>
          <w:tcPr/>
          <w:p>
            <w:pPr>
              <w:pStyle w:val="Compact"/>
              <w:jc w:val="left"/>
            </w:pPr>
            <w:r>
              <w:t xml:space="preserve">Are repeated failed authentication attempts restricted?</w:t>
            </w:r>
          </w:p>
        </w:tc>
      </w:tr>
      <w:tr>
        <w:tc>
          <w:tcPr/>
          <w:p>
            <w:pPr>
              <w:pStyle w:val="Compact"/>
              <w:jc w:val="left"/>
            </w:pPr>
            <w:r>
              <w:t xml:space="preserve">6</w:t>
            </w:r>
          </w:p>
        </w:tc>
        <w:tc>
          <w:tcPr/>
          <w:p>
            <w:pPr>
              <w:pStyle w:val="Compact"/>
              <w:jc w:val="left"/>
            </w:pPr>
            <w:r>
              <w:t xml:space="preserve">Authentication with activity logging</w:t>
            </w:r>
          </w:p>
        </w:tc>
        <w:tc>
          <w:tcPr/>
          <w:p>
            <w:pPr>
              <w:pStyle w:val="Compact"/>
              <w:jc w:val="left"/>
            </w:pPr>
            <w:r>
              <w:t xml:space="preserve">A09 Security Logging and Alerting Failures</w:t>
            </w:r>
          </w:p>
        </w:tc>
        <w:tc>
          <w:tcPr/>
          <w:p>
            <w:pPr>
              <w:pStyle w:val="Compact"/>
              <w:jc w:val="left"/>
            </w:pPr>
            <w:r>
              <w:t xml:space="preserve">CWE-778</w:t>
            </w:r>
          </w:p>
        </w:tc>
        <w:tc>
          <w:tcPr/>
          <w:p>
            <w:pPr>
              <w:pStyle w:val="Compact"/>
              <w:jc w:val="left"/>
            </w:pPr>
            <w:r>
              <w:t xml:space="preserve">Are security-relevant authentication events recorded adequately?</w:t>
            </w:r>
          </w:p>
        </w:tc>
      </w:tr>
    </w:tbl>
    <w:p>
      <w:pPr>
        <w:pStyle w:val="BodyText"/>
      </w:pPr>
      <w:r>
        <w:t xml:space="preserve">These are deliberately constrained tasks, not a representative sample of secure Java programming. The OWASP column is the</w:t>
      </w:r>
      <w:r>
        <w:t xml:space="preserve"> </w:t>
      </w:r>
      <w:r>
        <w:rPr>
          <w:b/>
          <w:bCs/>
        </w:rPr>
        <w:t xml:space="preserve">design anchor</w:t>
      </w:r>
      <w:r>
        <w:t xml:space="preserve">; the findings themselves may fall in any category.</w:t>
      </w:r>
    </w:p>
    <w:bookmarkEnd w:id="11"/>
    <w:bookmarkStart w:id="12" w:name="coding-assistants-and-reviewers"/>
    <w:p>
      <w:pPr>
        <w:pStyle w:val="Heading3"/>
      </w:pPr>
      <w:r>
        <w:t xml:space="preserve">2.2 Coding assistants and reviewers</w:t>
      </w:r>
    </w:p>
    <w:p>
      <w:pPr>
        <w:pStyle w:val="FirstParagraph"/>
      </w:pPr>
      <w:r>
        <w:t xml:space="preserve">The four tools are Antigravity (agy, Gemini), Claude Code (claude), Codex (codex, OpenAI) and Qwen Code (qwen, self-hosted Qwen). Project materials record a frozen tested configuration of Gemini 3.7 Flash/high, Claude Opus 5/medium, GPT-5.6 Sol/medium and Qwen3.8-Flash-Next/default xhigh for generation, the Qwen condition being the self-hosted</w:t>
      </w:r>
      <w:r>
        <w:t xml:space="preserve"> </w:t>
      </w:r>
      <w:r>
        <w:rPr>
          <w:rStyle w:val="VerbatimChar"/>
        </w:rPr>
        <w:t xml:space="preserve">Qwen/Qwen3.8-Flash-Next-NVFP4</w:t>
      </w:r>
      <w:r>
        <w:t xml:space="preserve"> </w:t>
      </w:r>
      <w:r>
        <w:t xml:space="preserve">checkpoint (mixture-of-experts, 125B total parameters with approximately 6B active per token) under the Qwen Community licence, with the later review-effort change for Qwen recorded separately. The same four tools act as the security reviewers. The study compares these tool configurations, not providers or model families in general.</w:t>
      </w:r>
    </w:p>
    <w:bookmarkEnd w:id="12"/>
    <w:bookmarkStart w:id="13" w:name="stage-1-basic-and-security-aware"/>
    <w:p>
      <w:pPr>
        <w:pStyle w:val="Heading3"/>
      </w:pPr>
      <w:r>
        <w:t xml:space="preserve">2.3 Stage 1: Basic and Security-aware</w:t>
      </w:r>
    </w:p>
    <w:p>
      <w:pPr>
        <w:pStyle w:val="FirstParagraph"/>
      </w:pPr>
      <w:r>
        <w:t xml:space="preserve">Two team members each wrote a prompt set. For each of the six tasks there is a</w:t>
      </w:r>
      <w:r>
        <w:t xml:space="preserve"> </w:t>
      </w:r>
      <w:r>
        <w:rPr>
          <w:b/>
          <w:bCs/>
        </w:rPr>
        <w:t xml:space="preserve">Basic</w:t>
      </w:r>
      <w:r>
        <w:t xml:space="preserve"> </w:t>
      </w:r>
      <w:r>
        <w:t xml:space="preserve">prompt, which specifies the functional task with no security guidance, and a</w:t>
      </w:r>
      <w:r>
        <w:t xml:space="preserve"> </w:t>
      </w:r>
      <w:r>
        <w:rPr>
          <w:b/>
          <w:bCs/>
        </w:rPr>
        <w:t xml:space="preserve">Security-aware</w:t>
      </w:r>
      <w:r>
        <w:t xml:space="preserve"> </w:t>
      </w:r>
      <w:r>
        <w:t xml:space="preserve">prompt, which adds a short hint aimed at the task’s anchor weakness. Two authors × six tasks × two prompts × four assistants gives</w:t>
      </w:r>
      <w:r>
        <w:t xml:space="preserve"> </w:t>
      </w:r>
      <w:r>
        <w:rPr>
          <w:b/>
          <w:bCs/>
        </w:rPr>
        <w:t xml:space="preserve">96 programs</w:t>
      </w:r>
      <w:r>
        <w:t xml:space="preserve">. Each program was reviewed once, by the assistant that wrote it: a</w:t>
      </w:r>
      <w:r>
        <w:t xml:space="preserve"> </w:t>
      </w:r>
      <w:r>
        <w:rPr>
          <w:b/>
          <w:bCs/>
        </w:rPr>
        <w:t xml:space="preserve">self-review</w:t>
      </w:r>
      <w:r>
        <w:t xml:space="preserve">.</w:t>
      </w:r>
    </w:p>
    <w:bookmarkEnd w:id="13"/>
    <w:bookmarkStart w:id="15" w:name="from-stage-1-to-the-eight-rules"/>
    <w:p>
      <w:pPr>
        <w:pStyle w:val="Heading3"/>
      </w:pPr>
      <w:r>
        <w:t xml:space="preserve">2.4 From Stage 1 to the eight rules</w:t>
      </w:r>
    </w:p>
    <w:p>
      <w:pPr>
        <w:pStyle w:val="FirstParagraph"/>
      </w:pPr>
      <w:r>
        <w:t xml:space="preserve">After Stage 1 the team read the reviews and distilled the problems that kept recurring into eight task-independent rules. The user writes the task in their own words and appends the rules as a fixed block, which asks the assistant to think like an attacking reviewer before writing code and to finish with an adversarial review of its own. The full prompt is in</w:t>
      </w:r>
      <w:r>
        <w:t xml:space="preserve"> </w:t>
      </w:r>
      <w:hyperlink w:anchor="appendix-b">
        <w:r>
          <w:rPr>
            <w:rStyle w:val="Hyperlink"/>
          </w:rPr>
          <w:t xml:space="preserve">Appendix B</w:t>
        </w:r>
      </w:hyperlink>
      <w:r>
        <w:t xml:space="preserve">. In short, the rules cover:</w:t>
      </w:r>
    </w:p>
    <w:p>
      <w:pPr>
        <w:pStyle w:val="Compact"/>
        <w:numPr>
          <w:ilvl w:val="0"/>
          <w:numId w:val="1002"/>
        </w:numPr>
      </w:pPr>
      <w:r>
        <w:rPr>
          <w:b/>
          <w:bCs/>
        </w:rPr>
        <w:t xml:space="preserve">Trust boundaries</w:t>
      </w:r>
      <w:r>
        <w:t xml:space="preserve"> </w:t>
      </w:r>
      <w:r>
        <w:t xml:space="preserve">— treat every input as attacker-controlled and validate it.</w:t>
      </w:r>
    </w:p>
    <w:p>
      <w:pPr>
        <w:pStyle w:val="Compact"/>
        <w:numPr>
          <w:ilvl w:val="0"/>
          <w:numId w:val="1002"/>
        </w:numPr>
      </w:pPr>
      <w:r>
        <w:rPr>
          <w:b/>
          <w:bCs/>
        </w:rPr>
        <w:t xml:space="preserve">Secrets</w:t>
      </w:r>
      <w:r>
        <w:t xml:space="preserve"> </w:t>
      </w:r>
      <w:r>
        <w:t xml:space="preserve">— no working credentials in code; never print or log them.</w:t>
      </w:r>
    </w:p>
    <w:p>
      <w:pPr>
        <w:pStyle w:val="Compact"/>
        <w:numPr>
          <w:ilvl w:val="0"/>
          <w:numId w:val="1002"/>
        </w:numPr>
      </w:pPr>
      <w:r>
        <w:rPr>
          <w:b/>
          <w:bCs/>
        </w:rPr>
        <w:t xml:space="preserve">Authentication and access</w:t>
      </w:r>
      <w:r>
        <w:t xml:space="preserve"> </w:t>
      </w:r>
      <w:r>
        <w:t xml:space="preserve">— verify against server-side state, fail closed, limit attempts per source and per account.</w:t>
      </w:r>
    </w:p>
    <w:p>
      <w:pPr>
        <w:pStyle w:val="Compact"/>
        <w:numPr>
          <w:ilvl w:val="0"/>
          <w:numId w:val="1002"/>
        </w:numPr>
      </w:pPr>
      <w:r>
        <w:rPr>
          <w:b/>
          <w:bCs/>
        </w:rPr>
        <w:t xml:space="preserve">Identifiers and tokens</w:t>
      </w:r>
      <w:r>
        <w:t xml:space="preserve"> </w:t>
      </w:r>
      <w:r>
        <w:t xml:space="preserve">— generate session identifiers securely; correct cookie attributes.</w:t>
      </w:r>
    </w:p>
    <w:p>
      <w:pPr>
        <w:pStyle w:val="Compact"/>
        <w:numPr>
          <w:ilvl w:val="0"/>
          <w:numId w:val="1002"/>
        </w:numPr>
      </w:pPr>
      <w:r>
        <w:rPr>
          <w:b/>
          <w:bCs/>
        </w:rPr>
        <w:t xml:space="preserve">Sensitive data</w:t>
      </w:r>
      <w:r>
        <w:t xml:space="preserve"> </w:t>
      </w:r>
      <w:r>
        <w:t xml:space="preserve">— mask in logs, private files only, bound sizes, clear from memory.</w:t>
      </w:r>
    </w:p>
    <w:p>
      <w:pPr>
        <w:pStyle w:val="Compact"/>
        <w:numPr>
          <w:ilvl w:val="0"/>
          <w:numId w:val="1002"/>
        </w:numPr>
      </w:pPr>
      <w:r>
        <w:rPr>
          <w:b/>
          <w:bCs/>
        </w:rPr>
        <w:t xml:space="preserve">Failure behaviour</w:t>
      </w:r>
      <w:r>
        <w:t xml:space="preserve"> </w:t>
      </w:r>
      <w:r>
        <w:t xml:space="preserve">— generic errors, no account enumeration, no permissive defaults.</w:t>
      </w:r>
    </w:p>
    <w:p>
      <w:pPr>
        <w:pStyle w:val="Compact"/>
        <w:numPr>
          <w:ilvl w:val="0"/>
          <w:numId w:val="1002"/>
        </w:numPr>
      </w:pPr>
      <w:r>
        <w:rPr>
          <w:b/>
          <w:bCs/>
        </w:rPr>
        <w:t xml:space="preserve">Concurrency</w:t>
      </w:r>
      <w:r>
        <w:t xml:space="preserve"> </w:t>
      </w:r>
      <w:r>
        <w:t xml:space="preserve">— make check-then-act sequences atomic.</w:t>
      </w:r>
    </w:p>
    <w:p>
      <w:pPr>
        <w:pStyle w:val="Compact"/>
        <w:numPr>
          <w:ilvl w:val="0"/>
          <w:numId w:val="1002"/>
        </w:numPr>
      </w:pPr>
      <w:r>
        <w:rPr>
          <w:b/>
          <w:bCs/>
        </w:rPr>
        <w:t xml:space="preserve">Prefer the platform</w:t>
      </w:r>
      <w:r>
        <w:t xml:space="preserve"> </w:t>
      </w:r>
      <w:r>
        <w:t xml:space="preserve">— use built-in proven mechanisms and verified dependencies.</w:t>
      </w:r>
    </w:p>
    <w:p>
      <w:pPr>
        <w:pStyle w:val="FirstParagraph"/>
      </w:pPr>
      <w:r>
        <w:t xml:space="preserve">To measure whether each rule worked, every CWE a reviewer reported is assigned to the one rule that most directly forbids it (</w:t>
      </w:r>
      <w:hyperlink w:anchor="tbl-rules">
        <w:r>
          <w:rPr>
            <w:rStyle w:val="Hyperlink"/>
          </w:rPr>
          <w:t xml:space="preserve">Table 1</w:t>
        </w:r>
      </w:hyperlink>
      <w:r>
        <w:t xml:space="preserve">). A CWE no rule addresses is counted as</w:t>
      </w:r>
      <w:r>
        <w:t xml:space="preserve"> </w:t>
      </w:r>
      <w:r>
        <w:rPr>
          <w:b/>
          <w:bCs/>
        </w:rPr>
        <w:t xml:space="preserve">No rule</w:t>
      </w:r>
      <w:r>
        <w:t xml:space="preserve">. The mapping covers 86.9% of all findings.</w:t>
      </w:r>
    </w:p>
    <w:p>
      <w:pPr>
        <w:pStyle w:val="BlockText"/>
      </w:pPr>
      <w:r>
        <w:rPr>
          <w:b/>
          <w:bCs/>
        </w:rPr>
        <w:t xml:space="preserve">[TEAM TO CONFIRM]</w:t>
      </w:r>
      <w:r>
        <w:t xml:space="preserve"> </w:t>
      </w:r>
      <w:r>
        <w:t xml:space="preserve">The CWE-to-rule mapping in</w:t>
      </w:r>
      <w:r>
        <w:t xml:space="preserve"> </w:t>
      </w:r>
      <w:hyperlink w:anchor="tbl-rules">
        <w:r>
          <w:rPr>
            <w:rStyle w:val="Hyperlink"/>
          </w:rPr>
          <w:t xml:space="preserve">Table 1</w:t>
        </w:r>
      </w:hyperlink>
      <w:r>
        <w:t xml:space="preserve"> </w:t>
      </w:r>
      <w:r>
        <w:t xml:space="preserve">is a draft. Some CWEs could sit under two rules (for example CWE-532, sensitive data in a log file, under rule 2 or rule 5); each is placed once, under the rule whose wording is closest.</w:t>
      </w:r>
    </w:p>
    <w:tbl>
      <w:tblPr>
        <w:tblStyle w:val="Table"/>
        <w:tblW w:type="pct" w:w="5000"/>
        <w:tblLayout w:type="fixed"/>
        <w:tblLook w:firstRow="0" w:lastRow="0" w:firstColumn="0" w:lastColumn="0" w:noHBand="0" w:noVBand="0" w:val="0000"/>
      </w:tblPr>
      <w:tblGrid>
        <w:gridCol w:w="7920"/>
      </w:tblGrid>
      <w:tr>
        <w:tc>
          <w:tcPr/>
          <w:bookmarkStart w:id="14" w:name="tbl-rules"/>
          <w:p>
            <w:pPr>
              <w:jc w:val="center"/>
            </w:pPr>
            <w:pPr>
              <w:jc w:val="left"/>
              <w:spacing w:before="200"/>
              <w:pStyle w:val="ImageCaption"/>
            </w:pPr>
            <w:r>
              <w:t xml:space="preserve">Table 1: The eight Security-informed rules and the CWEs assigned to them · All findings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rule</w:t>
                  </w:r>
                </w:p>
              </w:tc>
              <w:tc>
                <w:tcPr/>
                <w:p>
                  <w:pPr>
                    <w:pStyle w:val="Compact"/>
                    <w:jc w:val="left"/>
                    <w:jc w:val="center"/>
                  </w:pPr>
                  <w:r>
                    <w:t xml:space="preserve">CWEs</w:t>
                  </w:r>
                </w:p>
              </w:tc>
              <w:tc>
                <w:tcPr/>
                <w:p>
                  <w:pPr>
                    <w:pStyle w:val="Compact"/>
                    <w:jc w:val="right"/>
                    <w:jc w:val="center"/>
                  </w:pPr>
                  <w:r>
                    <w:t xml:space="preserve">findings</w:t>
                  </w:r>
                </w:p>
              </w:tc>
              <w:tc>
                <w:tcPr/>
                <w:p>
                  <w:pPr>
                    <w:pStyle w:val="Compact"/>
                    <w:jc w:val="right"/>
                    <w:jc w:val="center"/>
                  </w:pPr>
                  <w:r>
                    <w:t xml:space="preserve">% of all findings</w:t>
                  </w:r>
                </w:p>
              </w:tc>
            </w:tr>
            <w:tr>
              <w:tc>
                <w:tcPr/>
                <w:p>
                  <w:pPr>
                    <w:pStyle w:val="Compact"/>
                    <w:jc w:val="left"/>
                    <w:jc w:val="center"/>
                  </w:pPr>
                  <w:r>
                    <w:t xml:space="preserve">1 Trust boundaries</w:t>
                  </w:r>
                </w:p>
              </w:tc>
              <w:tc>
                <w:tcPr/>
                <w:p>
                  <w:pPr>
                    <w:pStyle w:val="Compact"/>
                    <w:jc w:val="left"/>
                    <w:jc w:val="center"/>
                  </w:pPr>
                  <w:r>
                    <w:t xml:space="preserve">CWE-15, CWE-20, CWE-22, CWE-59, CWE-89, CWE-116, CWE-117, CWE-178, CWE-290, CWE-345, CWE-807, CWE-1284</w:t>
                  </w:r>
                </w:p>
              </w:tc>
              <w:tc>
                <w:tcPr/>
                <w:p>
                  <w:pPr>
                    <w:pStyle w:val="Compact"/>
                    <w:jc w:val="right"/>
                    <w:jc w:val="center"/>
                  </w:pPr>
                  <w:r>
                    <w:t xml:space="preserve">99</w:t>
                  </w:r>
                </w:p>
              </w:tc>
              <w:tc>
                <w:tcPr/>
                <w:p>
                  <w:pPr>
                    <w:pStyle w:val="Compact"/>
                    <w:jc w:val="right"/>
                    <w:jc w:val="center"/>
                  </w:pPr>
                  <w:r>
                    <w:t xml:space="preserve">8.1</w:t>
                  </w:r>
                </w:p>
              </w:tc>
            </w:tr>
            <w:tr>
              <w:tc>
                <w:tcPr/>
                <w:p>
                  <w:pPr>
                    <w:pStyle w:val="Compact"/>
                    <w:jc w:val="left"/>
                    <w:jc w:val="center"/>
                  </w:pPr>
                  <w:r>
                    <w:t xml:space="preserve">2 Secrets</w:t>
                  </w:r>
                </w:p>
              </w:tc>
              <w:tc>
                <w:tcPr/>
                <w:p>
                  <w:pPr>
                    <w:pStyle w:val="Compact"/>
                    <w:jc w:val="left"/>
                    <w:jc w:val="center"/>
                  </w:pPr>
                  <w:r>
                    <w:t xml:space="preserve">CWE-214, CWE-256, CWE-321, CWE-323, CWE-522, CWE-526, CWE-798</w:t>
                  </w:r>
                </w:p>
              </w:tc>
              <w:tc>
                <w:tcPr/>
                <w:p>
                  <w:pPr>
                    <w:pStyle w:val="Compact"/>
                    <w:jc w:val="right"/>
                    <w:jc w:val="center"/>
                  </w:pPr>
                  <w:r>
                    <w:t xml:space="preserve">86</w:t>
                  </w:r>
                </w:p>
              </w:tc>
              <w:tc>
                <w:tcPr/>
                <w:p>
                  <w:pPr>
                    <w:pStyle w:val="Compact"/>
                    <w:jc w:val="right"/>
                    <w:jc w:val="center"/>
                  </w:pPr>
                  <w:r>
                    <w:t xml:space="preserve">7.1</w:t>
                  </w:r>
                </w:p>
              </w:tc>
            </w:tr>
            <w:tr>
              <w:tc>
                <w:tcPr/>
                <w:p>
                  <w:pPr>
                    <w:pStyle w:val="Compact"/>
                    <w:jc w:val="left"/>
                    <w:jc w:val="center"/>
                  </w:pPr>
                  <w:r>
                    <w:t xml:space="preserve">3 Authentication and access</w:t>
                  </w:r>
                </w:p>
              </w:tc>
              <w:tc>
                <w:tcPr/>
                <w:p>
                  <w:pPr>
                    <w:pStyle w:val="Compact"/>
                    <w:jc w:val="left"/>
                    <w:jc w:val="center"/>
                  </w:pPr>
                  <w:r>
                    <w:t xml:space="preserve">CWE-284, CWE-287, CWE-306, CWE-307, CWE-521, CWE-636, CWE-645, CWE-799, CWE-862</w:t>
                  </w:r>
                </w:p>
              </w:tc>
              <w:tc>
                <w:tcPr/>
                <w:p>
                  <w:pPr>
                    <w:pStyle w:val="Compact"/>
                    <w:jc w:val="right"/>
                    <w:jc w:val="center"/>
                  </w:pPr>
                  <w:r>
                    <w:t xml:space="preserve">207</w:t>
                  </w:r>
                </w:p>
              </w:tc>
              <w:tc>
                <w:tcPr/>
                <w:p>
                  <w:pPr>
                    <w:pStyle w:val="Compact"/>
                    <w:jc w:val="right"/>
                    <w:jc w:val="center"/>
                  </w:pPr>
                  <w:r>
                    <w:t xml:space="preserve">17.0</w:t>
                  </w:r>
                </w:p>
              </w:tc>
            </w:tr>
            <w:tr>
              <w:tc>
                <w:tcPr/>
                <w:p>
                  <w:pPr>
                    <w:pStyle w:val="Compact"/>
                    <w:jc w:val="left"/>
                    <w:jc w:val="center"/>
                  </w:pPr>
                  <w:r>
                    <w:t xml:space="preserve">4 Identifiers and tokens</w:t>
                  </w:r>
                </w:p>
              </w:tc>
              <w:tc>
                <w:tcPr/>
                <w:p>
                  <w:pPr>
                    <w:pStyle w:val="Compact"/>
                    <w:jc w:val="left"/>
                    <w:jc w:val="center"/>
                  </w:pPr>
                  <w:r>
                    <w:t xml:space="preserve">CWE-330, CWE-338, CWE-352, CWE-384, CWE-613, CWE-614, CWE-1004</w:t>
                  </w:r>
                </w:p>
              </w:tc>
              <w:tc>
                <w:tcPr/>
                <w:p>
                  <w:pPr>
                    <w:pStyle w:val="Compact"/>
                    <w:jc w:val="right"/>
                    <w:jc w:val="center"/>
                  </w:pPr>
                  <w:r>
                    <w:t xml:space="preserve">60</w:t>
                  </w:r>
                </w:p>
              </w:tc>
              <w:tc>
                <w:tcPr/>
                <w:p>
                  <w:pPr>
                    <w:pStyle w:val="Compact"/>
                    <w:jc w:val="right"/>
                    <w:jc w:val="center"/>
                  </w:pPr>
                  <w:r>
                    <w:t xml:space="preserve">4.9</w:t>
                  </w:r>
                </w:p>
              </w:tc>
            </w:tr>
            <w:tr>
              <w:tc>
                <w:tcPr/>
                <w:p>
                  <w:pPr>
                    <w:pStyle w:val="Compact"/>
                    <w:jc w:val="left"/>
                    <w:jc w:val="center"/>
                  </w:pPr>
                  <w:r>
                    <w:t xml:space="preserve">5 Sensitive data</w:t>
                  </w:r>
                </w:p>
              </w:tc>
              <w:tc>
                <w:tcPr/>
                <w:p>
                  <w:pPr>
                    <w:pStyle w:val="Compact"/>
                    <w:jc w:val="left"/>
                    <w:jc w:val="center"/>
                  </w:pPr>
                  <w:r>
                    <w:t xml:space="preserve">CWE-226, CWE-244, CWE-276, CWE-316, CWE-319, CWE-359, CWE-377, CWE-400, CWE-532, CWE-549, CWE-732, CWE-770, CWE-779</w:t>
                  </w:r>
                </w:p>
              </w:tc>
              <w:tc>
                <w:tcPr/>
                <w:p>
                  <w:pPr>
                    <w:pStyle w:val="Compact"/>
                    <w:jc w:val="right"/>
                    <w:jc w:val="center"/>
                  </w:pPr>
                  <w:r>
                    <w:t xml:space="preserve">339</w:t>
                  </w:r>
                </w:p>
              </w:tc>
              <w:tc>
                <w:tcPr/>
                <w:p>
                  <w:pPr>
                    <w:pStyle w:val="Compact"/>
                    <w:jc w:val="right"/>
                    <w:jc w:val="center"/>
                  </w:pPr>
                  <w:r>
                    <w:t xml:space="preserve">27.9</w:t>
                  </w:r>
                </w:p>
              </w:tc>
            </w:tr>
            <w:tr>
              <w:tc>
                <w:tcPr/>
                <w:p>
                  <w:pPr>
                    <w:pStyle w:val="Compact"/>
                    <w:jc w:val="left"/>
                    <w:jc w:val="center"/>
                  </w:pPr>
                  <w:r>
                    <w:t xml:space="preserve">6 Failure behaviour</w:t>
                  </w:r>
                </w:p>
              </w:tc>
              <w:tc>
                <w:tcPr/>
                <w:p>
                  <w:pPr>
                    <w:pStyle w:val="Compact"/>
                    <w:jc w:val="left"/>
                    <w:jc w:val="center"/>
                  </w:pPr>
                  <w:r>
                    <w:t xml:space="preserve">CWE-200, CWE-203, CWE-204, CWE-208, CWE-209, CWE-754, CWE-1188</w:t>
                  </w:r>
                </w:p>
              </w:tc>
              <w:tc>
                <w:tcPr/>
                <w:p>
                  <w:pPr>
                    <w:pStyle w:val="Compact"/>
                    <w:jc w:val="right"/>
                    <w:jc w:val="center"/>
                  </w:pPr>
                  <w:r>
                    <w:t xml:space="preserve">121</w:t>
                  </w:r>
                </w:p>
              </w:tc>
              <w:tc>
                <w:tcPr/>
                <w:p>
                  <w:pPr>
                    <w:pStyle w:val="Compact"/>
                    <w:jc w:val="right"/>
                    <w:jc w:val="center"/>
                  </w:pPr>
                  <w:r>
                    <w:t xml:space="preserve">9.9</w:t>
                  </w:r>
                </w:p>
              </w:tc>
            </w:tr>
            <w:tr>
              <w:tc>
                <w:tcPr/>
                <w:p>
                  <w:pPr>
                    <w:pStyle w:val="Compact"/>
                    <w:jc w:val="left"/>
                    <w:jc w:val="center"/>
                  </w:pPr>
                  <w:r>
                    <w:t xml:space="preserve">7 Concurrency</w:t>
                  </w:r>
                </w:p>
              </w:tc>
              <w:tc>
                <w:tcPr/>
                <w:p>
                  <w:pPr>
                    <w:pStyle w:val="Compact"/>
                    <w:jc w:val="left"/>
                    <w:jc w:val="center"/>
                  </w:pPr>
                  <w:r>
                    <w:t xml:space="preserve">CWE-362, CWE-367</w:t>
                  </w:r>
                </w:p>
              </w:tc>
              <w:tc>
                <w:tcPr/>
                <w:p>
                  <w:pPr>
                    <w:pStyle w:val="Compact"/>
                    <w:jc w:val="right"/>
                    <w:jc w:val="center"/>
                  </w:pPr>
                  <w:r>
                    <w:t xml:space="preserve">67</w:t>
                  </w:r>
                </w:p>
              </w:tc>
              <w:tc>
                <w:tcPr/>
                <w:p>
                  <w:pPr>
                    <w:pStyle w:val="Compact"/>
                    <w:jc w:val="right"/>
                    <w:jc w:val="center"/>
                  </w:pPr>
                  <w:r>
                    <w:t xml:space="preserve">5.5</w:t>
                  </w:r>
                </w:p>
              </w:tc>
            </w:tr>
            <w:tr>
              <w:tc>
                <w:tcPr/>
                <w:p>
                  <w:pPr>
                    <w:pStyle w:val="Compact"/>
                    <w:jc w:val="left"/>
                    <w:jc w:val="center"/>
                  </w:pPr>
                  <w:r>
                    <w:t xml:space="preserve">8 Prefer the platform</w:t>
                  </w:r>
                </w:p>
              </w:tc>
              <w:tc>
                <w:tcPr/>
                <w:p>
                  <w:pPr>
                    <w:pStyle w:val="Compact"/>
                    <w:jc w:val="left"/>
                    <w:jc w:val="center"/>
                  </w:pPr>
                  <w:r>
                    <w:t xml:space="preserve">CWE-326, CWE-327, CWE-494, CWE-759, CWE-829, CWE-916, CWE-1395</w:t>
                  </w:r>
                </w:p>
              </w:tc>
              <w:tc>
                <w:tcPr/>
                <w:p>
                  <w:pPr>
                    <w:pStyle w:val="Compact"/>
                    <w:jc w:val="right"/>
                    <w:jc w:val="center"/>
                  </w:pPr>
                  <w:r>
                    <w:t xml:space="preserve">79</w:t>
                  </w:r>
                </w:p>
              </w:tc>
              <w:tc>
                <w:tcPr/>
                <w:p>
                  <w:pPr>
                    <w:pStyle w:val="Compact"/>
                    <w:jc w:val="right"/>
                    <w:jc w:val="center"/>
                  </w:pPr>
                  <w:r>
                    <w:t xml:space="preserve">6.5</w:t>
                  </w:r>
                </w:p>
              </w:tc>
            </w:tr>
            <w:tr>
              <w:tc>
                <w:tcPr/>
                <w:p>
                  <w:pPr>
                    <w:pStyle w:val="Compact"/>
                    <w:jc w:val="left"/>
                    <w:jc w:val="center"/>
                  </w:pPr>
                  <w:r>
                    <w:t xml:space="preserve">No rule</w:t>
                  </w:r>
                </w:p>
              </w:tc>
              <w:tc>
                <w:tcPr/>
                <w:p>
                  <w:pPr>
                    <w:pStyle w:val="Compact"/>
                    <w:jc w:val="left"/>
                    <w:jc w:val="center"/>
                  </w:pPr>
                  <w:r>
                    <w:t xml:space="preserve">every CWE not listed above</w:t>
                  </w:r>
                </w:p>
              </w:tc>
              <w:tc>
                <w:tcPr/>
                <w:p>
                  <w:pPr>
                    <w:pStyle w:val="Compact"/>
                    <w:jc w:val="right"/>
                    <w:jc w:val="center"/>
                  </w:pPr>
                  <w:r>
                    <w:t xml:space="preserve">159</w:t>
                  </w:r>
                </w:p>
              </w:tc>
              <w:tc>
                <w:tcPr/>
                <w:p>
                  <w:pPr>
                    <w:pStyle w:val="Compact"/>
                    <w:jc w:val="right"/>
                    <w:jc w:val="center"/>
                  </w:pPr>
                  <w:r>
                    <w:t xml:space="preserve">13.1</w:t>
                  </w:r>
                </w:p>
              </w:tc>
            </w:tr>
          </w:tbl>
          <w:bookmarkEnd w:id="14"/>
          <w:p/>
        </w:tc>
      </w:tr>
    </w:tbl>
    <w:p>
      <w:pPr>
        <w:pStyle w:val="BodyText"/>
      </w:pPr>
      <w:r>
        <w:t xml:space="preserve">The Security-informed prompt was therefore written</w:t>
      </w:r>
      <w:r>
        <w:t xml:space="preserve"> </w:t>
      </w:r>
      <w:r>
        <w:rPr>
          <w:b/>
          <w:bCs/>
        </w:rPr>
        <w:t xml:space="preserve">after</w:t>
      </w:r>
      <w:r>
        <w:t xml:space="preserve"> </w:t>
      </w:r>
      <w:r>
        <w:t xml:space="preserve">Stage 1 and informed by it. It is a follow-up intervention, not an independently pre-registered third treatment, and its results should be read that way. The multi-turn/few-shot condition originally proposed was replaced because of runtime cost, and because feeding a reviewer’s fixes back into the same code would test patch application rather than better first-time generation.</w:t>
      </w:r>
    </w:p>
    <w:bookmarkEnd w:id="15"/>
    <w:bookmarkStart w:id="20" w:name="Xbfb549eaaf4af30a990eef6e91f77ae57aec9a5"/>
    <w:p>
      <w:pPr>
        <w:pStyle w:val="Heading3"/>
      </w:pPr>
      <w:r>
        <w:t xml:space="preserve">2.5 Stage 2: Security-informed and cross-review</w:t>
      </w:r>
    </w:p>
    <w:p>
      <w:pPr>
        <w:pStyle w:val="FirstParagraph"/>
      </w:pPr>
      <w:r>
        <w:t xml:space="preserve">One prompt author wrote the six Security-informed task prompts. Six tasks × four assistants gives</w:t>
      </w:r>
      <w:r>
        <w:t xml:space="preserve"> </w:t>
      </w:r>
      <w:r>
        <w:rPr>
          <w:b/>
          <w:bCs/>
        </w:rPr>
        <w:t xml:space="preserve">24 programs</w:t>
      </w:r>
      <w:r>
        <w:t xml:space="preserve">. Every program was reviewed by</w:t>
      </w:r>
      <w:r>
        <w:t xml:space="preserve"> </w:t>
      </w:r>
      <w:r>
        <w:rPr>
          <w:b/>
          <w:bCs/>
        </w:rPr>
        <w:t xml:space="preserve">all four</w:t>
      </w:r>
      <w:r>
        <w:t xml:space="preserve"> </w:t>
      </w:r>
      <w:r>
        <w:t xml:space="preserve">reviewers, giving 96 reviews: 24 self-reviews and 72 external reviews. This four-by-four design lets the same code be compared across reviewers, and the same reviewer be compared across generators.</w:t>
      </w:r>
    </w:p>
    <w:tbl>
      <w:tblPr>
        <w:tblStyle w:val="Table"/>
        <w:tblW w:type="pct" w:w="5000"/>
        <w:tblLayout w:type="fixed"/>
        <w:tblLook w:firstRow="0" w:lastRow="0" w:firstColumn="0" w:lastColumn="0" w:noHBand="0" w:noVBand="0" w:val="0000"/>
      </w:tblPr>
      <w:tblGrid>
        <w:gridCol w:w="7920"/>
      </w:tblGrid>
      <w:tr>
        <w:tc>
          <w:tcPr/>
          <w:bookmarkStart w:id="19" w:name="fig-design"/>
          <w:p>
            <w:pPr>
              <w:pStyle w:val="Compact"/>
              <w:jc w:val="center"/>
            </w:pPr>
            <w:r>
              <w:drawing>
                <wp:inline>
                  <wp:extent cx="5334000" cy="1832978"/>
                  <wp:effectExtent b="0" l="0" r="0" t="0"/>
                  <wp:docPr descr="" title="" id="17" name="Picture"/>
                  <a:graphic>
                    <a:graphicData uri="http://schemas.openxmlformats.org/drawingml/2006/picture">
                      <pic:pic>
                        <pic:nvPicPr>
                          <pic:cNvPr descr="report_files/figure-docx/fig-design-output-1.png" id="18" name="Picture"/>
                          <pic:cNvPicPr>
                            <a:picLocks noChangeArrowheads="1" noChangeAspect="1"/>
                          </pic:cNvPicPr>
                        </pic:nvPicPr>
                        <pic:blipFill>
                          <a:blip r:embed="rId16"/>
                          <a:stretch>
                            <a:fillRect/>
                          </a:stretch>
                        </pic:blipFill>
                        <pic:spPr bwMode="auto">
                          <a:xfrm>
                            <a:off x="0" y="0"/>
                            <a:ext cx="5334000" cy="183297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Study design · Stage 1, the eight rules, Stage 2</w:t>
            </w:r>
          </w:p>
          <w:bookmarkEnd w:id="19"/>
        </w:tc>
      </w:tr>
    </w:tbl>
    <w:bookmarkEnd w:id="20"/>
    <w:bookmarkStart w:id="21" w:name="which-reviews-each-comparison-uses"/>
    <w:p>
      <w:pPr>
        <w:pStyle w:val="Heading3"/>
      </w:pPr>
      <w:r>
        <w:t xml:space="preserve">2.6 Which reviews each comparison uses</w:t>
      </w:r>
    </w:p>
    <w:p>
      <w:pPr>
        <w:pStyle w:val="FirstParagraph"/>
      </w:pPr>
      <w:r>
        <w:t xml:space="preserve">The two stages do not share the same reviews, so this report uses two fixed selections and every figure and table states which:</w:t>
      </w:r>
    </w:p>
    <w:p>
      <w:pPr>
        <w:pStyle w:val="Compact"/>
        <w:numPr>
          <w:ilvl w:val="0"/>
          <w:numId w:val="1003"/>
        </w:numPr>
      </w:pPr>
      <w:r>
        <w:rPr>
          <w:b/>
          <w:bCs/>
        </w:rPr>
        <w:t xml:space="preserve">Self-review, all three conditions.</w:t>
      </w:r>
      <w:r>
        <w:t xml:space="preserve"> </w:t>
      </w:r>
      <w:r>
        <w:t xml:space="preserve">Stage 1 only has self-reviews. The only like-for-like comparison of Basic, Security-aware and Security-informed is therefore each assistant reviewing its own code: 48, 48 and 24 reviews. All of</w:t>
      </w:r>
      <w:r>
        <w:t xml:space="preserve"> </w:t>
      </w:r>
      <w:hyperlink w:anchor="sec-three-conditions">
        <w:r>
          <w:rPr>
            <w:rStyle w:val="Hyperlink"/>
          </w:rPr>
          <w:t xml:space="preserve">Section 4</w:t>
        </w:r>
      </w:hyperlink>
      <w:r>
        <w:t xml:space="preserve"> </w:t>
      </w:r>
      <w:r>
        <w:t xml:space="preserve">uses these.</w:t>
      </w:r>
    </w:p>
    <w:p>
      <w:pPr>
        <w:pStyle w:val="Compact"/>
        <w:numPr>
          <w:ilvl w:val="0"/>
          <w:numId w:val="1003"/>
        </w:numPr>
      </w:pPr>
      <w:r>
        <w:rPr>
          <w:b/>
          <w:bCs/>
        </w:rPr>
        <w:t xml:space="preserve">Security-informed, all four reviewers.</w:t>
      </w:r>
      <w:r>
        <w:t xml:space="preserve"> </w:t>
      </w:r>
      <w:r>
        <w:t xml:space="preserve">Questions about reviewers (RQ2 with the reviewer held fixed, and RQ3) can only be answered in Stage 2, where every program has all four reviews. All of</w:t>
      </w:r>
      <w:r>
        <w:t xml:space="preserve"> </w:t>
      </w:r>
      <w:hyperlink w:anchor="sec-stage-2">
        <w:r>
          <w:rPr>
            <w:rStyle w:val="Hyperlink"/>
          </w:rPr>
          <w:t xml:space="preserve">Section 5</w:t>
        </w:r>
      </w:hyperlink>
      <w:r>
        <w:t xml:space="preserve"> </w:t>
      </w:r>
      <w:r>
        <w:t xml:space="preserve">uses these.</w:t>
      </w:r>
    </w:p>
    <w:p>
      <w:pPr>
        <w:pStyle w:val="FirstParagraph"/>
      </w:pPr>
      <w:r>
        <w:t xml:space="preserve">Mixing the two would flatter or penalise Security-informed depending on the measure, because the three external reviewers do not report the same way as the self-reviewer.</w:t>
      </w:r>
    </w:p>
    <w:bookmarkEnd w:id="21"/>
    <w:bookmarkStart w:id="27" w:name="data-counting-units-and-checks"/>
    <w:p>
      <w:pPr>
        <w:pStyle w:val="Heading3"/>
      </w:pPr>
      <w:r>
        <w:t xml:space="preserve">2.7 Data, counting units and checks</w:t>
      </w:r>
    </w:p>
    <w:p>
      <w:pPr>
        <w:pStyle w:val="FirstParagraph"/>
      </w:pPr>
      <w:r>
        <w:t xml:space="preserve">Findings were transcribed from each</w:t>
      </w:r>
      <w:r>
        <w:t xml:space="preserve"> </w:t>
      </w:r>
      <w:r>
        <w:rPr>
          <w:rStyle w:val="VerbatimChar"/>
        </w:rPr>
        <w:t xml:space="preserve">security_review.md</w:t>
      </w:r>
      <w:r>
        <w:t xml:space="preserve"> </w:t>
      </w:r>
      <w:r>
        <w:t xml:space="preserve">into the two project workbooks, reconciled cell by cell against the review files, and exported to</w:t>
      </w:r>
      <w:r>
        <w:t xml:space="preserve"> </w:t>
      </w:r>
      <w:r>
        <w:rPr>
          <w:rStyle w:val="VerbatimChar"/>
        </w:rPr>
        <w:t xml:space="preserve">findings.csv</w:t>
      </w:r>
      <w:r>
        <w:t xml:space="preserve"> </w:t>
      </w:r>
      <w:r>
        <w:t xml:space="preserve">with one row per finding and one empty row per review that found nothing. Each finding’s OWASP Top 10:2025 category is derived from its CWE using the official OWASP CWE list; a CWE outside that list is</w:t>
      </w:r>
      <w:r>
        <w:t xml:space="preserve"> </w:t>
      </w:r>
      <w:r>
        <w:rPr>
          <w:b/>
          <w:bCs/>
        </w:rPr>
        <w:t xml:space="preserve">Unmapped</w:t>
      </w:r>
      <w:r>
        <w:t xml:space="preserve">.</w:t>
      </w:r>
    </w:p>
    <w:p>
      <w:pPr>
        <w:pStyle w:val="Compact"/>
        <w:numPr>
          <w:ilvl w:val="0"/>
          <w:numId w:val="1004"/>
        </w:numPr>
      </w:pPr>
      <w:r>
        <w:t xml:space="preserve">A</w:t>
      </w:r>
      <w:r>
        <w:t xml:space="preserve"> </w:t>
      </w:r>
      <w:r>
        <w:rPr>
          <w:b/>
          <w:bCs/>
        </w:rPr>
        <w:t xml:space="preserve">program</w:t>
      </w:r>
      <w:r>
        <w:t xml:space="preserve"> </w:t>
      </w:r>
      <w:r>
        <w:t xml:space="preserve">is one piece of generated code: generator, author folder, task and prompt.</w:t>
      </w:r>
    </w:p>
    <w:p>
      <w:pPr>
        <w:pStyle w:val="Compact"/>
        <w:numPr>
          <w:ilvl w:val="0"/>
          <w:numId w:val="1004"/>
        </w:numPr>
      </w:pPr>
      <w:r>
        <w:t xml:space="preserve">A</w:t>
      </w:r>
      <w:r>
        <w:t xml:space="preserve"> </w:t>
      </w:r>
      <w:r>
        <w:rPr>
          <w:b/>
          <w:bCs/>
        </w:rPr>
        <w:t xml:space="preserve">review</w:t>
      </w:r>
      <w:r>
        <w:t xml:space="preserve"> </w:t>
      </w:r>
      <w:r>
        <w:t xml:space="preserve">is one reviewer reading one program.</w:t>
      </w:r>
    </w:p>
    <w:p>
      <w:pPr>
        <w:pStyle w:val="Compact"/>
        <w:numPr>
          <w:ilvl w:val="0"/>
          <w:numId w:val="1004"/>
        </w:numPr>
      </w:pPr>
      <w:r>
        <w:t xml:space="preserve">A</w:t>
      </w:r>
      <w:r>
        <w:t xml:space="preserve"> </w:t>
      </w:r>
      <w:r>
        <w:rPr>
          <w:b/>
          <w:bCs/>
        </w:rPr>
        <w:t xml:space="preserve">finding</w:t>
      </w:r>
      <w:r>
        <w:t xml:space="preserve"> </w:t>
      </w:r>
      <w:r>
        <w:t xml:space="preserve">is one issue row in a review. A finding ID such as</w:t>
      </w:r>
      <w:r>
        <w:t xml:space="preserve"> </w:t>
      </w:r>
      <w:r>
        <w:rPr>
          <w:rStyle w:val="VerbatimChar"/>
        </w:rPr>
        <w:t xml:space="preserve">SEC-01</w:t>
      </w:r>
      <w:r>
        <w:t xml:space="preserve"> </w:t>
      </w:r>
      <w:r>
        <w:t xml:space="preserve">is local to its review.</w:t>
      </w:r>
    </w:p>
    <w:p>
      <w:pPr>
        <w:pStyle w:val="FirstParagraph"/>
      </w:pPr>
      <w:r>
        <w:t xml:space="preserve">The corpus is complete. Every planned program and review exists, no finding lacks a CWE, and there are no duplicate rows. Seven reviews reported no findings, each confirmed by an explicit</w:t>
      </w:r>
      <w:r>
        <w:t xml:space="preserve"> </w:t>
      </w:r>
      <w:r>
        <w:t xml:space="preserve">“no vulnerabilities were found”</w:t>
      </w:r>
      <w:r>
        <w:t xml:space="preserve"> </w:t>
      </w:r>
      <w:r>
        <w:t xml:space="preserve">statement in the review file: one Security-aware self-review and two Security-informed self-reviews, all Codex reviewing its own code, plus four Antigravity external reviews. Eight findings carry a non-standard severity such as</w:t>
      </w:r>
      <w:r>
        <w:t xml:space="preserve"> </w:t>
      </w:r>
      <w:r>
        <w:t xml:space="preserve">“Medium-High”</w:t>
      </w:r>
      <w:r>
        <w:t xml:space="preserve"> </w:t>
      </w:r>
      <w:r>
        <w:t xml:space="preserve">or</w:t>
      </w:r>
      <w:r>
        <w:t xml:space="preserve"> </w:t>
      </w:r>
      <w:r>
        <w:t xml:space="preserve">“Informational”</w:t>
      </w:r>
      <w:r>
        <w:t xml:space="preserve">; they are shown as</w:t>
      </w:r>
      <w:r>
        <w:t xml:space="preserve"> </w:t>
      </w:r>
      <w:r>
        <w:rPr>
          <w:b/>
          <w:bCs/>
        </w:rPr>
        <w:t xml:space="preserve">Other</w:t>
      </w:r>
      <w:r>
        <w:t xml:space="preserve"> </w:t>
      </w:r>
      <w:r>
        <w:t xml:space="preserve">and not counted as High/Critical. The companion notebook</w:t>
      </w:r>
      <w:r>
        <w:t xml:space="preserve"> </w:t>
      </w:r>
      <w:r>
        <w:rPr>
          <w:rStyle w:val="VerbatimChar"/>
        </w:rPr>
        <w:t xml:space="preserve">CSI6224_Security_Analysis.ipynb</w:t>
      </w:r>
      <w:r>
        <w:t xml:space="preserve"> </w:t>
      </w:r>
      <w:r>
        <w:t xml:space="preserve">checks</w:t>
      </w:r>
      <w:r>
        <w:t xml:space="preserve"> </w:t>
      </w:r>
      <w:r>
        <w:rPr>
          <w:rStyle w:val="VerbatimChar"/>
        </w:rPr>
        <w:t xml:space="preserve">findings.csv</w:t>
      </w:r>
      <w:r>
        <w:t xml:space="preserve"> </w:t>
      </w:r>
      <w:r>
        <w:t xml:space="preserve">against the workbooks and recomputes every number in this report.</w:t>
      </w:r>
    </w:p>
    <w:tbl>
      <w:tblPr>
        <w:tblStyle w:val="Table"/>
        <w:tblW w:type="pct" w:w="5000"/>
        <w:tblLayout w:type="fixed"/>
        <w:tblLook w:firstRow="0" w:lastRow="0" w:firstColumn="0" w:lastColumn="0" w:noHBand="0" w:noVBand="0" w:val="0000"/>
      </w:tblPr>
      <w:tblGrid>
        <w:gridCol w:w="7920"/>
      </w:tblGrid>
      <w:tr>
        <w:tc>
          <w:tcPr/>
          <w:bookmarkStart w:id="22" w:name="tbl-accounting"/>
          <w:p>
            <w:pPr>
              <w:jc w:val="center"/>
            </w:pPr>
            <w:pPr>
              <w:jc w:val="left"/>
              <w:spacing w:before="200"/>
              <w:pStyle w:val="ImageCaption"/>
            </w:pPr>
            <w:r>
              <w:t xml:space="preserve">Table 2: Programs, reviews and findings · All three conditions, all reviews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condition</w:t>
                  </w:r>
                </w:p>
              </w:tc>
              <w:tc>
                <w:tcPr/>
                <w:p>
                  <w:pPr>
                    <w:pStyle w:val="Compact"/>
                    <w:jc w:val="left"/>
                    <w:jc w:val="center"/>
                  </w:pPr>
                  <w:r>
                    <w:t xml:space="preserve">stage</w:t>
                  </w:r>
                </w:p>
              </w:tc>
              <w:tc>
                <w:tcPr/>
                <w:p>
                  <w:pPr>
                    <w:pStyle w:val="Compact"/>
                    <w:jc w:val="right"/>
                    <w:jc w:val="center"/>
                  </w:pPr>
                  <w:r>
                    <w:t xml:space="preserve">programs</w:t>
                  </w:r>
                </w:p>
              </w:tc>
              <w:tc>
                <w:tcPr/>
                <w:p>
                  <w:pPr>
                    <w:pStyle w:val="Compact"/>
                    <w:jc w:val="right"/>
                    <w:jc w:val="center"/>
                  </w:pPr>
                  <w:r>
                    <w:t xml:space="preserve">self-reviews</w:t>
                  </w:r>
                </w:p>
              </w:tc>
              <w:tc>
                <w:tcPr/>
                <w:p>
                  <w:pPr>
                    <w:pStyle w:val="Compact"/>
                    <w:jc w:val="right"/>
                    <w:jc w:val="center"/>
                  </w:pPr>
                  <w:r>
                    <w:t xml:space="preserve">external reviews</w:t>
                  </w:r>
                </w:p>
              </w:tc>
              <w:tc>
                <w:tcPr/>
                <w:p>
                  <w:pPr>
                    <w:pStyle w:val="Compact"/>
                    <w:jc w:val="right"/>
                    <w:jc w:val="center"/>
                  </w:pPr>
                  <w:r>
                    <w:t xml:space="preserve">reviews with no findings</w:t>
                  </w:r>
                </w:p>
              </w:tc>
              <w:tc>
                <w:tcPr/>
                <w:p>
                  <w:pPr>
                    <w:pStyle w:val="Compact"/>
                    <w:jc w:val="right"/>
                    <w:jc w:val="center"/>
                  </w:pPr>
                  <w:r>
                    <w:t xml:space="preserve">findings</w:t>
                  </w:r>
                </w:p>
              </w:tc>
            </w:tr>
            <w:tr>
              <w:tc>
                <w:tcPr/>
                <w:p>
                  <w:pPr>
                    <w:pStyle w:val="Compact"/>
                    <w:jc w:val="left"/>
                    <w:jc w:val="center"/>
                  </w:pPr>
                  <w:r>
                    <w:t xml:space="preserve">Basic</w:t>
                  </w:r>
                </w:p>
              </w:tc>
              <w:tc>
                <w:tcPr/>
                <w:p>
                  <w:pPr>
                    <w:pStyle w:val="Compact"/>
                    <w:jc w:val="left"/>
                    <w:jc w:val="center"/>
                  </w:pPr>
                  <w:r>
                    <w:t xml:space="preserve">Stage 1</w:t>
                  </w:r>
                </w:p>
              </w:tc>
              <w:tc>
                <w:tcPr/>
                <w:p>
                  <w:pPr>
                    <w:pStyle w:val="Compact"/>
                    <w:jc w:val="right"/>
                    <w:jc w:val="center"/>
                  </w:pPr>
                  <w:r>
                    <w:t xml:space="preserve">48</w:t>
                  </w:r>
                </w:p>
              </w:tc>
              <w:tc>
                <w:tcPr/>
                <w:p>
                  <w:pPr>
                    <w:pStyle w:val="Compact"/>
                    <w:jc w:val="right"/>
                    <w:jc w:val="center"/>
                  </w:pPr>
                  <w:r>
                    <w:t xml:space="preserve">48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300</w:t>
                  </w:r>
                </w:p>
              </w:tc>
            </w:tr>
            <w:tr>
              <w:tc>
                <w:tcPr/>
                <w:p>
                  <w:pPr>
                    <w:pStyle w:val="Compact"/>
                    <w:jc w:val="left"/>
                    <w:jc w:val="center"/>
                  </w:pPr>
                  <w:r>
                    <w:t xml:space="preserve">Security-aware</w:t>
                  </w:r>
                </w:p>
              </w:tc>
              <w:tc>
                <w:tcPr/>
                <w:p>
                  <w:pPr>
                    <w:pStyle w:val="Compact"/>
                    <w:jc w:val="left"/>
                    <w:jc w:val="center"/>
                  </w:pPr>
                  <w:r>
                    <w:t xml:space="preserve">Stage 1</w:t>
                  </w:r>
                </w:p>
              </w:tc>
              <w:tc>
                <w:tcPr/>
                <w:p>
                  <w:pPr>
                    <w:pStyle w:val="Compact"/>
                    <w:jc w:val="right"/>
                    <w:jc w:val="center"/>
                  </w:pPr>
                  <w:r>
                    <w:t xml:space="preserve">48</w:t>
                  </w:r>
                </w:p>
              </w:tc>
              <w:tc>
                <w:tcPr/>
                <w:p>
                  <w:pPr>
                    <w:pStyle w:val="Compact"/>
                    <w:jc w:val="right"/>
                    <w:jc w:val="center"/>
                  </w:pPr>
                  <w:r>
                    <w:t xml:space="preserve">48</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315</w:t>
                  </w:r>
                </w:p>
              </w:tc>
            </w:tr>
            <w:tr>
              <w:tc>
                <w:tcPr/>
                <w:p>
                  <w:pPr>
                    <w:pStyle w:val="Compact"/>
                    <w:jc w:val="left"/>
                    <w:jc w:val="center"/>
                  </w:pPr>
                  <w:r>
                    <w:t xml:space="preserve">Security-informed</w:t>
                  </w:r>
                </w:p>
              </w:tc>
              <w:tc>
                <w:tcPr/>
                <w:p>
                  <w:pPr>
                    <w:pStyle w:val="Compact"/>
                    <w:jc w:val="left"/>
                    <w:jc w:val="center"/>
                  </w:pPr>
                  <w:r>
                    <w:t xml:space="preserve">Stage 2</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72</w:t>
                  </w:r>
                </w:p>
              </w:tc>
              <w:tc>
                <w:tcPr/>
                <w:p>
                  <w:pPr>
                    <w:pStyle w:val="Compact"/>
                    <w:jc w:val="right"/>
                    <w:jc w:val="center"/>
                  </w:pPr>
                  <w:r>
                    <w:t xml:space="preserve">6</w:t>
                  </w:r>
                </w:p>
              </w:tc>
              <w:tc>
                <w:tcPr/>
                <w:p>
                  <w:pPr>
                    <w:pStyle w:val="Compact"/>
                    <w:jc w:val="right"/>
                    <w:jc w:val="center"/>
                  </w:pPr>
                  <w:r>
                    <w:t xml:space="preserve">602</w:t>
                  </w:r>
                </w:p>
              </w:tc>
            </w:tr>
          </w:tbl>
          <w:bookmarkEnd w:id="22"/>
          <w:p/>
        </w:tc>
      </w:tr>
    </w:tbl>
    <w:tbl>
      <w:tblPr>
        <w:tblStyle w:val="Table"/>
        <w:tblW w:type="pct" w:w="5000"/>
        <w:tblLayout w:type="fixed"/>
        <w:tblLook w:firstRow="0" w:lastRow="0" w:firstColumn="0" w:lastColumn="0" w:noHBand="0" w:noVBand="0" w:val="0000"/>
      </w:tblPr>
      <w:tblGrid>
        <w:gridCol w:w="7920"/>
      </w:tblGrid>
      <w:tr>
        <w:tc>
          <w:tcPr/>
          <w:bookmarkStart w:id="26" w:name="fig-completeness"/>
          <w:p>
            <w:pPr>
              <w:pStyle w:val="Compact"/>
              <w:jc w:val="center"/>
            </w:pPr>
            <w:r>
              <w:drawing>
                <wp:inline>
                  <wp:extent cx="5334000" cy="1950024"/>
                  <wp:effectExtent b="0" l="0" r="0" t="0"/>
                  <wp:docPr descr="" title="" id="24" name="Picture"/>
                  <a:graphic>
                    <a:graphicData uri="http://schemas.openxmlformats.org/drawingml/2006/picture">
                      <pic:pic>
                        <pic:nvPicPr>
                          <pic:cNvPr descr="report_files/figure-docx/fig-completeness-output-1.png" id="25" name="Picture"/>
                          <pic:cNvPicPr>
                            <a:picLocks noChangeArrowheads="1" noChangeAspect="1"/>
                          </pic:cNvPicPr>
                        </pic:nvPicPr>
                        <pic:blipFill>
                          <a:blip r:embed="rId23"/>
                          <a:stretch>
                            <a:fillRect/>
                          </a:stretch>
                        </pic:blipFill>
                        <pic:spPr bwMode="auto">
                          <a:xfrm>
                            <a:off x="0" y="0"/>
                            <a:ext cx="5334000" cy="195002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Completed reviews per task and generator · All three conditions, all reviews</w:t>
            </w:r>
          </w:p>
          <w:bookmarkEnd w:id="26"/>
        </w:tc>
      </w:tr>
    </w:tbl>
    <w:p>
      <w:pPr>
        <w:pStyle w:val="BodyText"/>
      </w:pPr>
      <w:hyperlink w:anchor="fig-completeness">
        <w:r>
          <w:rPr>
            <w:rStyle w:val="Hyperlink"/>
          </w:rPr>
          <w:t xml:space="preserve">Figure 2</w:t>
        </w:r>
      </w:hyperlink>
      <w:r>
        <w:t xml:space="preserve"> </w:t>
      </w:r>
      <w:r>
        <w:t xml:space="preserve">shows two reviews in every Stage 1 cell (one per prompt author) and four in every Stage 2 cell (one per reviewer). A missing review would show as 0.</w:t>
      </w:r>
    </w:p>
    <w:bookmarkEnd w:id="27"/>
    <w:bookmarkEnd w:id="28"/>
    <w:bookmarkStart w:id="34" w:name="sec-stage-1"/>
    <w:p>
      <w:pPr>
        <w:pStyle w:val="Heading2"/>
      </w:pPr>
      <w:r>
        <w:t xml:space="preserve">3 Stage 1 results: Basic against Security-aware</w:t>
      </w:r>
    </w:p>
    <w:p>
      <w:pPr>
        <w:pStyle w:val="FirstParagraph"/>
      </w:pPr>
      <w:r>
        <w:t xml:space="preserve">Stage 1 is the one comparison in the study where the code is matched pair by pair. Each pair shares the prompt author, task and generator, so only the prompt differs. The measure is findings per review.</w:t>
      </w:r>
    </w:p>
    <w:tbl>
      <w:tblPr>
        <w:tblStyle w:val="Table"/>
        <w:tblW w:type="pct" w:w="5000"/>
        <w:tblLayout w:type="fixed"/>
        <w:tblLook w:firstRow="0" w:lastRow="0" w:firstColumn="0" w:lastColumn="0" w:noHBand="0" w:noVBand="0" w:val="0000"/>
      </w:tblPr>
      <w:tblGrid>
        <w:gridCol w:w="7920"/>
      </w:tblGrid>
      <w:tr>
        <w:tc>
          <w:tcPr/>
          <w:bookmarkStart w:id="29" w:name="tbl-paired"/>
          <w:p>
            <w:pPr>
              <w:jc w:val="center"/>
            </w:pPr>
            <w:pPr>
              <w:jc w:val="left"/>
              <w:spacing w:before="200"/>
              <w:pStyle w:val="ImageCaption"/>
            </w:pPr>
            <w:r>
              <w:t xml:space="preserve">Table 3: Paired difference in findings per review, overall and by generator · Basic and Security-aware, matched pairs, self-review</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jc w:val="center"/>
                  </w:pPr>
                  <w:r>
                    <w:t xml:space="preserve">scope</w:t>
                  </w:r>
                </w:p>
              </w:tc>
              <w:tc>
                <w:tcPr/>
                <w:p>
                  <w:pPr>
                    <w:pStyle w:val="Compact"/>
                    <w:jc w:val="right"/>
                    <w:jc w:val="center"/>
                  </w:pPr>
                  <w:r>
                    <w:t xml:space="preserve">pairs</w:t>
                  </w:r>
                </w:p>
              </w:tc>
              <w:tc>
                <w:tcPr/>
                <w:p>
                  <w:pPr>
                    <w:pStyle w:val="Compact"/>
                    <w:jc w:val="right"/>
                    <w:jc w:val="center"/>
                  </w:pPr>
                  <w:r>
                    <w:t xml:space="preserve">basic mean</w:t>
                  </w:r>
                </w:p>
              </w:tc>
              <w:tc>
                <w:tcPr/>
                <w:p>
                  <w:pPr>
                    <w:pStyle w:val="Compact"/>
                    <w:jc w:val="right"/>
                    <w:jc w:val="center"/>
                  </w:pPr>
                  <w:r>
                    <w:t xml:space="preserve">aware mean</w:t>
                  </w:r>
                </w:p>
              </w:tc>
              <w:tc>
                <w:tcPr/>
                <w:p>
                  <w:pPr>
                    <w:pStyle w:val="Compact"/>
                    <w:jc w:val="right"/>
                    <w:jc w:val="center"/>
                  </w:pPr>
                  <w:r>
                    <w:t xml:space="preserve">mean delta</w:t>
                  </w:r>
                </w:p>
              </w:tc>
              <w:tc>
                <w:tcPr/>
                <w:p>
                  <w:pPr>
                    <w:pStyle w:val="Compact"/>
                    <w:jc w:val="right"/>
                    <w:jc w:val="center"/>
                  </w:pPr>
                  <w:r>
                    <w:t xml:space="preserve">median delta</w:t>
                  </w:r>
                </w:p>
              </w:tc>
              <w:tc>
                <w:tcPr/>
                <w:p>
                  <w:pPr>
                    <w:pStyle w:val="Compact"/>
                    <w:jc w:val="right"/>
                    <w:jc w:val="center"/>
                  </w:pPr>
                  <w:r>
                    <w:t xml:space="preserve">fewer</w:t>
                  </w:r>
                </w:p>
              </w:tc>
              <w:tc>
                <w:tcPr/>
                <w:p>
                  <w:pPr>
                    <w:pStyle w:val="Compact"/>
                    <w:jc w:val="right"/>
                    <w:jc w:val="center"/>
                  </w:pPr>
                  <w:r>
                    <w:t xml:space="preserve">more</w:t>
                  </w:r>
                </w:p>
              </w:tc>
              <w:tc>
                <w:tcPr/>
                <w:p>
                  <w:pPr>
                    <w:pStyle w:val="Compact"/>
                    <w:jc w:val="right"/>
                    <w:jc w:val="center"/>
                  </w:pPr>
                  <w:r>
                    <w:t xml:space="preserve">ties</w:t>
                  </w:r>
                </w:p>
              </w:tc>
              <w:tc>
                <w:tcPr/>
                <w:p>
                  <w:pPr>
                    <w:pStyle w:val="Compact"/>
                    <w:jc w:val="right"/>
                    <w:jc w:val="center"/>
                  </w:pPr>
                  <w:r>
                    <w:t xml:space="preserve">CI low</w:t>
                  </w:r>
                </w:p>
              </w:tc>
              <w:tc>
                <w:tcPr/>
                <w:p>
                  <w:pPr>
                    <w:pStyle w:val="Compact"/>
                    <w:jc w:val="right"/>
                    <w:jc w:val="center"/>
                  </w:pPr>
                  <w:r>
                    <w:t xml:space="preserve">CI high</w:t>
                  </w:r>
                </w:p>
              </w:tc>
            </w:tr>
            <w:tr>
              <w:tc>
                <w:tcPr/>
                <w:p>
                  <w:pPr>
                    <w:pStyle w:val="Compact"/>
                    <w:jc w:val="left"/>
                    <w:jc w:val="center"/>
                  </w:pPr>
                  <w:r>
                    <w:t xml:space="preserve">all</w:t>
                  </w:r>
                </w:p>
              </w:tc>
              <w:tc>
                <w:tcPr/>
                <w:p>
                  <w:pPr>
                    <w:pStyle w:val="Compact"/>
                    <w:jc w:val="right"/>
                    <w:jc w:val="center"/>
                  </w:pPr>
                  <w:r>
                    <w:t xml:space="preserve">48</w:t>
                  </w:r>
                </w:p>
              </w:tc>
              <w:tc>
                <w:tcPr/>
                <w:p>
                  <w:pPr>
                    <w:pStyle w:val="Compact"/>
                    <w:jc w:val="right"/>
                    <w:jc w:val="center"/>
                  </w:pPr>
                  <w:r>
                    <w:t xml:space="preserve">6.25</w:t>
                  </w:r>
                </w:p>
              </w:tc>
              <w:tc>
                <w:tcPr/>
                <w:p>
                  <w:pPr>
                    <w:pStyle w:val="Compact"/>
                    <w:jc w:val="right"/>
                    <w:jc w:val="center"/>
                  </w:pPr>
                  <w:r>
                    <w:t xml:space="preserve">6.56</w:t>
                  </w:r>
                </w:p>
              </w:tc>
              <w:tc>
                <w:tcPr/>
                <w:p>
                  <w:pPr>
                    <w:pStyle w:val="Compact"/>
                    <w:jc w:val="right"/>
                    <w:jc w:val="center"/>
                  </w:pPr>
                  <w:r>
                    <w:t xml:space="preserve">0.31</w:t>
                  </w:r>
                </w:p>
              </w:tc>
              <w:tc>
                <w:tcPr/>
                <w:p>
                  <w:pPr>
                    <w:pStyle w:val="Compact"/>
                    <w:jc w:val="right"/>
                    <w:jc w:val="center"/>
                  </w:pPr>
                  <w:r>
                    <w:t xml:space="preserve">0.0</w:t>
                  </w:r>
                </w:p>
              </w:tc>
              <w:tc>
                <w:tcPr/>
                <w:p>
                  <w:pPr>
                    <w:pStyle w:val="Compact"/>
                    <w:jc w:val="right"/>
                    <w:jc w:val="center"/>
                  </w:pPr>
                  <w:r>
                    <w:t xml:space="preserve">18</w:t>
                  </w:r>
                </w:p>
              </w:tc>
              <w:tc>
                <w:tcPr/>
                <w:p>
                  <w:pPr>
                    <w:pStyle w:val="Compact"/>
                    <w:jc w:val="right"/>
                    <w:jc w:val="center"/>
                  </w:pPr>
                  <w:r>
                    <w:t xml:space="preserve">23</w:t>
                  </w:r>
                </w:p>
              </w:tc>
              <w:tc>
                <w:tcPr/>
                <w:p>
                  <w:pPr>
                    <w:pStyle w:val="Compact"/>
                    <w:jc w:val="right"/>
                    <w:jc w:val="center"/>
                  </w:pPr>
                  <w:r>
                    <w:t xml:space="preserve">7</w:t>
                  </w:r>
                </w:p>
              </w:tc>
              <w:tc>
                <w:tcPr/>
                <w:p>
                  <w:pPr>
                    <w:pStyle w:val="Compact"/>
                    <w:jc w:val="right"/>
                    <w:jc w:val="center"/>
                  </w:pPr>
                  <w:r>
                    <w:t xml:space="preserve">-0.29</w:t>
                  </w:r>
                </w:p>
              </w:tc>
              <w:tc>
                <w:tcPr/>
                <w:p>
                  <w:pPr>
                    <w:pStyle w:val="Compact"/>
                    <w:jc w:val="right"/>
                    <w:jc w:val="center"/>
                  </w:pPr>
                  <w:r>
                    <w:t xml:space="preserve">0.94</w:t>
                  </w:r>
                </w:p>
              </w:tc>
            </w:tr>
            <w:tr>
              <w:tc>
                <w:tcPr/>
                <w:p>
                  <w:pPr>
                    <w:pStyle w:val="Compact"/>
                    <w:jc w:val="left"/>
                    <w:jc w:val="center"/>
                  </w:pPr>
                  <w:r>
                    <w:t xml:space="preserve">agy</w:t>
                  </w:r>
                </w:p>
              </w:tc>
              <w:tc>
                <w:tcPr/>
                <w:p>
                  <w:pPr>
                    <w:pStyle w:val="Compact"/>
                    <w:jc w:val="right"/>
                    <w:jc w:val="center"/>
                  </w:pPr>
                  <w:r>
                    <w:t xml:space="preserve">12</w:t>
                  </w:r>
                </w:p>
              </w:tc>
              <w:tc>
                <w:tcPr/>
                <w:p>
                  <w:pPr>
                    <w:pStyle w:val="Compact"/>
                    <w:jc w:val="right"/>
                    <w:jc w:val="center"/>
                  </w:pPr>
                  <w:r>
                    <w:t xml:space="preserve">6.33</w:t>
                  </w:r>
                </w:p>
              </w:tc>
              <w:tc>
                <w:tcPr/>
                <w:p>
                  <w:pPr>
                    <w:pStyle w:val="Compact"/>
                    <w:jc w:val="right"/>
                    <w:jc w:val="center"/>
                  </w:pPr>
                  <w:r>
                    <w:t xml:space="preserve">7.42</w:t>
                  </w:r>
                </w:p>
              </w:tc>
              <w:tc>
                <w:tcPr/>
                <w:p>
                  <w:pPr>
                    <w:pStyle w:val="Compact"/>
                    <w:jc w:val="right"/>
                    <w:jc w:val="center"/>
                  </w:pPr>
                  <w:r>
                    <w:t xml:space="preserve">1.08</w:t>
                  </w:r>
                </w:p>
              </w:tc>
              <w:tc>
                <w:tcPr/>
                <w:p>
                  <w:pPr>
                    <w:pStyle w:val="Compact"/>
                    <w:jc w:val="right"/>
                    <w:jc w:val="center"/>
                  </w:pPr>
                  <w:r>
                    <w:t xml:space="preserve">1.0</w:t>
                  </w:r>
                </w:p>
              </w:tc>
              <w:tc>
                <w:tcPr/>
                <w:p>
                  <w:pPr>
                    <w:pStyle w:val="Compact"/>
                    <w:jc w:val="right"/>
                    <w:jc w:val="center"/>
                  </w:pPr>
                  <w:r>
                    <w:t xml:space="preserve">2</w:t>
                  </w:r>
                </w:p>
              </w:tc>
              <w:tc>
                <w:tcPr/>
                <w:p>
                  <w:pPr>
                    <w:pStyle w:val="Compact"/>
                    <w:jc w:val="right"/>
                    <w:jc w:val="center"/>
                  </w:pPr>
                  <w:r>
                    <w:t xml:space="preserve">9</w:t>
                  </w:r>
                </w:p>
              </w:tc>
              <w:tc>
                <w:tcPr/>
                <w:p>
                  <w:pPr>
                    <w:pStyle w:val="Compact"/>
                    <w:jc w:val="right"/>
                    <w:jc w:val="center"/>
                  </w:pPr>
                  <w:r>
                    <w:t xml:space="preserve">1</w:t>
                  </w:r>
                </w:p>
              </w:tc>
              <w:tc>
                <w:tcPr/>
                <w:p>
                  <w:pPr>
                    <w:pStyle w:val="Compact"/>
                    <w:jc w:val="right"/>
                    <w:jc w:val="center"/>
                  </w:pPr>
                  <w:r>
                    <w:t xml:space="preserve">0.17</w:t>
                  </w:r>
                </w:p>
              </w:tc>
              <w:tc>
                <w:tcPr/>
                <w:p>
                  <w:pPr>
                    <w:pStyle w:val="Compact"/>
                    <w:jc w:val="right"/>
                    <w:jc w:val="center"/>
                  </w:pPr>
                  <w:r>
                    <w:t xml:space="preserve">1.92</w:t>
                  </w:r>
                </w:p>
              </w:tc>
            </w:tr>
            <w:tr>
              <w:tc>
                <w:tcPr/>
                <w:p>
                  <w:pPr>
                    <w:pStyle w:val="Compact"/>
                    <w:jc w:val="left"/>
                    <w:jc w:val="center"/>
                  </w:pPr>
                  <w:r>
                    <w:t xml:space="preserve">claude</w:t>
                  </w:r>
                </w:p>
              </w:tc>
              <w:tc>
                <w:tcPr/>
                <w:p>
                  <w:pPr>
                    <w:pStyle w:val="Compact"/>
                    <w:jc w:val="right"/>
                    <w:jc w:val="center"/>
                  </w:pPr>
                  <w:r>
                    <w:t xml:space="preserve">12</w:t>
                  </w:r>
                </w:p>
              </w:tc>
              <w:tc>
                <w:tcPr/>
                <w:p>
                  <w:pPr>
                    <w:pStyle w:val="Compact"/>
                    <w:jc w:val="right"/>
                    <w:jc w:val="center"/>
                  </w:pPr>
                  <w:r>
                    <w:t xml:space="preserve">5.5</w:t>
                  </w:r>
                </w:p>
              </w:tc>
              <w:tc>
                <w:tcPr/>
                <w:p>
                  <w:pPr>
                    <w:pStyle w:val="Compact"/>
                    <w:jc w:val="right"/>
                    <w:jc w:val="center"/>
                  </w:pPr>
                  <w:r>
                    <w:t xml:space="preserve">5.75</w:t>
                  </w:r>
                </w:p>
              </w:tc>
              <w:tc>
                <w:tcPr/>
                <w:p>
                  <w:pPr>
                    <w:pStyle w:val="Compact"/>
                    <w:jc w:val="right"/>
                    <w:jc w:val="center"/>
                  </w:pPr>
                  <w:r>
                    <w:t xml:space="preserve">0.25</w:t>
                  </w:r>
                </w:p>
              </w:tc>
              <w:tc>
                <w:tcPr/>
                <w:p>
                  <w:pPr>
                    <w:pStyle w:val="Compact"/>
                    <w:jc w:val="right"/>
                    <w:jc w:val="center"/>
                  </w:pPr>
                  <w:r>
                    <w:t xml:space="preserve">0.0</w:t>
                  </w:r>
                </w:p>
              </w:tc>
              <w:tc>
                <w:tcPr/>
                <w:p>
                  <w:pPr>
                    <w:pStyle w:val="Compact"/>
                    <w:jc w:val="right"/>
                    <w:jc w:val="center"/>
                  </w:pPr>
                  <w:r>
                    <w:t xml:space="preserve">3</w:t>
                  </w:r>
                </w:p>
              </w:tc>
              <w:tc>
                <w:tcPr/>
                <w:p>
                  <w:pPr>
                    <w:pStyle w:val="Compact"/>
                    <w:jc w:val="right"/>
                    <w:jc w:val="center"/>
                  </w:pPr>
                  <w:r>
                    <w:t xml:space="preserve">5</w:t>
                  </w:r>
                </w:p>
              </w:tc>
              <w:tc>
                <w:tcPr/>
                <w:p>
                  <w:pPr>
                    <w:pStyle w:val="Compact"/>
                    <w:jc w:val="right"/>
                    <w:jc w:val="center"/>
                  </w:pPr>
                  <w:r>
                    <w:t xml:space="preserve">4</w:t>
                  </w:r>
                </w:p>
              </w:tc>
              <w:tc>
                <w:tcPr/>
                <w:p>
                  <w:pPr>
                    <w:pStyle w:val="Compact"/>
                    <w:jc w:val="right"/>
                    <w:jc w:val="center"/>
                  </w:pPr>
                  <w:r>
                    <w:t xml:space="preserve">-0.83</w:t>
                  </w:r>
                </w:p>
              </w:tc>
              <w:tc>
                <w:tcPr/>
                <w:p>
                  <w:pPr>
                    <w:pStyle w:val="Compact"/>
                    <w:jc w:val="right"/>
                    <w:jc w:val="center"/>
                  </w:pPr>
                  <w:r>
                    <w:t xml:space="preserve">1.25</w:t>
                  </w:r>
                </w:p>
              </w:tc>
            </w:tr>
            <w:tr>
              <w:tc>
                <w:tcPr/>
                <w:p>
                  <w:pPr>
                    <w:pStyle w:val="Compact"/>
                    <w:jc w:val="left"/>
                    <w:jc w:val="center"/>
                  </w:pPr>
                  <w:r>
                    <w:t xml:space="preserve">codex</w:t>
                  </w:r>
                </w:p>
              </w:tc>
              <w:tc>
                <w:tcPr/>
                <w:p>
                  <w:pPr>
                    <w:pStyle w:val="Compact"/>
                    <w:jc w:val="right"/>
                    <w:jc w:val="center"/>
                  </w:pPr>
                  <w:r>
                    <w:t xml:space="preserve">12</w:t>
                  </w:r>
                </w:p>
              </w:tc>
              <w:tc>
                <w:tcPr/>
                <w:p>
                  <w:pPr>
                    <w:pStyle w:val="Compact"/>
                    <w:jc w:val="right"/>
                    <w:jc w:val="center"/>
                  </w:pPr>
                  <w:r>
                    <w:t xml:space="preserve">4.33</w:t>
                  </w:r>
                </w:p>
              </w:tc>
              <w:tc>
                <w:tcPr/>
                <w:p>
                  <w:pPr>
                    <w:pStyle w:val="Compact"/>
                    <w:jc w:val="right"/>
                    <w:jc w:val="center"/>
                  </w:pPr>
                  <w:r>
                    <w:t xml:space="preserve">3.58</w:t>
                  </w:r>
                </w:p>
              </w:tc>
              <w:tc>
                <w:tcPr/>
                <w:p>
                  <w:pPr>
                    <w:pStyle w:val="Compact"/>
                    <w:jc w:val="right"/>
                    <w:jc w:val="center"/>
                  </w:pPr>
                  <w:r>
                    <w:t xml:space="preserve">-0.75</w:t>
                  </w:r>
                </w:p>
              </w:tc>
              <w:tc>
                <w:tcPr/>
                <w:p>
                  <w:pPr>
                    <w:pStyle w:val="Compact"/>
                    <w:jc w:val="right"/>
                    <w:jc w:val="center"/>
                  </w:pPr>
                  <w:r>
                    <w:t xml:space="preserve">-1.0</w:t>
                  </w:r>
                </w:p>
              </w:tc>
              <w:tc>
                <w:tcPr/>
                <w:p>
                  <w:pPr>
                    <w:pStyle w:val="Compact"/>
                    <w:jc w:val="right"/>
                    <w:jc w:val="center"/>
                  </w:pPr>
                  <w:r>
                    <w:t xml:space="preserve">7</w:t>
                  </w:r>
                </w:p>
              </w:tc>
              <w:tc>
                <w:tcPr/>
                <w:p>
                  <w:pPr>
                    <w:pStyle w:val="Compact"/>
                    <w:jc w:val="right"/>
                    <w:jc w:val="center"/>
                  </w:pPr>
                  <w:r>
                    <w:t xml:space="preserve">4</w:t>
                  </w:r>
                </w:p>
              </w:tc>
              <w:tc>
                <w:tcPr/>
                <w:p>
                  <w:pPr>
                    <w:pStyle w:val="Compact"/>
                    <w:jc w:val="right"/>
                    <w:jc w:val="center"/>
                  </w:pPr>
                  <w:r>
                    <w:t xml:space="preserve">1</w:t>
                  </w:r>
                </w:p>
              </w:tc>
              <w:tc>
                <w:tcPr/>
                <w:p>
                  <w:pPr>
                    <w:pStyle w:val="Compact"/>
                    <w:jc w:val="right"/>
                    <w:jc w:val="center"/>
                  </w:pPr>
                  <w:r>
                    <w:t xml:space="preserve">-1.67</w:t>
                  </w:r>
                </w:p>
              </w:tc>
              <w:tc>
                <w:tcPr/>
                <w:p>
                  <w:pPr>
                    <w:pStyle w:val="Compact"/>
                    <w:jc w:val="right"/>
                    <w:jc w:val="center"/>
                  </w:pPr>
                  <w:r>
                    <w:t xml:space="preserve">0.17</w:t>
                  </w:r>
                </w:p>
              </w:tc>
            </w:tr>
            <w:tr>
              <w:tc>
                <w:tcPr/>
                <w:p>
                  <w:pPr>
                    <w:pStyle w:val="Compact"/>
                    <w:jc w:val="left"/>
                    <w:jc w:val="center"/>
                  </w:pPr>
                  <w:r>
                    <w:t xml:space="preserve">qwen</w:t>
                  </w:r>
                </w:p>
              </w:tc>
              <w:tc>
                <w:tcPr/>
                <w:p>
                  <w:pPr>
                    <w:pStyle w:val="Compact"/>
                    <w:jc w:val="right"/>
                    <w:jc w:val="center"/>
                  </w:pPr>
                  <w:r>
                    <w:t xml:space="preserve">12</w:t>
                  </w:r>
                </w:p>
              </w:tc>
              <w:tc>
                <w:tcPr/>
                <w:p>
                  <w:pPr>
                    <w:pStyle w:val="Compact"/>
                    <w:jc w:val="right"/>
                    <w:jc w:val="center"/>
                  </w:pPr>
                  <w:r>
                    <w:t xml:space="preserve">8.83</w:t>
                  </w:r>
                </w:p>
              </w:tc>
              <w:tc>
                <w:tcPr/>
                <w:p>
                  <w:pPr>
                    <w:pStyle w:val="Compact"/>
                    <w:jc w:val="right"/>
                    <w:jc w:val="center"/>
                  </w:pPr>
                  <w:r>
                    <w:t xml:space="preserve">9.5</w:t>
                  </w:r>
                </w:p>
              </w:tc>
              <w:tc>
                <w:tcPr/>
                <w:p>
                  <w:pPr>
                    <w:pStyle w:val="Compact"/>
                    <w:jc w:val="right"/>
                    <w:jc w:val="center"/>
                  </w:pPr>
                  <w:r>
                    <w:t xml:space="preserve">0.67</w:t>
                  </w:r>
                </w:p>
              </w:tc>
              <w:tc>
                <w:tcPr/>
                <w:p>
                  <w:pPr>
                    <w:pStyle w:val="Compact"/>
                    <w:jc w:val="right"/>
                    <w:jc w:val="center"/>
                  </w:pPr>
                  <w:r>
                    <w:t xml:space="preserve">-0.5</w:t>
                  </w:r>
                </w:p>
              </w:tc>
              <w:tc>
                <w:tcPr/>
                <w:p>
                  <w:pPr>
                    <w:pStyle w:val="Compact"/>
                    <w:jc w:val="right"/>
                    <w:jc w:val="center"/>
                  </w:pPr>
                  <w:r>
                    <w:t xml:space="preserve">6</w:t>
                  </w:r>
                </w:p>
              </w:tc>
              <w:tc>
                <w:tcPr/>
                <w:p>
                  <w:pPr>
                    <w:pStyle w:val="Compact"/>
                    <w:jc w:val="right"/>
                    <w:jc w:val="center"/>
                  </w:pPr>
                  <w:r>
                    <w:t xml:space="preserve">5</w:t>
                  </w:r>
                </w:p>
              </w:tc>
              <w:tc>
                <w:tcPr/>
                <w:p>
                  <w:pPr>
                    <w:pStyle w:val="Compact"/>
                    <w:jc w:val="right"/>
                    <w:jc w:val="center"/>
                  </w:pPr>
                  <w:r>
                    <w:t xml:space="preserve">1</w:t>
                  </w:r>
                </w:p>
              </w:tc>
              <w:tc>
                <w:tcPr/>
                <w:p>
                  <w:pPr>
                    <w:pStyle w:val="Compact"/>
                    <w:jc w:val="right"/>
                    <w:jc w:val="center"/>
                  </w:pPr>
                  <w:r>
                    <w:t xml:space="preserve">-1.0</w:t>
                  </w:r>
                </w:p>
              </w:tc>
              <w:tc>
                <w:tcPr/>
                <w:p>
                  <w:pPr>
                    <w:pStyle w:val="Compact"/>
                    <w:jc w:val="right"/>
                    <w:jc w:val="center"/>
                  </w:pPr>
                  <w:r>
                    <w:t xml:space="preserve">2.33</w:t>
                  </w:r>
                </w:p>
              </w:tc>
            </w:tr>
          </w:tbl>
          <w:bookmarkEnd w:id="29"/>
          <w:p/>
        </w:tc>
      </w:tr>
    </w:tbl>
    <w:tbl>
      <w:tblPr>
        <w:tblStyle w:val="Table"/>
        <w:tblW w:type="pct" w:w="5000"/>
        <w:tblLayout w:type="fixed"/>
        <w:tblLook w:firstRow="0" w:lastRow="0" w:firstColumn="0" w:lastColumn="0" w:noHBand="0" w:noVBand="0" w:val="0000"/>
      </w:tblPr>
      <w:tblGrid>
        <w:gridCol w:w="7920"/>
      </w:tblGrid>
      <w:tr>
        <w:tc>
          <w:tcPr/>
          <w:bookmarkStart w:id="33" w:name="fig-paired"/>
          <w:p>
            <w:pPr>
              <w:pStyle w:val="Compact"/>
              <w:jc w:val="center"/>
            </w:pPr>
            <w:r>
              <w:drawing>
                <wp:inline>
                  <wp:extent cx="5334000" cy="2776910"/>
                  <wp:effectExtent b="0" l="0" r="0" t="0"/>
                  <wp:docPr descr="" title="" id="31" name="Picture"/>
                  <a:graphic>
                    <a:graphicData uri="http://schemas.openxmlformats.org/drawingml/2006/picture">
                      <pic:pic>
                        <pic:nvPicPr>
                          <pic:cNvPr descr="report_files/figure-docx/fig-paired-output-1.png" id="32" name="Picture"/>
                          <pic:cNvPicPr>
                            <a:picLocks noChangeArrowheads="1" noChangeAspect="1"/>
                          </pic:cNvPicPr>
                        </pic:nvPicPr>
                        <pic:blipFill>
                          <a:blip r:embed="rId30"/>
                          <a:stretch>
                            <a:fillRect/>
                          </a:stretch>
                        </pic:blipFill>
                        <pic:spPr bwMode="auto">
                          <a:xfrm>
                            <a:off x="0" y="0"/>
                            <a:ext cx="5334000" cy="277691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Paired difference in findings per review by generator · Basic and Security-aware, matched pairs, self-review</w:t>
            </w:r>
          </w:p>
          <w:bookmarkEnd w:id="33"/>
        </w:tc>
      </w:tr>
    </w:tbl>
    <w:p>
      <w:pPr>
        <w:pStyle w:val="BodyText"/>
      </w:pPr>
      <w:r>
        <w:t xml:space="preserve">Across all 48 pairs Basic reviews recorded 6.25 findings and Security-aware reviews 6.56 (medians 6 and 7). The mean paired difference is</w:t>
      </w:r>
      <w:r>
        <w:t xml:space="preserve"> </w:t>
      </w:r>
      <w:r>
        <w:rPr>
          <w:b/>
          <w:bCs/>
        </w:rPr>
        <w:t xml:space="preserve">+0.31 findings per review</w:t>
      </w:r>
      <w:r>
        <w:t xml:space="preserve">, a 5.0% rise on the Basic rate, with a median difference of 0. A 10,000-draw paired bootstrap gives a</w:t>
      </w:r>
      <w:r>
        <w:t xml:space="preserve"> </w:t>
      </w:r>
      <w:r>
        <w:rPr>
          <w:b/>
          <w:bCs/>
        </w:rPr>
        <w:t xml:space="preserve">95% interval of −0.29 to +0.94</w:t>
      </w:r>
      <w:r>
        <w:t xml:space="preserve">, which includes zero. 18 pairs had fewer findings under Security-aware, 23 had more and 7 were tied (</w:t>
      </w:r>
      <w:hyperlink w:anchor="tbl-paired">
        <w:r>
          <w:rPr>
            <w:rStyle w:val="Hyperlink"/>
          </w:rPr>
          <w:t xml:space="preserve">Table 3</w:t>
        </w:r>
      </w:hyperlink>
      <w:r>
        <w:t xml:space="preserve">).</w:t>
      </w:r>
    </w:p>
    <w:p>
      <w:pPr>
        <w:pStyle w:val="BodyText"/>
      </w:pPr>
      <w:r>
        <w:t xml:space="preserve">The direction differs by generator (</w:t>
      </w:r>
      <w:hyperlink w:anchor="fig-paired">
        <w:r>
          <w:rPr>
            <w:rStyle w:val="Hyperlink"/>
          </w:rPr>
          <w:t xml:space="preserve">Figure 3</w:t>
        </w:r>
      </w:hyperlink>
      <w:r>
        <w:t xml:space="preserve">). Antigravity’s code drew</w:t>
      </w:r>
      <w:r>
        <w:t xml:space="preserve"> </w:t>
      </w:r>
      <w:r>
        <w:rPr>
          <w:b/>
          <w:bCs/>
        </w:rPr>
        <w:t xml:space="preserve">+1.08</w:t>
      </w:r>
      <w:r>
        <w:t xml:space="preserve"> </w:t>
      </w:r>
      <w:r>
        <w:t xml:space="preserve">more findings per review under Security-aware (interval +0.17 to +1.92, the only one that excludes zero), Qwen’s +0.67 and Claude’s +0.25, while Codex’s moved the other way at</w:t>
      </w:r>
      <w:r>
        <w:t xml:space="preserve"> </w:t>
      </w:r>
      <w:r>
        <w:rPr>
          <w:b/>
          <w:bCs/>
        </w:rPr>
        <w:t xml:space="preserve">−0.75</w:t>
      </w:r>
      <w:r>
        <w:t xml:space="preserve">. By task the differences range from −0.50 (Task 1) through 0.00 (Task 2) to +0.50 (Task 5), +0.63 (Task 3) and +1.13 (Task 4).</w:t>
      </w:r>
    </w:p>
    <w:p>
      <w:pPr>
        <w:pStyle w:val="BodyText"/>
      </w:pPr>
      <w:r>
        <w:t xml:space="preserve">A short security hint therefore did not reduce the volume of reported findings. This is not proof that the two prompts are equivalent, and because each pair compares</w:t>
      </w:r>
      <w:r>
        <w:t xml:space="preserve"> </w:t>
      </w:r>
      <w:r>
        <w:rPr>
          <w:b/>
          <w:bCs/>
        </w:rPr>
        <w:t xml:space="preserve">two different programs</w:t>
      </w:r>
      <w:r>
        <w:t xml:space="preserve">, a difference can reflect genuine code divergence, the reviewer’s attention, or extra scope the hint itself introduced. It was this result, and the recurring weaknesses behind it, that led the team to write the eight rules.</w:t>
      </w:r>
    </w:p>
    <w:bookmarkEnd w:id="34"/>
    <w:bookmarkStart w:id="99" w:name="sec-three-conditions"/>
    <w:p>
      <w:pPr>
        <w:pStyle w:val="Heading2"/>
      </w:pPr>
      <w:r>
        <w:t xml:space="preserve">4 Three conditions under self-review</w:t>
      </w:r>
    </w:p>
    <w:p>
      <w:pPr>
        <w:pStyle w:val="FirstParagraph"/>
      </w:pPr>
      <w:r>
        <w:t xml:space="preserve">This section compares all three prompts on equal terms: every number uses only self-reviews (48 Basic, 48 Security-aware, 24 Security-informed). The Security-informed column differs from Stage 1 in more than the prompt: it has one prompt author rather than two, it was run later, and it has half as many reviews. Its rates are descriptive.</w:t>
      </w:r>
    </w:p>
    <w:bookmarkStart w:id="52" w:name="volume-and-severity"/>
    <w:p>
      <w:pPr>
        <w:pStyle w:val="Heading3"/>
      </w:pPr>
      <w:r>
        <w:t xml:space="preserve">4.1 Volume and severity</w:t>
      </w:r>
    </w:p>
    <w:tbl>
      <w:tblPr>
        <w:tblStyle w:val="Table"/>
        <w:tblW w:type="pct" w:w="5000"/>
        <w:tblLayout w:type="fixed"/>
        <w:tblLook w:firstRow="0" w:lastRow="0" w:firstColumn="0" w:lastColumn="0" w:noHBand="0" w:noVBand="0" w:val="0000"/>
      </w:tblPr>
      <w:tblGrid>
        <w:gridCol w:w="7920"/>
      </w:tblGrid>
      <w:tr>
        <w:tc>
          <w:tcPr/>
          <w:bookmarkStart w:id="35" w:name="tbl-conditions"/>
          <w:p>
            <w:pPr>
              <w:jc w:val="center"/>
            </w:pPr>
            <w:pPr>
              <w:jc w:val="left"/>
              <w:spacing w:before="200"/>
              <w:pStyle w:val="ImageCaption"/>
            </w:pPr>
            <w:r>
              <w:t xml:space="preserve">Table 4: Findings per review, median and High/Critical share · All three conditions, self-review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condition</w:t>
                  </w:r>
                </w:p>
              </w:tc>
              <w:tc>
                <w:tcPr/>
                <w:p>
                  <w:pPr>
                    <w:pStyle w:val="Compact"/>
                    <w:jc w:val="right"/>
                    <w:jc w:val="center"/>
                  </w:pPr>
                  <w:r>
                    <w:t xml:space="preserve">self-reviews</w:t>
                  </w:r>
                </w:p>
              </w:tc>
              <w:tc>
                <w:tcPr/>
                <w:p>
                  <w:pPr>
                    <w:pStyle w:val="Compact"/>
                    <w:jc w:val="right"/>
                    <w:jc w:val="center"/>
                  </w:pPr>
                  <w:r>
                    <w:t xml:space="preserve">findings</w:t>
                  </w:r>
                </w:p>
              </w:tc>
              <w:tc>
                <w:tcPr/>
                <w:p>
                  <w:pPr>
                    <w:pStyle w:val="Compact"/>
                    <w:jc w:val="right"/>
                    <w:jc w:val="center"/>
                  </w:pPr>
                  <w:r>
                    <w:t xml:space="preserve">findings per review</w:t>
                  </w:r>
                </w:p>
              </w:tc>
              <w:tc>
                <w:tcPr/>
                <w:p>
                  <w:pPr>
                    <w:pStyle w:val="Compact"/>
                    <w:jc w:val="right"/>
                    <w:jc w:val="center"/>
                  </w:pPr>
                  <w:r>
                    <w:t xml:space="preserve">median</w:t>
                  </w:r>
                </w:p>
              </w:tc>
              <w:tc>
                <w:tcPr/>
                <w:p>
                  <w:pPr>
                    <w:pStyle w:val="Compact"/>
                    <w:jc w:val="right"/>
                    <w:jc w:val="center"/>
                  </w:pPr>
                  <w:r>
                    <w:t xml:space="preserve">High/Critical %</w:t>
                  </w:r>
                </w:p>
              </w:tc>
            </w:tr>
            <w:tr>
              <w:tc>
                <w:tcPr/>
                <w:p>
                  <w:pPr>
                    <w:pStyle w:val="Compact"/>
                    <w:jc w:val="left"/>
                    <w:jc w:val="center"/>
                  </w:pPr>
                  <w:r>
                    <w:t xml:space="preserve">Basic</w:t>
                  </w:r>
                </w:p>
              </w:tc>
              <w:tc>
                <w:tcPr/>
                <w:p>
                  <w:pPr>
                    <w:pStyle w:val="Compact"/>
                    <w:jc w:val="right"/>
                    <w:jc w:val="center"/>
                  </w:pPr>
                  <w:r>
                    <w:t xml:space="preserve">48</w:t>
                  </w:r>
                </w:p>
              </w:tc>
              <w:tc>
                <w:tcPr/>
                <w:p>
                  <w:pPr>
                    <w:pStyle w:val="Compact"/>
                    <w:jc w:val="right"/>
                    <w:jc w:val="center"/>
                  </w:pPr>
                  <w:r>
                    <w:t xml:space="preserve">300</w:t>
                  </w:r>
                </w:p>
              </w:tc>
              <w:tc>
                <w:tcPr/>
                <w:p>
                  <w:pPr>
                    <w:pStyle w:val="Compact"/>
                    <w:jc w:val="right"/>
                    <w:jc w:val="center"/>
                  </w:pPr>
                  <w:r>
                    <w:t xml:space="preserve">6.25</w:t>
                  </w:r>
                </w:p>
              </w:tc>
              <w:tc>
                <w:tcPr/>
                <w:p>
                  <w:pPr>
                    <w:pStyle w:val="Compact"/>
                    <w:jc w:val="right"/>
                    <w:jc w:val="center"/>
                  </w:pPr>
                  <w:r>
                    <w:t xml:space="preserve">6.0</w:t>
                  </w:r>
                </w:p>
              </w:tc>
              <w:tc>
                <w:tcPr/>
                <w:p>
                  <w:pPr>
                    <w:pStyle w:val="Compact"/>
                    <w:jc w:val="right"/>
                    <w:jc w:val="center"/>
                  </w:pPr>
                  <w:r>
                    <w:t xml:space="preserve">16.67</w:t>
                  </w:r>
                </w:p>
              </w:tc>
            </w:tr>
            <w:tr>
              <w:tc>
                <w:tcPr/>
                <w:p>
                  <w:pPr>
                    <w:pStyle w:val="Compact"/>
                    <w:jc w:val="left"/>
                    <w:jc w:val="center"/>
                  </w:pPr>
                  <w:r>
                    <w:t xml:space="preserve">Security-aware</w:t>
                  </w:r>
                </w:p>
              </w:tc>
              <w:tc>
                <w:tcPr/>
                <w:p>
                  <w:pPr>
                    <w:pStyle w:val="Compact"/>
                    <w:jc w:val="right"/>
                    <w:jc w:val="center"/>
                  </w:pPr>
                  <w:r>
                    <w:t xml:space="preserve">48</w:t>
                  </w:r>
                </w:p>
              </w:tc>
              <w:tc>
                <w:tcPr/>
                <w:p>
                  <w:pPr>
                    <w:pStyle w:val="Compact"/>
                    <w:jc w:val="right"/>
                    <w:jc w:val="center"/>
                  </w:pPr>
                  <w:r>
                    <w:t xml:space="preserve">315</w:t>
                  </w:r>
                </w:p>
              </w:tc>
              <w:tc>
                <w:tcPr/>
                <w:p>
                  <w:pPr>
                    <w:pStyle w:val="Compact"/>
                    <w:jc w:val="right"/>
                    <w:jc w:val="center"/>
                  </w:pPr>
                  <w:r>
                    <w:t xml:space="preserve">6.56</w:t>
                  </w:r>
                </w:p>
              </w:tc>
              <w:tc>
                <w:tcPr/>
                <w:p>
                  <w:pPr>
                    <w:pStyle w:val="Compact"/>
                    <w:jc w:val="right"/>
                    <w:jc w:val="center"/>
                  </w:pPr>
                  <w:r>
                    <w:t xml:space="preserve">7.0</w:t>
                  </w:r>
                </w:p>
              </w:tc>
              <w:tc>
                <w:tcPr/>
                <w:p>
                  <w:pPr>
                    <w:pStyle w:val="Compact"/>
                    <w:jc w:val="right"/>
                    <w:jc w:val="center"/>
                  </w:pPr>
                  <w:r>
                    <w:t xml:space="preserve">17.78</w:t>
                  </w:r>
                </w:p>
              </w:tc>
            </w:tr>
            <w:tr>
              <w:tc>
                <w:tcPr/>
                <w:p>
                  <w:pPr>
                    <w:pStyle w:val="Compact"/>
                    <w:jc w:val="left"/>
                    <w:jc w:val="center"/>
                  </w:pPr>
                  <w:r>
                    <w:t xml:space="preserve">Security-informed</w:t>
                  </w:r>
                </w:p>
              </w:tc>
              <w:tc>
                <w:tcPr/>
                <w:p>
                  <w:pPr>
                    <w:pStyle w:val="Compact"/>
                    <w:jc w:val="right"/>
                    <w:jc w:val="center"/>
                  </w:pPr>
                  <w:r>
                    <w:t xml:space="preserve">24</w:t>
                  </w:r>
                </w:p>
              </w:tc>
              <w:tc>
                <w:tcPr/>
                <w:p>
                  <w:pPr>
                    <w:pStyle w:val="Compact"/>
                    <w:jc w:val="right"/>
                    <w:jc w:val="center"/>
                  </w:pPr>
                  <w:r>
                    <w:t xml:space="preserve">139</w:t>
                  </w:r>
                </w:p>
              </w:tc>
              <w:tc>
                <w:tcPr/>
                <w:p>
                  <w:pPr>
                    <w:pStyle w:val="Compact"/>
                    <w:jc w:val="right"/>
                    <w:jc w:val="center"/>
                  </w:pPr>
                  <w:r>
                    <w:t xml:space="preserve">5.79</w:t>
                  </w:r>
                </w:p>
              </w:tc>
              <w:tc>
                <w:tcPr/>
                <w:p>
                  <w:pPr>
                    <w:pStyle w:val="Compact"/>
                    <w:jc w:val="right"/>
                    <w:jc w:val="center"/>
                  </w:pPr>
                  <w:r>
                    <w:t xml:space="preserve">7.0</w:t>
                  </w:r>
                </w:p>
              </w:tc>
              <w:tc>
                <w:tcPr/>
                <w:p>
                  <w:pPr>
                    <w:pStyle w:val="Compact"/>
                    <w:jc w:val="right"/>
                    <w:jc w:val="center"/>
                  </w:pPr>
                  <w:r>
                    <w:t xml:space="preserve">14.39</w:t>
                  </w:r>
                </w:p>
              </w:tc>
            </w:tr>
          </w:tbl>
          <w:bookmarkEnd w:id="35"/>
          <w:p/>
        </w:tc>
      </w:tr>
    </w:tbl>
    <w:tbl>
      <w:tblPr>
        <w:tblStyle w:val="Table"/>
        <w:tblW w:type="pct" w:w="5000"/>
        <w:tblLayout w:type="fixed"/>
        <w:tblLook w:firstRow="0" w:lastRow="0" w:firstColumn="0" w:lastColumn="0" w:noHBand="0" w:noVBand="0" w:val="0000"/>
      </w:tblPr>
      <w:tblGrid>
        <w:gridCol w:w="7920"/>
      </w:tblGrid>
      <w:tr>
        <w:tc>
          <w:tcPr/>
          <w:bookmarkStart w:id="39" w:name="fig-distribution"/>
          <w:p>
            <w:pPr>
              <w:pStyle w:val="Compact"/>
              <w:jc w:val="center"/>
            </w:pPr>
            <w:r>
              <w:drawing>
                <wp:inline>
                  <wp:extent cx="5334000" cy="2820220"/>
                  <wp:effectExtent b="0" l="0" r="0" t="0"/>
                  <wp:docPr descr="" title="" id="37" name="Picture"/>
                  <a:graphic>
                    <a:graphicData uri="http://schemas.openxmlformats.org/drawingml/2006/picture">
                      <pic:pic>
                        <pic:nvPicPr>
                          <pic:cNvPr descr="report_files/figure-docx/fig-distribution-output-1.png" id="38" name="Picture"/>
                          <pic:cNvPicPr>
                            <a:picLocks noChangeArrowheads="1" noChangeAspect="1"/>
                          </pic:cNvPicPr>
                        </pic:nvPicPr>
                        <pic:blipFill>
                          <a:blip r:embed="rId36"/>
                          <a:stretch>
                            <a:fillRect/>
                          </a:stretch>
                        </pic:blipFill>
                        <pic:spPr bwMode="auto">
                          <a:xfrm>
                            <a:off x="0" y="0"/>
                            <a:ext cx="5334000" cy="2820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Findings per review · All three conditions, self-review</w:t>
            </w:r>
          </w:p>
          <w:bookmarkEnd w:id="39"/>
        </w:tc>
      </w:tr>
    </w:tbl>
    <w:p>
      <w:pPr>
        <w:pStyle w:val="BodyText"/>
      </w:pPr>
      <w:r>
        <w:t xml:space="preserve">Security-informed self-reviews recorded</w:t>
      </w:r>
      <w:r>
        <w:t xml:space="preserve"> </w:t>
      </w:r>
      <w:r>
        <w:rPr>
          <w:b/>
          <w:bCs/>
        </w:rPr>
        <w:t xml:space="preserve">5.79 findings per review</w:t>
      </w:r>
      <w:r>
        <w:t xml:space="preserve"> </w:t>
      </w:r>
      <w:r>
        <w:t xml:space="preserve">against 6.25 for Basic and 6.56 for Security-aware, with the same median of 7 as Security-aware (</w:t>
      </w:r>
      <w:hyperlink w:anchor="tbl-conditions">
        <w:r>
          <w:rPr>
            <w:rStyle w:val="Hyperlink"/>
          </w:rPr>
          <w:t xml:space="preserve">Table 4</w:t>
        </w:r>
      </w:hyperlink>
      <w:r>
        <w:t xml:space="preserve">,</w:t>
      </w:r>
      <w:r>
        <w:t xml:space="preserve"> </w:t>
      </w:r>
      <w:hyperlink w:anchor="fig-distribution">
        <w:r>
          <w:rPr>
            <w:rStyle w:val="Hyperlink"/>
          </w:rPr>
          <w:t xml:space="preserve">Figure 4</w:t>
        </w:r>
      </w:hyperlink>
      <w:r>
        <w:t xml:space="preserve">). The spread overlaps almost completely; the volume change is small.</w:t>
      </w:r>
    </w:p>
    <w:tbl>
      <w:tblPr>
        <w:tblStyle w:val="Table"/>
        <w:tblW w:type="pct" w:w="5000"/>
        <w:tblLayout w:type="fixed"/>
        <w:tblLook w:firstRow="0" w:lastRow="0" w:firstColumn="0" w:lastColumn="0" w:noHBand="0" w:noVBand="0" w:val="0000"/>
      </w:tblPr>
      <w:tblGrid>
        <w:gridCol w:w="7920"/>
      </w:tblGrid>
      <w:tr>
        <w:tc>
          <w:tcPr/>
          <w:bookmarkStart w:id="43" w:name="fig-generator"/>
          <w:p>
            <w:pPr>
              <w:pStyle w:val="Compact"/>
              <w:jc w:val="center"/>
            </w:pPr>
            <w:r>
              <w:drawing>
                <wp:inline>
                  <wp:extent cx="5334000" cy="2642326"/>
                  <wp:effectExtent b="0" l="0" r="0" t="0"/>
                  <wp:docPr descr="" title="" id="41" name="Picture"/>
                  <a:graphic>
                    <a:graphicData uri="http://schemas.openxmlformats.org/drawingml/2006/picture">
                      <pic:pic>
                        <pic:nvPicPr>
                          <pic:cNvPr descr="report_files/figure-docx/fig-generator-output-1.png" id="42" name="Picture"/>
                          <pic:cNvPicPr>
                            <a:picLocks noChangeArrowheads="1" noChangeAspect="1"/>
                          </pic:cNvPicPr>
                        </pic:nvPicPr>
                        <pic:blipFill>
                          <a:blip r:embed="rId40"/>
                          <a:stretch>
                            <a:fillRect/>
                          </a:stretch>
                        </pic:blipFill>
                        <pic:spPr bwMode="auto">
                          <a:xfrm>
                            <a:off x="0" y="0"/>
                            <a:ext cx="5334000" cy="264232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Findings per review by generator · All three conditions, self-review</w:t>
            </w:r>
          </w:p>
          <w:bookmarkEnd w:id="43"/>
        </w:tc>
      </w:tr>
    </w:tbl>
    <w:p>
      <w:pPr>
        <w:pStyle w:val="BodyText"/>
      </w:pPr>
      <w:r>
        <w:t xml:space="preserve">The fall is not shared by every assistant (</w:t>
      </w:r>
      <w:hyperlink w:anchor="fig-generator">
        <w:r>
          <w:rPr>
            <w:rStyle w:val="Hyperlink"/>
          </w:rPr>
          <w:t xml:space="preserve">Figure 5</w:t>
        </w:r>
      </w:hyperlink>
      <w:r>
        <w:t xml:space="preserve">). Codex’s self-reviews fell from 4.33 and 3.58 to 2.00 per review, and Qwen’s from 8.83 and 9.50 to 6.50. Antigravity’s stayed close to its Stage 1 level at 6.67, and Claude’s rose from 5.50 and 5.75 to 8.00. Each Security-informed bar is six reviews, so a single program moves it noticeably.</w:t>
      </w:r>
    </w:p>
    <w:tbl>
      <w:tblPr>
        <w:tblStyle w:val="Table"/>
        <w:tblW w:type="pct" w:w="5000"/>
        <w:tblLayout w:type="fixed"/>
        <w:tblLook w:firstRow="0" w:lastRow="0" w:firstColumn="0" w:lastColumn="0" w:noHBand="0" w:noVBand="0" w:val="0000"/>
      </w:tblPr>
      <w:tblGrid>
        <w:gridCol w:w="7920"/>
      </w:tblGrid>
      <w:tr>
        <w:tc>
          <w:tcPr/>
          <w:bookmarkStart w:id="47" w:name="fig-task"/>
          <w:p>
            <w:pPr>
              <w:pStyle w:val="Compact"/>
              <w:jc w:val="center"/>
            </w:pPr>
            <w:r>
              <w:drawing>
                <wp:inline>
                  <wp:extent cx="5334000" cy="3057172"/>
                  <wp:effectExtent b="0" l="0" r="0" t="0"/>
                  <wp:docPr descr="" title="" id="45" name="Picture"/>
                  <a:graphic>
                    <a:graphicData uri="http://schemas.openxmlformats.org/drawingml/2006/picture">
                      <pic:pic>
                        <pic:nvPicPr>
                          <pic:cNvPr descr="report_files/figure-docx/fig-task-output-1.png" id="46" name="Picture"/>
                          <pic:cNvPicPr>
                            <a:picLocks noChangeArrowheads="1" noChangeAspect="1"/>
                          </pic:cNvPicPr>
                        </pic:nvPicPr>
                        <pic:blipFill>
                          <a:blip r:embed="rId44"/>
                          <a:stretch>
                            <a:fillRect/>
                          </a:stretch>
                        </pic:blipFill>
                        <pic:spPr bwMode="auto">
                          <a:xfrm>
                            <a:off x="0" y="0"/>
                            <a:ext cx="5334000" cy="305717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Findings per review by task · All three conditions, self-review</w:t>
            </w:r>
          </w:p>
          <w:bookmarkEnd w:id="47"/>
        </w:tc>
      </w:tr>
    </w:tbl>
    <w:p>
      <w:pPr>
        <w:pStyle w:val="BodyText"/>
      </w:pPr>
      <w:r>
        <w:t xml:space="preserve">By task (</w:t>
      </w:r>
      <w:hyperlink w:anchor="fig-task">
        <w:r>
          <w:rPr>
            <w:rStyle w:val="Hyperlink"/>
          </w:rPr>
          <w:t xml:space="preserve">Figure 6</w:t>
        </w:r>
      </w:hyperlink>
      <w:r>
        <w:t xml:space="preserve">), Security-informed reviews recorded fewer findings than either Stage 1 prompt for Task 1 (4.25 against 6.62 and 6.12), Task 5 (5.75 against 7.50 and 8.00) and Task 6 (5.50 against 8.12 and 8.25), and more for Task 2 (6.25 against 5.38) and Task 3 (6.75 against 4.38 and 5.00).</w:t>
      </w:r>
    </w:p>
    <w:tbl>
      <w:tblPr>
        <w:tblStyle w:val="Table"/>
        <w:tblW w:type="pct" w:w="5000"/>
        <w:tblLayout w:type="fixed"/>
        <w:tblLook w:firstRow="0" w:lastRow="0" w:firstColumn="0" w:lastColumn="0" w:noHBand="0" w:noVBand="0" w:val="0000"/>
      </w:tblPr>
      <w:tblGrid>
        <w:gridCol w:w="7920"/>
      </w:tblGrid>
      <w:tr>
        <w:tc>
          <w:tcPr/>
          <w:bookmarkStart w:id="51" w:name="fig-severity"/>
          <w:p>
            <w:pPr>
              <w:pStyle w:val="Compact"/>
              <w:jc w:val="center"/>
            </w:pPr>
            <w:r>
              <w:drawing>
                <wp:inline>
                  <wp:extent cx="5334000" cy="1868294"/>
                  <wp:effectExtent b="0" l="0" r="0" t="0"/>
                  <wp:docPr descr="" title="" id="49" name="Picture"/>
                  <a:graphic>
                    <a:graphicData uri="http://schemas.openxmlformats.org/drawingml/2006/picture">
                      <pic:pic>
                        <pic:nvPicPr>
                          <pic:cNvPr descr="report_files/figure-docx/fig-severity-output-1.png" id="50" name="Picture"/>
                          <pic:cNvPicPr>
                            <a:picLocks noChangeArrowheads="1" noChangeAspect="1"/>
                          </pic:cNvPicPr>
                        </pic:nvPicPr>
                        <pic:blipFill>
                          <a:blip r:embed="rId48"/>
                          <a:stretch>
                            <a:fillRect/>
                          </a:stretch>
                        </pic:blipFill>
                        <pic:spPr bwMode="auto">
                          <a:xfrm>
                            <a:off x="0" y="0"/>
                            <a:ext cx="5334000" cy="186829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Severity of findings · All three conditions, self-review</w:t>
            </w:r>
          </w:p>
          <w:bookmarkEnd w:id="51"/>
        </w:tc>
      </w:tr>
    </w:tbl>
    <w:p>
      <w:pPr>
        <w:pStyle w:val="BodyText"/>
      </w:pPr>
      <w:r>
        <w:t xml:space="preserve">Severity barely moves (</w:t>
      </w:r>
      <w:hyperlink w:anchor="fig-severity">
        <w:r>
          <w:rPr>
            <w:rStyle w:val="Hyperlink"/>
          </w:rPr>
          <w:t xml:space="preserve">Figure 7</w:t>
        </w:r>
      </w:hyperlink>
      <w:r>
        <w:t xml:space="preserve">). High/Critical findings are 16.7% of Basic, 17.8% of Security-aware and 14.4% of Security-informed findings. The Security-informed condition reported fewer findings and not more severe ones. Severity is the reviewer’s own classification, not an externally calibrated risk score.</w:t>
      </w:r>
    </w:p>
    <w:bookmarkEnd w:id="52"/>
    <w:bookmarkStart w:id="57" w:name="anchor-cwe-reporting"/>
    <w:p>
      <w:pPr>
        <w:pStyle w:val="Heading3"/>
      </w:pPr>
      <w:r>
        <w:t xml:space="preserve">4.2 Anchor CWE reporting</w:t>
      </w:r>
    </w:p>
    <w:p>
      <w:pPr>
        <w:pStyle w:val="FirstParagraph"/>
      </w:pPr>
      <w:r>
        <w:t xml:space="preserve">A task can meet its named requirement and still contain other weaknesses. For each task,</w:t>
      </w:r>
      <w:r>
        <w:t xml:space="preserve"> </w:t>
      </w:r>
      <w:hyperlink w:anchor="fig-anchor">
        <w:r>
          <w:rPr>
            <w:rStyle w:val="Hyperlink"/>
          </w:rPr>
          <w:t xml:space="preserve">Figure 8</w:t>
        </w:r>
      </w:hyperlink>
      <w:r>
        <w:t xml:space="preserve"> </w:t>
      </w:r>
      <w:r>
        <w:t xml:space="preserve">shows the share of self-reviews that named the task’s own anchor CWE. With findings-only data this is a</w:t>
      </w:r>
      <w:r>
        <w:t xml:space="preserve"> </w:t>
      </w:r>
      <w:r>
        <w:rPr>
          <w:b/>
          <w:bCs/>
        </w:rPr>
        <w:t xml:space="preserve">reporting rate</w:t>
      </w:r>
      <w:r>
        <w:t xml:space="preserve">: a review that does not name the anchor has not proved it absent.</w:t>
      </w:r>
    </w:p>
    <w:tbl>
      <w:tblPr>
        <w:tblStyle w:val="Table"/>
        <w:tblW w:type="pct" w:w="5000"/>
        <w:tblLayout w:type="fixed"/>
        <w:tblLook w:firstRow="0" w:lastRow="0" w:firstColumn="0" w:lastColumn="0" w:noHBand="0" w:noVBand="0" w:val="0000"/>
      </w:tblPr>
      <w:tblGrid>
        <w:gridCol w:w="7920"/>
      </w:tblGrid>
      <w:tr>
        <w:tc>
          <w:tcPr/>
          <w:bookmarkStart w:id="56" w:name="fig-anchor"/>
          <w:p>
            <w:pPr>
              <w:pStyle w:val="Compact"/>
              <w:jc w:val="center"/>
            </w:pPr>
            <w:r>
              <w:drawing>
                <wp:inline>
                  <wp:extent cx="5334000" cy="2346322"/>
                  <wp:effectExtent b="0" l="0" r="0" t="0"/>
                  <wp:docPr descr="" title="" id="54" name="Picture"/>
                  <a:graphic>
                    <a:graphicData uri="http://schemas.openxmlformats.org/drawingml/2006/picture">
                      <pic:pic>
                        <pic:nvPicPr>
                          <pic:cNvPr descr="report_files/figure-docx/fig-anchor-output-1.png" id="55" name="Picture"/>
                          <pic:cNvPicPr>
                            <a:picLocks noChangeArrowheads="1" noChangeAspect="1"/>
                          </pic:cNvPicPr>
                        </pic:nvPicPr>
                        <pic:blipFill>
                          <a:blip r:embed="rId53"/>
                          <a:stretch>
                            <a:fillRect/>
                          </a:stretch>
                        </pic:blipFill>
                        <pic:spPr bwMode="auto">
                          <a:xfrm>
                            <a:off x="0" y="0"/>
                            <a:ext cx="5334000" cy="234632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Reviews naming the task’s anchor CWE · All three conditions, self-review</w:t>
            </w:r>
          </w:p>
          <w:bookmarkEnd w:id="56"/>
        </w:tc>
      </w:tr>
    </w:tbl>
    <w:p>
      <w:pPr>
        <w:pStyle w:val="BodyText"/>
      </w:pPr>
      <w:r>
        <w:t xml:space="preserve">For Tasks 1–4 (CWE-1004, CWE-321, CWE-89 and CWE-256)</w:t>
      </w:r>
      <w:r>
        <w:t xml:space="preserve"> </w:t>
      </w:r>
      <w:r>
        <w:rPr>
          <w:b/>
          <w:bCs/>
        </w:rPr>
        <w:t xml:space="preserve">no self-review in any condition named the anchor</w:t>
      </w:r>
      <w:r>
        <w:t xml:space="preserve">. Across all 1,217 findings CWE-1004 and CWE-321 never appear, CWE-89 appears twice and CWE-256 once, all on other tasks.</w:t>
      </w:r>
      <w:r>
        <w:t xml:space="preserve"> </w:t>
      </w:r>
      <w:r>
        <w:rPr>
          <w:b/>
          <w:bCs/>
        </w:rPr>
        <w:t xml:space="preserve">[TEAM TO CONFIRM from the review files: whether the Task 1–4 reviews describe the anchor weakness as correctly handled, or simply do not mention it.]</w:t>
      </w:r>
      <w:r>
        <w:t xml:space="preserve"> </w:t>
      </w:r>
      <w:r>
        <w:t xml:space="preserve">For Task 5 (CWE-307) the anchor was named in 75% of Basic, 50% of Security-aware and 25% of Security-informed self-reviews; for Task 6 (CWE-778) in 25%, 12.5% and 25%. The decline on Task 5 matches rule 3, which asks for attempt limits per source and per account.</w:t>
      </w:r>
    </w:p>
    <w:bookmarkEnd w:id="57"/>
    <w:bookmarkStart w:id="88" w:name="Xc38c2a3fd16c2545e1276dd4e0beaa2e98099d0"/>
    <w:p>
      <w:pPr>
        <w:pStyle w:val="Heading3"/>
      </w:pPr>
      <w:r>
        <w:t xml:space="preserve">4.3 Which weaknesses: CWE and OWASP side by side</w:t>
      </w:r>
    </w:p>
    <w:p>
      <w:pPr>
        <w:pStyle w:val="FirstParagraph"/>
      </w:pPr>
      <w:r>
        <w:t xml:space="preserve">The same four views are given for CWE labels and for OWASP categories, so the two can be read against each other: findings per review in each category, the share each category makes up of a condition’s findings, and one pie per generator and condition. CWE views use the 14 most-reported CWEs across all findings (</w:t>
      </w:r>
      <w:hyperlink w:anchor="tbl-top-cwes">
        <w:r>
          <w:rPr>
            <w:rStyle w:val="Hyperlink"/>
          </w:rPr>
          <w:t xml:space="preserve">Table 5</w:t>
        </w:r>
      </w:hyperlink>
      <w:r>
        <w:t xml:space="preserve">), which cover 51.9% of findings; the remaining 132 CWEs are combined as</w:t>
      </w:r>
      <w:r>
        <w:t xml:space="preserve"> </w:t>
      </w:r>
      <w:r>
        <w:rPr>
          <w:b/>
          <w:bCs/>
        </w:rPr>
        <w:t xml:space="preserve">Other</w:t>
      </w:r>
      <w:r>
        <w:t xml:space="preserve">. OWASP views show all ten categories plus</w:t>
      </w:r>
      <w:r>
        <w:t xml:space="preserve"> </w:t>
      </w:r>
      <w:r>
        <w:rPr>
          <w:b/>
          <w:bCs/>
        </w:rPr>
        <w:t xml:space="preserve">Unmapped</w:t>
      </w:r>
      <w:r>
        <w:t xml:space="preserve">.</w:t>
      </w:r>
    </w:p>
    <w:tbl>
      <w:tblPr>
        <w:tblStyle w:val="Table"/>
        <w:tblW w:type="pct" w:w="5000"/>
        <w:tblLayout w:type="fixed"/>
        <w:tblLook w:firstRow="0" w:lastRow="0" w:firstColumn="0" w:lastColumn="0" w:noHBand="0" w:noVBand="0" w:val="0000"/>
      </w:tblPr>
      <w:tblGrid>
        <w:gridCol w:w="7920"/>
      </w:tblGrid>
      <w:tr>
        <w:tc>
          <w:tcPr/>
          <w:bookmarkStart w:id="58" w:name="tbl-top-cwes"/>
          <w:p>
            <w:pPr>
              <w:jc w:val="center"/>
            </w:pPr>
            <w:pPr>
              <w:jc w:val="left"/>
              <w:spacing w:before="200"/>
              <w:pStyle w:val="ImageCaption"/>
            </w:pPr>
            <w:r>
              <w:t xml:space="preserve">Table 5: The 14 most-reported CWEs · All findings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rank</w:t>
                  </w:r>
                </w:p>
              </w:tc>
              <w:tc>
                <w:tcPr/>
                <w:p>
                  <w:pPr>
                    <w:pStyle w:val="Compact"/>
                    <w:jc w:val="left"/>
                    <w:jc w:val="center"/>
                  </w:pPr>
                  <w:r>
                    <w:t xml:space="preserve">CWE</w:t>
                  </w:r>
                </w:p>
              </w:tc>
              <w:tc>
                <w:tcPr/>
                <w:p>
                  <w:pPr>
                    <w:pStyle w:val="Compact"/>
                    <w:jc w:val="left"/>
                    <w:jc w:val="center"/>
                  </w:pPr>
                  <w:r>
                    <w:t xml:space="preserve">title</w:t>
                  </w:r>
                </w:p>
              </w:tc>
              <w:tc>
                <w:tcPr/>
                <w:p>
                  <w:pPr>
                    <w:pStyle w:val="Compact"/>
                    <w:jc w:val="right"/>
                    <w:jc w:val="center"/>
                  </w:pPr>
                  <w:r>
                    <w:t xml:space="preserve">findings</w:t>
                  </w:r>
                </w:p>
              </w:tc>
              <w:tc>
                <w:tcPr/>
                <w:p>
                  <w:pPr>
                    <w:pStyle w:val="Compact"/>
                    <w:jc w:val="right"/>
                    <w:jc w:val="center"/>
                  </w:pPr>
                  <w:r>
                    <w:t xml:space="preserve">cumulative %</w:t>
                  </w:r>
                </w:p>
              </w:tc>
            </w:tr>
            <w:tr>
              <w:tc>
                <w:tcPr/>
                <w:p>
                  <w:pPr>
                    <w:pStyle w:val="Compact"/>
                    <w:jc w:val="right"/>
                    <w:jc w:val="center"/>
                  </w:pPr>
                  <w:r>
                    <w:t xml:space="preserve">1</w:t>
                  </w:r>
                </w:p>
              </w:tc>
              <w:tc>
                <w:tcPr/>
                <w:p>
                  <w:pPr>
                    <w:pStyle w:val="Compact"/>
                    <w:jc w:val="left"/>
                    <w:jc w:val="center"/>
                  </w:pPr>
                  <w:r>
                    <w:t xml:space="preserve">CWE-307</w:t>
                  </w:r>
                </w:p>
              </w:tc>
              <w:tc>
                <w:tcPr/>
                <w:p>
                  <w:pPr>
                    <w:pStyle w:val="Compact"/>
                    <w:jc w:val="left"/>
                    <w:jc w:val="center"/>
                  </w:pPr>
                  <w:r>
                    <w:t xml:space="preserve">Improper Restriction of Excessive Authentication Attempts</w:t>
                  </w:r>
                </w:p>
              </w:tc>
              <w:tc>
                <w:tcPr/>
                <w:p>
                  <w:pPr>
                    <w:pStyle w:val="Compact"/>
                    <w:jc w:val="right"/>
                    <w:jc w:val="center"/>
                  </w:pPr>
                  <w:r>
                    <w:t xml:space="preserve">90</w:t>
                  </w:r>
                </w:p>
              </w:tc>
              <w:tc>
                <w:tcPr/>
                <w:p>
                  <w:pPr>
                    <w:pStyle w:val="Compact"/>
                    <w:jc w:val="right"/>
                    <w:jc w:val="center"/>
                  </w:pPr>
                  <w:r>
                    <w:t xml:space="preserve">7.4</w:t>
                  </w:r>
                </w:p>
              </w:tc>
            </w:tr>
            <w:tr>
              <w:tc>
                <w:tcPr/>
                <w:p>
                  <w:pPr>
                    <w:pStyle w:val="Compact"/>
                    <w:jc w:val="right"/>
                    <w:jc w:val="center"/>
                  </w:pPr>
                  <w:r>
                    <w:t xml:space="preserve">2</w:t>
                  </w:r>
                </w:p>
              </w:tc>
              <w:tc>
                <w:tcPr/>
                <w:p>
                  <w:pPr>
                    <w:pStyle w:val="Compact"/>
                    <w:jc w:val="left"/>
                    <w:jc w:val="center"/>
                  </w:pPr>
                  <w:r>
                    <w:t xml:space="preserve">CWE-400</w:t>
                  </w:r>
                </w:p>
              </w:tc>
              <w:tc>
                <w:tcPr/>
                <w:p>
                  <w:pPr>
                    <w:pStyle w:val="Compact"/>
                    <w:jc w:val="left"/>
                    <w:jc w:val="center"/>
                  </w:pPr>
                  <w:r>
                    <w:t xml:space="preserve">Uncontrolled Resource Consumption</w:t>
                  </w:r>
                </w:p>
              </w:tc>
              <w:tc>
                <w:tcPr/>
                <w:p>
                  <w:pPr>
                    <w:pStyle w:val="Compact"/>
                    <w:jc w:val="right"/>
                    <w:jc w:val="center"/>
                  </w:pPr>
                  <w:r>
                    <w:t xml:space="preserve">82</w:t>
                  </w:r>
                </w:p>
              </w:tc>
              <w:tc>
                <w:tcPr/>
                <w:p>
                  <w:pPr>
                    <w:pStyle w:val="Compact"/>
                    <w:jc w:val="right"/>
                    <w:jc w:val="center"/>
                  </w:pPr>
                  <w:r>
                    <w:t xml:space="preserve">14.1</w:t>
                  </w:r>
                </w:p>
              </w:tc>
            </w:tr>
            <w:tr>
              <w:tc>
                <w:tcPr/>
                <w:p>
                  <w:pPr>
                    <w:pStyle w:val="Compact"/>
                    <w:jc w:val="right"/>
                    <w:jc w:val="center"/>
                  </w:pPr>
                  <w:r>
                    <w:t xml:space="preserve">3</w:t>
                  </w:r>
                </w:p>
              </w:tc>
              <w:tc>
                <w:tcPr/>
                <w:p>
                  <w:pPr>
                    <w:pStyle w:val="Compact"/>
                    <w:jc w:val="left"/>
                    <w:jc w:val="center"/>
                  </w:pPr>
                  <w:r>
                    <w:t xml:space="preserve">CWE-916</w:t>
                  </w:r>
                </w:p>
              </w:tc>
              <w:tc>
                <w:tcPr/>
                <w:p>
                  <w:pPr>
                    <w:pStyle w:val="Compact"/>
                    <w:jc w:val="left"/>
                    <w:jc w:val="center"/>
                  </w:pPr>
                  <w:r>
                    <w:t xml:space="preserve">Use of Password Hash With Insufficient Computational Effort</w:t>
                  </w:r>
                </w:p>
              </w:tc>
              <w:tc>
                <w:tcPr/>
                <w:p>
                  <w:pPr>
                    <w:pStyle w:val="Compact"/>
                    <w:jc w:val="right"/>
                    <w:jc w:val="center"/>
                  </w:pPr>
                  <w:r>
                    <w:t xml:space="preserve">58</w:t>
                  </w:r>
                </w:p>
              </w:tc>
              <w:tc>
                <w:tcPr/>
                <w:p>
                  <w:pPr>
                    <w:pStyle w:val="Compact"/>
                    <w:jc w:val="right"/>
                    <w:jc w:val="center"/>
                  </w:pPr>
                  <w:r>
                    <w:t xml:space="preserve">18.9</w:t>
                  </w:r>
                </w:p>
              </w:tc>
            </w:tr>
            <w:tr>
              <w:tc>
                <w:tcPr/>
                <w:p>
                  <w:pPr>
                    <w:pStyle w:val="Compact"/>
                    <w:jc w:val="right"/>
                    <w:jc w:val="center"/>
                  </w:pPr>
                  <w:r>
                    <w:t xml:space="preserve">4</w:t>
                  </w:r>
                </w:p>
              </w:tc>
              <w:tc>
                <w:tcPr/>
                <w:p>
                  <w:pPr>
                    <w:pStyle w:val="Compact"/>
                    <w:jc w:val="left"/>
                    <w:jc w:val="center"/>
                  </w:pPr>
                  <w:r>
                    <w:t xml:space="preserve">CWE-316</w:t>
                  </w:r>
                </w:p>
              </w:tc>
              <w:tc>
                <w:tcPr/>
                <w:p>
                  <w:pPr>
                    <w:pStyle w:val="Compact"/>
                    <w:jc w:val="left"/>
                    <w:jc w:val="center"/>
                  </w:pPr>
                  <w:r>
                    <w:t xml:space="preserve">Cleartext Storage of Sensitive Information in Memory</w:t>
                  </w:r>
                </w:p>
              </w:tc>
              <w:tc>
                <w:tcPr/>
                <w:p>
                  <w:pPr>
                    <w:pStyle w:val="Compact"/>
                    <w:jc w:val="right"/>
                    <w:jc w:val="center"/>
                  </w:pPr>
                  <w:r>
                    <w:t xml:space="preserve">52</w:t>
                  </w:r>
                </w:p>
              </w:tc>
              <w:tc>
                <w:tcPr/>
                <w:p>
                  <w:pPr>
                    <w:pStyle w:val="Compact"/>
                    <w:jc w:val="right"/>
                    <w:jc w:val="center"/>
                  </w:pPr>
                  <w:r>
                    <w:t xml:space="preserve">23.2</w:t>
                  </w:r>
                </w:p>
              </w:tc>
            </w:tr>
            <w:tr>
              <w:tc>
                <w:tcPr/>
                <w:p>
                  <w:pPr>
                    <w:pStyle w:val="Compact"/>
                    <w:jc w:val="right"/>
                    <w:jc w:val="center"/>
                  </w:pPr>
                  <w:r>
                    <w:t xml:space="preserve">5</w:t>
                  </w:r>
                </w:p>
              </w:tc>
              <w:tc>
                <w:tcPr/>
                <w:p>
                  <w:pPr>
                    <w:pStyle w:val="Compact"/>
                    <w:jc w:val="left"/>
                    <w:jc w:val="center"/>
                  </w:pPr>
                  <w:r>
                    <w:t xml:space="preserve">CWE-732</w:t>
                  </w:r>
                </w:p>
              </w:tc>
              <w:tc>
                <w:tcPr/>
                <w:p>
                  <w:pPr>
                    <w:pStyle w:val="Compact"/>
                    <w:jc w:val="left"/>
                    <w:jc w:val="center"/>
                  </w:pPr>
                  <w:r>
                    <w:t xml:space="preserve">Incorrect Permission Assignment for Critical Resource</w:t>
                  </w:r>
                </w:p>
              </w:tc>
              <w:tc>
                <w:tcPr/>
                <w:p>
                  <w:pPr>
                    <w:pStyle w:val="Compact"/>
                    <w:jc w:val="right"/>
                    <w:jc w:val="center"/>
                  </w:pPr>
                  <w:r>
                    <w:t xml:space="preserve">50</w:t>
                  </w:r>
                </w:p>
              </w:tc>
              <w:tc>
                <w:tcPr/>
                <w:p>
                  <w:pPr>
                    <w:pStyle w:val="Compact"/>
                    <w:jc w:val="right"/>
                    <w:jc w:val="center"/>
                  </w:pPr>
                  <w:r>
                    <w:t xml:space="preserve">27.3</w:t>
                  </w:r>
                </w:p>
              </w:tc>
            </w:tr>
            <w:tr>
              <w:tc>
                <w:tcPr/>
                <w:p>
                  <w:pPr>
                    <w:pStyle w:val="Compact"/>
                    <w:jc w:val="right"/>
                    <w:jc w:val="center"/>
                  </w:pPr>
                  <w:r>
                    <w:t xml:space="preserve">6</w:t>
                  </w:r>
                </w:p>
              </w:tc>
              <w:tc>
                <w:tcPr/>
                <w:p>
                  <w:pPr>
                    <w:pStyle w:val="Compact"/>
                    <w:jc w:val="left"/>
                    <w:jc w:val="center"/>
                  </w:pPr>
                  <w:r>
                    <w:t xml:space="preserve">CWE-521</w:t>
                  </w:r>
                </w:p>
              </w:tc>
              <w:tc>
                <w:tcPr/>
                <w:p>
                  <w:pPr>
                    <w:pStyle w:val="Compact"/>
                    <w:jc w:val="left"/>
                    <w:jc w:val="center"/>
                  </w:pPr>
                  <w:r>
                    <w:t xml:space="preserve">Weak Password Requirements</w:t>
                  </w:r>
                </w:p>
              </w:tc>
              <w:tc>
                <w:tcPr/>
                <w:p>
                  <w:pPr>
                    <w:pStyle w:val="Compact"/>
                    <w:jc w:val="right"/>
                    <w:jc w:val="center"/>
                  </w:pPr>
                  <w:r>
                    <w:t xml:space="preserve">49</w:t>
                  </w:r>
                </w:p>
              </w:tc>
              <w:tc>
                <w:tcPr/>
                <w:p>
                  <w:pPr>
                    <w:pStyle w:val="Compact"/>
                    <w:jc w:val="right"/>
                    <w:jc w:val="center"/>
                  </w:pPr>
                  <w:r>
                    <w:t xml:space="preserve">31.3</w:t>
                  </w:r>
                </w:p>
              </w:tc>
            </w:tr>
            <w:tr>
              <w:tc>
                <w:tcPr/>
                <w:p>
                  <w:pPr>
                    <w:pStyle w:val="Compact"/>
                    <w:jc w:val="right"/>
                    <w:jc w:val="center"/>
                  </w:pPr>
                  <w:r>
                    <w:t xml:space="preserve">7</w:t>
                  </w:r>
                </w:p>
              </w:tc>
              <w:tc>
                <w:tcPr/>
                <w:p>
                  <w:pPr>
                    <w:pStyle w:val="Compact"/>
                    <w:jc w:val="left"/>
                    <w:jc w:val="center"/>
                  </w:pPr>
                  <w:r>
                    <w:t xml:space="preserve">CWE-770</w:t>
                  </w:r>
                </w:p>
              </w:tc>
              <w:tc>
                <w:tcPr/>
                <w:p>
                  <w:pPr>
                    <w:pStyle w:val="Compact"/>
                    <w:jc w:val="left"/>
                    <w:jc w:val="center"/>
                  </w:pPr>
                  <w:r>
                    <w:t xml:space="preserve">Allocation of Resources Without Limits or Throttling</w:t>
                  </w:r>
                </w:p>
              </w:tc>
              <w:tc>
                <w:tcPr/>
                <w:p>
                  <w:pPr>
                    <w:pStyle w:val="Compact"/>
                    <w:jc w:val="right"/>
                    <w:jc w:val="center"/>
                  </w:pPr>
                  <w:r>
                    <w:t xml:space="preserve">40</w:t>
                  </w:r>
                </w:p>
              </w:tc>
              <w:tc>
                <w:tcPr/>
                <w:p>
                  <w:pPr>
                    <w:pStyle w:val="Compact"/>
                    <w:jc w:val="right"/>
                    <w:jc w:val="center"/>
                  </w:pPr>
                  <w:r>
                    <w:t xml:space="preserve">34.6</w:t>
                  </w:r>
                </w:p>
              </w:tc>
            </w:tr>
            <w:tr>
              <w:tc>
                <w:tcPr/>
                <w:p>
                  <w:pPr>
                    <w:pStyle w:val="Compact"/>
                    <w:jc w:val="right"/>
                    <w:jc w:val="center"/>
                  </w:pPr>
                  <w:r>
                    <w:t xml:space="preserve">8</w:t>
                  </w:r>
                </w:p>
              </w:tc>
              <w:tc>
                <w:tcPr/>
                <w:p>
                  <w:pPr>
                    <w:pStyle w:val="Compact"/>
                    <w:jc w:val="left"/>
                    <w:jc w:val="center"/>
                  </w:pPr>
                  <w:r>
                    <w:t xml:space="preserve">CWE-367</w:t>
                  </w:r>
                </w:p>
              </w:tc>
              <w:tc>
                <w:tcPr/>
                <w:p>
                  <w:pPr>
                    <w:pStyle w:val="Compact"/>
                    <w:jc w:val="left"/>
                    <w:jc w:val="center"/>
                  </w:pPr>
                  <w:r>
                    <w:t xml:space="preserve">Time-of-check Time-of-use (TOCTOU) Race Condition</w:t>
                  </w:r>
                </w:p>
              </w:tc>
              <w:tc>
                <w:tcPr/>
                <w:p>
                  <w:pPr>
                    <w:pStyle w:val="Compact"/>
                    <w:jc w:val="right"/>
                    <w:jc w:val="center"/>
                  </w:pPr>
                  <w:r>
                    <w:t xml:space="preserve">35</w:t>
                  </w:r>
                </w:p>
              </w:tc>
              <w:tc>
                <w:tcPr/>
                <w:p>
                  <w:pPr>
                    <w:pStyle w:val="Compact"/>
                    <w:jc w:val="right"/>
                    <w:jc w:val="center"/>
                  </w:pPr>
                  <w:r>
                    <w:t xml:space="preserve">37.5</w:t>
                  </w:r>
                </w:p>
              </w:tc>
            </w:tr>
            <w:tr>
              <w:tc>
                <w:tcPr/>
                <w:p>
                  <w:pPr>
                    <w:pStyle w:val="Compact"/>
                    <w:jc w:val="right"/>
                    <w:jc w:val="center"/>
                  </w:pPr>
                  <w:r>
                    <w:t xml:space="preserve">9</w:t>
                  </w:r>
                </w:p>
              </w:tc>
              <w:tc>
                <w:tcPr/>
                <w:p>
                  <w:pPr>
                    <w:pStyle w:val="Compact"/>
                    <w:jc w:val="left"/>
                    <w:jc w:val="center"/>
                  </w:pPr>
                  <w:r>
                    <w:t xml:space="preserve">CWE-362</w:t>
                  </w:r>
                </w:p>
              </w:tc>
              <w:tc>
                <w:tcPr/>
                <w:p>
                  <w:pPr>
                    <w:pStyle w:val="Compact"/>
                    <w:jc w:val="left"/>
                    <w:jc w:val="center"/>
                  </w:pPr>
                  <w:r>
                    <w:t xml:space="preserve">Concurrent Execution using Shared Resource with Improper Synchronization (</w:t>
                  </w:r>
                  <w:r>
                    <w:t xml:space="preserve">‘Race Condition’</w:t>
                  </w:r>
                  <w:r>
                    <w:t xml:space="preserve">)</w:t>
                  </w:r>
                </w:p>
              </w:tc>
              <w:tc>
                <w:tcPr/>
                <w:p>
                  <w:pPr>
                    <w:pStyle w:val="Compact"/>
                    <w:jc w:val="right"/>
                    <w:jc w:val="center"/>
                  </w:pPr>
                  <w:r>
                    <w:t xml:space="preserve">32</w:t>
                  </w:r>
                </w:p>
              </w:tc>
              <w:tc>
                <w:tcPr/>
                <w:p>
                  <w:pPr>
                    <w:pStyle w:val="Compact"/>
                    <w:jc w:val="right"/>
                    <w:jc w:val="center"/>
                  </w:pPr>
                  <w:r>
                    <w:t xml:space="preserve">40.1</w:t>
                  </w:r>
                </w:p>
              </w:tc>
            </w:tr>
            <w:tr>
              <w:tc>
                <w:tcPr/>
                <w:p>
                  <w:pPr>
                    <w:pStyle w:val="Compact"/>
                    <w:jc w:val="right"/>
                    <w:jc w:val="center"/>
                  </w:pPr>
                  <w:r>
                    <w:t xml:space="preserve">10</w:t>
                  </w:r>
                </w:p>
              </w:tc>
              <w:tc>
                <w:tcPr/>
                <w:p>
                  <w:pPr>
                    <w:pStyle w:val="Compact"/>
                    <w:jc w:val="left"/>
                    <w:jc w:val="center"/>
                  </w:pPr>
                  <w:r>
                    <w:t xml:space="preserve">CWE-208</w:t>
                  </w:r>
                </w:p>
              </w:tc>
              <w:tc>
                <w:tcPr/>
                <w:p>
                  <w:pPr>
                    <w:pStyle w:val="Compact"/>
                    <w:jc w:val="left"/>
                    <w:jc w:val="center"/>
                  </w:pPr>
                  <w:r>
                    <w:t xml:space="preserve">Observable Timing Discrepancy</w:t>
                  </w:r>
                </w:p>
              </w:tc>
              <w:tc>
                <w:tcPr/>
                <w:p>
                  <w:pPr>
                    <w:pStyle w:val="Compact"/>
                    <w:jc w:val="right"/>
                    <w:jc w:val="center"/>
                  </w:pPr>
                  <w:r>
                    <w:t xml:space="preserve">31</w:t>
                  </w:r>
                </w:p>
              </w:tc>
              <w:tc>
                <w:tcPr/>
                <w:p>
                  <w:pPr>
                    <w:pStyle w:val="Compact"/>
                    <w:jc w:val="right"/>
                    <w:jc w:val="center"/>
                  </w:pPr>
                  <w:r>
                    <w:t xml:space="preserve">42.6</w:t>
                  </w:r>
                </w:p>
              </w:tc>
            </w:tr>
            <w:tr>
              <w:tc>
                <w:tcPr/>
                <w:p>
                  <w:pPr>
                    <w:pStyle w:val="Compact"/>
                    <w:jc w:val="right"/>
                    <w:jc w:val="center"/>
                  </w:pPr>
                  <w:r>
                    <w:t xml:space="preserve">11</w:t>
                  </w:r>
                </w:p>
              </w:tc>
              <w:tc>
                <w:tcPr/>
                <w:p>
                  <w:pPr>
                    <w:pStyle w:val="Compact"/>
                    <w:jc w:val="left"/>
                    <w:jc w:val="center"/>
                  </w:pPr>
                  <w:r>
                    <w:t xml:space="preserve">CWE-532</w:t>
                  </w:r>
                </w:p>
              </w:tc>
              <w:tc>
                <w:tcPr/>
                <w:p>
                  <w:pPr>
                    <w:pStyle w:val="Compact"/>
                    <w:jc w:val="left"/>
                    <w:jc w:val="center"/>
                  </w:pPr>
                  <w:r>
                    <w:t xml:space="preserve">Insertion of Sensitive Information into Log File</w:t>
                  </w:r>
                </w:p>
              </w:tc>
              <w:tc>
                <w:tcPr/>
                <w:p>
                  <w:pPr>
                    <w:pStyle w:val="Compact"/>
                    <w:jc w:val="right"/>
                    <w:jc w:val="center"/>
                  </w:pPr>
                  <w:r>
                    <w:t xml:space="preserve">31</w:t>
                  </w:r>
                </w:p>
              </w:tc>
              <w:tc>
                <w:tcPr/>
                <w:p>
                  <w:pPr>
                    <w:pStyle w:val="Compact"/>
                    <w:jc w:val="right"/>
                    <w:jc w:val="center"/>
                  </w:pPr>
                  <w:r>
                    <w:t xml:space="preserve">45.2</w:t>
                  </w:r>
                </w:p>
              </w:tc>
            </w:tr>
            <w:tr>
              <w:tc>
                <w:tcPr/>
                <w:p>
                  <w:pPr>
                    <w:pStyle w:val="Compact"/>
                    <w:jc w:val="right"/>
                    <w:jc w:val="center"/>
                  </w:pPr>
                  <w:r>
                    <w:t xml:space="preserve">12</w:t>
                  </w:r>
                </w:p>
              </w:tc>
              <w:tc>
                <w:tcPr/>
                <w:p>
                  <w:pPr>
                    <w:pStyle w:val="Compact"/>
                    <w:jc w:val="left"/>
                    <w:jc w:val="center"/>
                  </w:pPr>
                  <w:r>
                    <w:t xml:space="preserve">CWE-798</w:t>
                  </w:r>
                </w:p>
              </w:tc>
              <w:tc>
                <w:tcPr/>
                <w:p>
                  <w:pPr>
                    <w:pStyle w:val="Compact"/>
                    <w:jc w:val="left"/>
                    <w:jc w:val="center"/>
                  </w:pPr>
                  <w:r>
                    <w:t xml:space="preserve">Use of Hard-coded Credentials</w:t>
                  </w:r>
                </w:p>
              </w:tc>
              <w:tc>
                <w:tcPr/>
                <w:p>
                  <w:pPr>
                    <w:pStyle w:val="Compact"/>
                    <w:jc w:val="right"/>
                    <w:jc w:val="center"/>
                  </w:pPr>
                  <w:r>
                    <w:t xml:space="preserve">31</w:t>
                  </w:r>
                </w:p>
              </w:tc>
              <w:tc>
                <w:tcPr/>
                <w:p>
                  <w:pPr>
                    <w:pStyle w:val="Compact"/>
                    <w:jc w:val="right"/>
                    <w:jc w:val="center"/>
                  </w:pPr>
                  <w:r>
                    <w:t xml:space="preserve">47.7</w:t>
                  </w:r>
                </w:p>
              </w:tc>
            </w:tr>
            <w:tr>
              <w:tc>
                <w:tcPr/>
                <w:p>
                  <w:pPr>
                    <w:pStyle w:val="Compact"/>
                    <w:jc w:val="right"/>
                    <w:jc w:val="center"/>
                  </w:pPr>
                  <w:r>
                    <w:t xml:space="preserve">13</w:t>
                  </w:r>
                </w:p>
              </w:tc>
              <w:tc>
                <w:tcPr/>
                <w:p>
                  <w:pPr>
                    <w:pStyle w:val="Compact"/>
                    <w:jc w:val="left"/>
                    <w:jc w:val="center"/>
                  </w:pPr>
                  <w:r>
                    <w:t xml:space="preserve">CWE-204</w:t>
                  </w:r>
                </w:p>
              </w:tc>
              <w:tc>
                <w:tcPr/>
                <w:p>
                  <w:pPr>
                    <w:pStyle w:val="Compact"/>
                    <w:jc w:val="left"/>
                    <w:jc w:val="center"/>
                  </w:pPr>
                  <w:r>
                    <w:t xml:space="preserve">Observable Response Discrepancy</w:t>
                  </w:r>
                </w:p>
              </w:tc>
              <w:tc>
                <w:tcPr/>
                <w:p>
                  <w:pPr>
                    <w:pStyle w:val="Compact"/>
                    <w:jc w:val="right"/>
                    <w:jc w:val="center"/>
                  </w:pPr>
                  <w:r>
                    <w:t xml:space="preserve">26</w:t>
                  </w:r>
                </w:p>
              </w:tc>
              <w:tc>
                <w:tcPr/>
                <w:p>
                  <w:pPr>
                    <w:pStyle w:val="Compact"/>
                    <w:jc w:val="right"/>
                    <w:jc w:val="center"/>
                  </w:pPr>
                  <w:r>
                    <w:t xml:space="preserve">49.9</w:t>
                  </w:r>
                </w:p>
              </w:tc>
            </w:tr>
            <w:tr>
              <w:tc>
                <w:tcPr/>
                <w:p>
                  <w:pPr>
                    <w:pStyle w:val="Compact"/>
                    <w:jc w:val="right"/>
                    <w:jc w:val="center"/>
                  </w:pPr>
                  <w:r>
                    <w:t xml:space="preserve">14</w:t>
                  </w:r>
                </w:p>
              </w:tc>
              <w:tc>
                <w:tcPr/>
                <w:p>
                  <w:pPr>
                    <w:pStyle w:val="Compact"/>
                    <w:jc w:val="left"/>
                    <w:jc w:val="center"/>
                  </w:pPr>
                  <w:r>
                    <w:t xml:space="preserve">CWE-209</w:t>
                  </w:r>
                </w:p>
              </w:tc>
              <w:tc>
                <w:tcPr/>
                <w:p>
                  <w:pPr>
                    <w:pStyle w:val="Compact"/>
                    <w:jc w:val="left"/>
                    <w:jc w:val="center"/>
                  </w:pPr>
                  <w:r>
                    <w:t xml:space="preserve">Generation of Error Message Containing Sensitive Information</w:t>
                  </w:r>
                </w:p>
              </w:tc>
              <w:tc>
                <w:tcPr/>
                <w:p>
                  <w:pPr>
                    <w:pStyle w:val="Compact"/>
                    <w:jc w:val="right"/>
                    <w:jc w:val="center"/>
                  </w:pPr>
                  <w:r>
                    <w:t xml:space="preserve">25</w:t>
                  </w:r>
                </w:p>
              </w:tc>
              <w:tc>
                <w:tcPr/>
                <w:p>
                  <w:pPr>
                    <w:pStyle w:val="Compact"/>
                    <w:jc w:val="right"/>
                    <w:jc w:val="center"/>
                  </w:pPr>
                  <w:r>
                    <w:t xml:space="preserve">51.9</w:t>
                  </w:r>
                </w:p>
              </w:tc>
            </w:tr>
          </w:tbl>
          <w:bookmarkEnd w:id="58"/>
          <w:p/>
        </w:tc>
      </w:tr>
    </w:tbl>
    <w:bookmarkStart w:id="69" w:name="findings-per-review-by-category"/>
    <w:p>
      <w:pPr>
        <w:pStyle w:val="Heading4"/>
      </w:pPr>
      <w:r>
        <w:t xml:space="preserve">4.3.1 Findings per review by category</w:t>
      </w:r>
    </w:p>
    <w:tbl>
      <w:tblPr>
        <w:tblStyle w:val="Table"/>
        <w:tblW w:type="pct" w:w="5000"/>
        <w:tblLayout w:type="fixed"/>
        <w:tblLook w:firstRow="0" w:lastRow="0" w:firstColumn="0" w:lastColumn="0" w:noHBand="0" w:noVBand="0" w:val="0000"/>
      </w:tblPr>
      <w:tblGrid>
        <w:gridCol w:w="7920"/>
      </w:tblGrid>
      <w:tr>
        <w:tc>
          <w:tcPr/>
          <w:bookmarkStart w:id="62" w:name="fig-cwe-rates"/>
          <w:p>
            <w:pPr>
              <w:pStyle w:val="Compact"/>
              <w:jc w:val="center"/>
            </w:pPr>
            <w:r>
              <w:drawing>
                <wp:inline>
                  <wp:extent cx="5334000" cy="4310222"/>
                  <wp:effectExtent b="0" l="0" r="0" t="0"/>
                  <wp:docPr descr="" title="" id="60" name="Picture"/>
                  <a:graphic>
                    <a:graphicData uri="http://schemas.openxmlformats.org/drawingml/2006/picture">
                      <pic:pic>
                        <pic:nvPicPr>
                          <pic:cNvPr descr="report_files/figure-docx/fig-cwe-rates-output-1.png" id="61" name="Picture"/>
                          <pic:cNvPicPr>
                            <a:picLocks noChangeArrowheads="1" noChangeAspect="1"/>
                          </pic:cNvPicPr>
                        </pic:nvPicPr>
                        <pic:blipFill>
                          <a:blip r:embed="rId59"/>
                          <a:stretch>
                            <a:fillRect/>
                          </a:stretch>
                        </pic:blipFill>
                        <pic:spPr bwMode="auto">
                          <a:xfrm>
                            <a:off x="0" y="0"/>
                            <a:ext cx="5334000" cy="4310222"/>
                          </a:xfrm>
                          <a:prstGeom prst="rect">
                            <a:avLst/>
                          </a:prstGeom>
                          <a:noFill/>
                          <a:ln w="9525">
                            <a:noFill/>
                            <a:headEnd/>
                            <a:tailEnd/>
                          </a:ln>
                        </pic:spPr>
                      </pic:pic>
                    </a:graphicData>
                  </a:graphic>
                </wp:inline>
              </w:drawing>
            </w:r>
          </w:p>
          <w:p>
            <w:pPr>
              <w:jc w:val="center"/>
            </w:pPr>
            <w:pPr>
              <w:jc w:val="left"/>
              <w:spacing w:before="200"/>
              <w:pStyle w:val="ImageCaption"/>
            </w:pPr>
            <w:r>
              <w:t xml:space="preserve">Figure 9: Findings per review by CWE · All three conditions, self-review</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cwe-rates"/>
          <w:p>
            <w:pPr>
              <w:jc w:val="center"/>
            </w:pPr>
            <w:pPr>
              <w:jc w:val="left"/>
              <w:spacing w:before="200"/>
              <w:pStyle w:val="ImageCaption"/>
            </w:pPr>
            <w:r>
              <w:t xml:space="preserve">Table 6: Findings per review by CWE, with the change from the Stage 1 average · All three conditions, self-review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category</w:t>
                  </w:r>
                </w:p>
              </w:tc>
              <w:tc>
                <w:tcPr/>
                <w:p>
                  <w:pPr>
                    <w:pStyle w:val="Compact"/>
                    <w:jc w:val="right"/>
                    <w:jc w:val="center"/>
                  </w:pPr>
                  <w:r>
                    <w:t xml:space="preserve">Basic</w:t>
                  </w:r>
                </w:p>
              </w:tc>
              <w:tc>
                <w:tcPr/>
                <w:p>
                  <w:pPr>
                    <w:pStyle w:val="Compact"/>
                    <w:jc w:val="right"/>
                    <w:jc w:val="center"/>
                  </w:pPr>
                  <w:r>
                    <w:t xml:space="preserve">Security-aware</w:t>
                  </w:r>
                </w:p>
              </w:tc>
              <w:tc>
                <w:tcPr/>
                <w:p>
                  <w:pPr>
                    <w:pStyle w:val="Compact"/>
                    <w:jc w:val="right"/>
                    <w:jc w:val="center"/>
                  </w:pPr>
                  <w:r>
                    <w:t xml:space="preserve">Security-informed</w:t>
                  </w:r>
                </w:p>
              </w:tc>
              <w:tc>
                <w:tcPr/>
                <w:p>
                  <w:pPr>
                    <w:pStyle w:val="Compact"/>
                    <w:jc w:val="right"/>
                    <w:jc w:val="center"/>
                  </w:pPr>
                  <w:r>
                    <w:t xml:space="preserve">change vs Stage 1 average %</w:t>
                  </w:r>
                </w:p>
              </w:tc>
            </w:tr>
            <w:tr>
              <w:tc>
                <w:tcPr/>
                <w:p>
                  <w:pPr>
                    <w:pStyle w:val="Compact"/>
                    <w:jc w:val="left"/>
                    <w:jc w:val="center"/>
                  </w:pPr>
                  <w:r>
                    <w:t xml:space="preserve">CWE-307 Improper Restriction of Excessive…</w:t>
                  </w:r>
                </w:p>
              </w:tc>
              <w:tc>
                <w:tcPr/>
                <w:p>
                  <w:pPr>
                    <w:pStyle w:val="Compact"/>
                    <w:jc w:val="right"/>
                    <w:jc w:val="center"/>
                  </w:pPr>
                  <w:r>
                    <w:t xml:space="preserve">0.48</w:t>
                  </w:r>
                </w:p>
              </w:tc>
              <w:tc>
                <w:tcPr/>
                <w:p>
                  <w:pPr>
                    <w:pStyle w:val="Compact"/>
                    <w:jc w:val="right"/>
                    <w:jc w:val="center"/>
                  </w:pPr>
                  <w:r>
                    <w:t xml:space="preserve">0.48</w:t>
                  </w:r>
                </w:p>
              </w:tc>
              <w:tc>
                <w:tcPr/>
                <w:p>
                  <w:pPr>
                    <w:pStyle w:val="Compact"/>
                    <w:jc w:val="right"/>
                    <w:jc w:val="center"/>
                  </w:pPr>
                  <w:r>
                    <w:t xml:space="preserve">0.5</w:t>
                  </w:r>
                </w:p>
              </w:tc>
              <w:tc>
                <w:tcPr/>
                <w:p>
                  <w:pPr>
                    <w:pStyle w:val="Compact"/>
                    <w:jc w:val="right"/>
                    <w:jc w:val="center"/>
                  </w:pPr>
                  <w:r>
                    <w:t xml:space="preserve">4.0</w:t>
                  </w:r>
                </w:p>
              </w:tc>
            </w:tr>
            <w:tr>
              <w:tc>
                <w:tcPr/>
                <w:p>
                  <w:pPr>
                    <w:pStyle w:val="Compact"/>
                    <w:jc w:val="left"/>
                    <w:jc w:val="center"/>
                  </w:pPr>
                  <w:r>
                    <w:t xml:space="preserve">CWE-400 Uncontrolled Resource Consumption</w:t>
                  </w:r>
                </w:p>
              </w:tc>
              <w:tc>
                <w:tcPr/>
                <w:p>
                  <w:pPr>
                    <w:pStyle w:val="Compact"/>
                    <w:jc w:val="right"/>
                    <w:jc w:val="center"/>
                  </w:pPr>
                  <w:r>
                    <w:t xml:space="preserve">0.35</w:t>
                  </w:r>
                </w:p>
              </w:tc>
              <w:tc>
                <w:tcPr/>
                <w:p>
                  <w:pPr>
                    <w:pStyle w:val="Compact"/>
                    <w:jc w:val="right"/>
                    <w:jc w:val="center"/>
                  </w:pPr>
                  <w:r>
                    <w:t xml:space="preserve">0.31</w:t>
                  </w:r>
                </w:p>
              </w:tc>
              <w:tc>
                <w:tcPr/>
                <w:p>
                  <w:pPr>
                    <w:pStyle w:val="Compact"/>
                    <w:jc w:val="right"/>
                    <w:jc w:val="center"/>
                  </w:pPr>
                  <w:r>
                    <w:t xml:space="preserve">0.5</w:t>
                  </w:r>
                </w:p>
              </w:tc>
              <w:tc>
                <w:tcPr/>
                <w:p>
                  <w:pPr>
                    <w:pStyle w:val="Compact"/>
                    <w:jc w:val="right"/>
                    <w:jc w:val="center"/>
                  </w:pPr>
                  <w:r>
                    <w:t xml:space="preserve">50.0</w:t>
                  </w:r>
                </w:p>
              </w:tc>
            </w:tr>
            <w:tr>
              <w:tc>
                <w:tcPr/>
                <w:p>
                  <w:pPr>
                    <w:pStyle w:val="Compact"/>
                    <w:jc w:val="left"/>
                    <w:jc w:val="center"/>
                  </w:pPr>
                  <w:r>
                    <w:t xml:space="preserve">CWE-916 Use of Password Hash With Insufficient…</w:t>
                  </w:r>
                </w:p>
              </w:tc>
              <w:tc>
                <w:tcPr/>
                <w:p>
                  <w:pPr>
                    <w:pStyle w:val="Compact"/>
                    <w:jc w:val="right"/>
                    <w:jc w:val="center"/>
                  </w:pPr>
                  <w:r>
                    <w:t xml:space="preserve">0.38</w:t>
                  </w:r>
                </w:p>
              </w:tc>
              <w:tc>
                <w:tcPr/>
                <w:p>
                  <w:pPr>
                    <w:pStyle w:val="Compact"/>
                    <w:jc w:val="right"/>
                    <w:jc w:val="center"/>
                  </w:pPr>
                  <w:r>
                    <w:t xml:space="preserve">0.38</w:t>
                  </w:r>
                </w:p>
              </w:tc>
              <w:tc>
                <w:tcPr/>
                <w:p>
                  <w:pPr>
                    <w:pStyle w:val="Compact"/>
                    <w:jc w:val="right"/>
                    <w:jc w:val="center"/>
                  </w:pPr>
                  <w:r>
                    <w:t xml:space="preserve">0.25</w:t>
                  </w:r>
                </w:p>
              </w:tc>
              <w:tc>
                <w:tcPr/>
                <w:p>
                  <w:pPr>
                    <w:pStyle w:val="Compact"/>
                    <w:jc w:val="right"/>
                    <w:jc w:val="center"/>
                  </w:pPr>
                  <w:r>
                    <w:t xml:space="preserve">-33.0</w:t>
                  </w:r>
                </w:p>
              </w:tc>
            </w:tr>
            <w:tr>
              <w:tc>
                <w:tcPr/>
                <w:p>
                  <w:pPr>
                    <w:pStyle w:val="Compact"/>
                    <w:jc w:val="left"/>
                    <w:jc w:val="center"/>
                  </w:pPr>
                  <w:r>
                    <w:t xml:space="preserve">CWE-316 Cleartext Storage of Sensitive Information…</w:t>
                  </w:r>
                </w:p>
              </w:tc>
              <w:tc>
                <w:tcPr/>
                <w:p>
                  <w:pPr>
                    <w:pStyle w:val="Compact"/>
                    <w:jc w:val="right"/>
                    <w:jc w:val="center"/>
                  </w:pPr>
                  <w:r>
                    <w:t xml:space="preserve">0.29</w:t>
                  </w:r>
                </w:p>
              </w:tc>
              <w:tc>
                <w:tcPr/>
                <w:p>
                  <w:pPr>
                    <w:pStyle w:val="Compact"/>
                    <w:jc w:val="right"/>
                    <w:jc w:val="center"/>
                  </w:pPr>
                  <w:r>
                    <w:t xml:space="preserve">0.31</w:t>
                  </w:r>
                </w:p>
              </w:tc>
              <w:tc>
                <w:tcPr/>
                <w:p>
                  <w:pPr>
                    <w:pStyle w:val="Compact"/>
                    <w:jc w:val="right"/>
                    <w:jc w:val="center"/>
                  </w:pPr>
                  <w:r>
                    <w:t xml:space="preserve">0.21</w:t>
                  </w:r>
                </w:p>
              </w:tc>
              <w:tc>
                <w:tcPr/>
                <w:p>
                  <w:pPr>
                    <w:pStyle w:val="Compact"/>
                    <w:jc w:val="right"/>
                    <w:jc w:val="center"/>
                  </w:pPr>
                  <w:r>
                    <w:t xml:space="preserve">-31.0</w:t>
                  </w:r>
                </w:p>
              </w:tc>
            </w:tr>
            <w:tr>
              <w:tc>
                <w:tcPr/>
                <w:p>
                  <w:pPr>
                    <w:pStyle w:val="Compact"/>
                    <w:jc w:val="left"/>
                    <w:jc w:val="center"/>
                  </w:pPr>
                  <w:r>
                    <w:t xml:space="preserve">CWE-732 Incorrect Permission Assignment for Critical…</w:t>
                  </w:r>
                </w:p>
              </w:tc>
              <w:tc>
                <w:tcPr/>
                <w:p>
                  <w:pPr>
                    <w:pStyle w:val="Compact"/>
                    <w:jc w:val="right"/>
                    <w:jc w:val="center"/>
                  </w:pPr>
                  <w:r>
                    <w:t xml:space="preserve">0.31</w:t>
                  </w:r>
                </w:p>
              </w:tc>
              <w:tc>
                <w:tcPr/>
                <w:p>
                  <w:pPr>
                    <w:pStyle w:val="Compact"/>
                    <w:jc w:val="right"/>
                    <w:jc w:val="center"/>
                  </w:pPr>
                  <w:r>
                    <w:t xml:space="preserve">0.25</w:t>
                  </w:r>
                </w:p>
              </w:tc>
              <w:tc>
                <w:tcPr/>
                <w:p>
                  <w:pPr>
                    <w:pStyle w:val="Compact"/>
                    <w:jc w:val="right"/>
                    <w:jc w:val="center"/>
                  </w:pPr>
                  <w:r>
                    <w:t xml:space="preserve">0.29</w:t>
                  </w:r>
                </w:p>
              </w:tc>
              <w:tc>
                <w:tcPr/>
                <w:p>
                  <w:pPr>
                    <w:pStyle w:val="Compact"/>
                    <w:jc w:val="right"/>
                    <w:jc w:val="center"/>
                  </w:pPr>
                  <w:r>
                    <w:t xml:space="preserve">4.0</w:t>
                  </w:r>
                </w:p>
              </w:tc>
            </w:tr>
            <w:tr>
              <w:tc>
                <w:tcPr/>
                <w:p>
                  <w:pPr>
                    <w:pStyle w:val="Compact"/>
                    <w:jc w:val="left"/>
                    <w:jc w:val="center"/>
                  </w:pPr>
                  <w:r>
                    <w:t xml:space="preserve">CWE-521 Weak Password Requirements</w:t>
                  </w:r>
                </w:p>
              </w:tc>
              <w:tc>
                <w:tcPr/>
                <w:p>
                  <w:pPr>
                    <w:pStyle w:val="Compact"/>
                    <w:jc w:val="right"/>
                    <w:jc w:val="center"/>
                  </w:pPr>
                  <w:r>
                    <w:t xml:space="preserve">0.44</w:t>
                  </w:r>
                </w:p>
              </w:tc>
              <w:tc>
                <w:tcPr/>
                <w:p>
                  <w:pPr>
                    <w:pStyle w:val="Compact"/>
                    <w:jc w:val="right"/>
                    <w:jc w:val="center"/>
                  </w:pPr>
                  <w:r>
                    <w:t xml:space="preserve">0.29</w:t>
                  </w:r>
                </w:p>
              </w:tc>
              <w:tc>
                <w:tcPr/>
                <w:p>
                  <w:pPr>
                    <w:pStyle w:val="Compact"/>
                    <w:jc w:val="right"/>
                    <w:jc w:val="center"/>
                  </w:pPr>
                  <w:r>
                    <w:t xml:space="preserve">0.08</w:t>
                  </w:r>
                </w:p>
              </w:tc>
              <w:tc>
                <w:tcPr/>
                <w:p>
                  <w:pPr>
                    <w:pStyle w:val="Compact"/>
                    <w:jc w:val="right"/>
                    <w:jc w:val="center"/>
                  </w:pPr>
                  <w:r>
                    <w:t xml:space="preserve">-77.0</w:t>
                  </w:r>
                </w:p>
              </w:tc>
            </w:tr>
            <w:tr>
              <w:tc>
                <w:tcPr/>
                <w:p>
                  <w:pPr>
                    <w:pStyle w:val="Compact"/>
                    <w:jc w:val="left"/>
                    <w:jc w:val="center"/>
                  </w:pPr>
                  <w:r>
                    <w:t xml:space="preserve">CWE-770 Allocation of Resources Without Limits or…</w:t>
                  </w:r>
                </w:p>
              </w:tc>
              <w:tc>
                <w:tcPr/>
                <w:p>
                  <w:pPr>
                    <w:pStyle w:val="Compact"/>
                    <w:jc w:val="right"/>
                    <w:jc w:val="center"/>
                  </w:pPr>
                  <w:r>
                    <w:t xml:space="preserve">0.06</w:t>
                  </w:r>
                </w:p>
              </w:tc>
              <w:tc>
                <w:tcPr/>
                <w:p>
                  <w:pPr>
                    <w:pStyle w:val="Compact"/>
                    <w:jc w:val="right"/>
                    <w:jc w:val="center"/>
                  </w:pPr>
                  <w:r>
                    <w:t xml:space="preserve">0.08</w:t>
                  </w:r>
                </w:p>
              </w:tc>
              <w:tc>
                <w:tcPr/>
                <w:p>
                  <w:pPr>
                    <w:pStyle w:val="Compact"/>
                    <w:jc w:val="right"/>
                    <w:jc w:val="center"/>
                  </w:pPr>
                  <w:r>
                    <w:t xml:space="preserve">0.21</w:t>
                  </w:r>
                </w:p>
              </w:tc>
              <w:tc>
                <w:tcPr/>
                <w:p>
                  <w:pPr>
                    <w:pStyle w:val="Compact"/>
                    <w:jc w:val="right"/>
                    <w:jc w:val="center"/>
                  </w:pPr>
                  <w:r>
                    <w:t xml:space="preserve">186.0</w:t>
                  </w:r>
                </w:p>
              </w:tc>
            </w:tr>
            <w:tr>
              <w:tc>
                <w:tcPr/>
                <w:p>
                  <w:pPr>
                    <w:pStyle w:val="Compact"/>
                    <w:jc w:val="left"/>
                    <w:jc w:val="center"/>
                  </w:pPr>
                  <w:r>
                    <w:t xml:space="preserve">CWE-367 Time-of-check Time-of-use (TOCTOU) Race…</w:t>
                  </w:r>
                </w:p>
              </w:tc>
              <w:tc>
                <w:tcPr/>
                <w:p>
                  <w:pPr>
                    <w:pStyle w:val="Compact"/>
                    <w:jc w:val="right"/>
                    <w:jc w:val="center"/>
                  </w:pPr>
                  <w:r>
                    <w:t xml:space="preserve">0.04</w:t>
                  </w:r>
                </w:p>
              </w:tc>
              <w:tc>
                <w:tcPr/>
                <w:p>
                  <w:pPr>
                    <w:pStyle w:val="Compact"/>
                    <w:jc w:val="right"/>
                    <w:jc w:val="center"/>
                  </w:pPr>
                  <w:r>
                    <w:t xml:space="preserve">0.1</w:t>
                  </w:r>
                </w:p>
              </w:tc>
              <w:tc>
                <w:tcPr/>
                <w:p>
                  <w:pPr>
                    <w:pStyle w:val="Compact"/>
                    <w:jc w:val="right"/>
                    <w:jc w:val="center"/>
                  </w:pPr>
                  <w:r>
                    <w:t xml:space="preserve">0.29</w:t>
                  </w:r>
                </w:p>
              </w:tc>
              <w:tc>
                <w:tcPr/>
                <w:p>
                  <w:pPr>
                    <w:pStyle w:val="Compact"/>
                    <w:jc w:val="right"/>
                    <w:jc w:val="center"/>
                  </w:pPr>
                  <w:r>
                    <w:t xml:space="preserve">300.0</w:t>
                  </w:r>
                </w:p>
              </w:tc>
            </w:tr>
            <w:tr>
              <w:tc>
                <w:tcPr/>
                <w:p>
                  <w:pPr>
                    <w:pStyle w:val="Compact"/>
                    <w:jc w:val="left"/>
                    <w:jc w:val="center"/>
                  </w:pPr>
                  <w:r>
                    <w:t xml:space="preserve">CWE-362 Concurrent Execution using Shared Resource…</w:t>
                  </w:r>
                </w:p>
              </w:tc>
              <w:tc>
                <w:tcPr/>
                <w:p>
                  <w:pPr>
                    <w:pStyle w:val="Compact"/>
                    <w:jc w:val="right"/>
                    <w:jc w:val="center"/>
                  </w:pPr>
                  <w:r>
                    <w:t xml:space="preserve">0.19</w:t>
                  </w:r>
                </w:p>
              </w:tc>
              <w:tc>
                <w:tcPr/>
                <w:p>
                  <w:pPr>
                    <w:pStyle w:val="Compact"/>
                    <w:jc w:val="right"/>
                    <w:jc w:val="center"/>
                  </w:pPr>
                  <w:r>
                    <w:t xml:space="preserve">0.15</w:t>
                  </w:r>
                </w:p>
              </w:tc>
              <w:tc>
                <w:tcPr/>
                <w:p>
                  <w:pPr>
                    <w:pStyle w:val="Compact"/>
                    <w:jc w:val="right"/>
                    <w:jc w:val="center"/>
                  </w:pPr>
                  <w:r>
                    <w:t xml:space="preserve">0.04</w:t>
                  </w:r>
                </w:p>
              </w:tc>
              <w:tc>
                <w:tcPr/>
                <w:p>
                  <w:pPr>
                    <w:pStyle w:val="Compact"/>
                    <w:jc w:val="right"/>
                    <w:jc w:val="center"/>
                  </w:pPr>
                  <w:r>
                    <w:t xml:space="preserve">-75.0</w:t>
                  </w:r>
                </w:p>
              </w:tc>
            </w:tr>
            <w:tr>
              <w:tc>
                <w:tcPr/>
                <w:p>
                  <w:pPr>
                    <w:pStyle w:val="Compact"/>
                    <w:jc w:val="left"/>
                    <w:jc w:val="center"/>
                  </w:pPr>
                  <w:r>
                    <w:t xml:space="preserve">CWE-208 Observable Timing Discrepancy</w:t>
                  </w:r>
                </w:p>
              </w:tc>
              <w:tc>
                <w:tcPr/>
                <w:p>
                  <w:pPr>
                    <w:pStyle w:val="Compact"/>
                    <w:jc w:val="right"/>
                    <w:jc w:val="center"/>
                  </w:pPr>
                  <w:r>
                    <w:t xml:space="preserve">0.1</w:t>
                  </w:r>
                </w:p>
              </w:tc>
              <w:tc>
                <w:tcPr/>
                <w:p>
                  <w:pPr>
                    <w:pStyle w:val="Compact"/>
                    <w:jc w:val="right"/>
                    <w:jc w:val="center"/>
                  </w:pPr>
                  <w:r>
                    <w:t xml:space="preserve">0.17</w:t>
                  </w:r>
                </w:p>
              </w:tc>
              <w:tc>
                <w:tcPr/>
                <w:p>
                  <w:pPr>
                    <w:pStyle w:val="Compact"/>
                    <w:jc w:val="right"/>
                    <w:jc w:val="center"/>
                  </w:pPr>
                  <w:r>
                    <w:t xml:space="preserve">0.08</w:t>
                  </w:r>
                </w:p>
              </w:tc>
              <w:tc>
                <w:tcPr/>
                <w:p>
                  <w:pPr>
                    <w:pStyle w:val="Compact"/>
                    <w:jc w:val="right"/>
                    <w:jc w:val="center"/>
                  </w:pPr>
                  <w:r>
                    <w:t xml:space="preserve">-38.0</w:t>
                  </w:r>
                </w:p>
              </w:tc>
            </w:tr>
            <w:tr>
              <w:tc>
                <w:tcPr/>
                <w:p>
                  <w:pPr>
                    <w:pStyle w:val="Compact"/>
                    <w:jc w:val="left"/>
                    <w:jc w:val="center"/>
                  </w:pPr>
                  <w:r>
                    <w:t xml:space="preserve">CWE-532 Insertion of Sensitive Information into Log…</w:t>
                  </w:r>
                </w:p>
              </w:tc>
              <w:tc>
                <w:tcPr/>
                <w:p>
                  <w:pPr>
                    <w:pStyle w:val="Compact"/>
                    <w:jc w:val="right"/>
                    <w:jc w:val="center"/>
                  </w:pPr>
                  <w:r>
                    <w:t xml:space="preserve">0.15</w:t>
                  </w:r>
                </w:p>
              </w:tc>
              <w:tc>
                <w:tcPr/>
                <w:p>
                  <w:pPr>
                    <w:pStyle w:val="Compact"/>
                    <w:jc w:val="right"/>
                    <w:jc w:val="center"/>
                  </w:pPr>
                  <w:r>
                    <w:t xml:space="preserve">0.23</w:t>
                  </w:r>
                </w:p>
              </w:tc>
              <w:tc>
                <w:tcPr/>
                <w:p>
                  <w:pPr>
                    <w:pStyle w:val="Compact"/>
                    <w:jc w:val="right"/>
                    <w:jc w:val="center"/>
                  </w:pPr>
                  <w:r>
                    <w:t xml:space="preserve">0.08</w:t>
                  </w:r>
                </w:p>
              </w:tc>
              <w:tc>
                <w:tcPr/>
                <w:p>
                  <w:pPr>
                    <w:pStyle w:val="Compact"/>
                    <w:jc w:val="right"/>
                    <w:jc w:val="center"/>
                  </w:pPr>
                  <w:r>
                    <w:t xml:space="preserve">-56.0</w:t>
                  </w:r>
                </w:p>
              </w:tc>
            </w:tr>
            <w:tr>
              <w:tc>
                <w:tcPr/>
                <w:p>
                  <w:pPr>
                    <w:pStyle w:val="Compact"/>
                    <w:jc w:val="left"/>
                    <w:jc w:val="center"/>
                  </w:pPr>
                  <w:r>
                    <w:t xml:space="preserve">CWE-798 Use of Hard-coded Credentials</w:t>
                  </w:r>
                </w:p>
              </w:tc>
              <w:tc>
                <w:tcPr/>
                <w:p>
                  <w:pPr>
                    <w:pStyle w:val="Compact"/>
                    <w:jc w:val="right"/>
                    <w:jc w:val="center"/>
                  </w:pPr>
                  <w:r>
                    <w:t xml:space="preserve">0.31</w:t>
                  </w:r>
                </w:p>
              </w:tc>
              <w:tc>
                <w:tcPr/>
                <w:p>
                  <w:pPr>
                    <w:pStyle w:val="Compact"/>
                    <w:jc w:val="right"/>
                    <w:jc w:val="center"/>
                  </w:pPr>
                  <w:r>
                    <w:t xml:space="preserve">0.29</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CWE-204 Observable Response Discrepancy</w:t>
                  </w:r>
                </w:p>
              </w:tc>
              <w:tc>
                <w:tcPr/>
                <w:p>
                  <w:pPr>
                    <w:pStyle w:val="Compact"/>
                    <w:jc w:val="right"/>
                    <w:jc w:val="center"/>
                  </w:pPr>
                  <w:r>
                    <w:t xml:space="preserve">0.23</w:t>
                  </w:r>
                </w:p>
              </w:tc>
              <w:tc>
                <w:tcPr/>
                <w:p>
                  <w:pPr>
                    <w:pStyle w:val="Compact"/>
                    <w:jc w:val="right"/>
                    <w:jc w:val="center"/>
                  </w:pPr>
                  <w:r>
                    <w:t xml:space="preserve">0.25</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CWE-209 Generation of Error Message Containing…</w:t>
                  </w:r>
                </w:p>
              </w:tc>
              <w:tc>
                <w:tcPr/>
                <w:p>
                  <w:pPr>
                    <w:pStyle w:val="Compact"/>
                    <w:jc w:val="right"/>
                    <w:jc w:val="center"/>
                  </w:pPr>
                  <w:r>
                    <w:t xml:space="preserve">0.15</w:t>
                  </w:r>
                </w:p>
              </w:tc>
              <w:tc>
                <w:tcPr/>
                <w:p>
                  <w:pPr>
                    <w:pStyle w:val="Compact"/>
                    <w:jc w:val="right"/>
                    <w:jc w:val="center"/>
                  </w:pPr>
                  <w:r>
                    <w:t xml:space="preserve">0.21</w:t>
                  </w:r>
                </w:p>
              </w:tc>
              <w:tc>
                <w:tcPr/>
                <w:p>
                  <w:pPr>
                    <w:pStyle w:val="Compact"/>
                    <w:jc w:val="right"/>
                    <w:jc w:val="center"/>
                  </w:pPr>
                  <w:r>
                    <w:t xml:space="preserve">0.12</w:t>
                  </w:r>
                </w:p>
              </w:tc>
              <w:tc>
                <w:tcPr/>
                <w:p>
                  <w:pPr>
                    <w:pStyle w:val="Compact"/>
                    <w:jc w:val="right"/>
                    <w:jc w:val="center"/>
                  </w:pPr>
                  <w:r>
                    <w:t xml:space="preserve">-29.0</w:t>
                  </w:r>
                </w:p>
              </w:tc>
            </w:tr>
            <w:tr>
              <w:tc>
                <w:tcPr/>
                <w:p>
                  <w:pPr>
                    <w:pStyle w:val="Compact"/>
                    <w:jc w:val="left"/>
                    <w:jc w:val="center"/>
                  </w:pPr>
                  <w:r>
                    <w:t xml:space="preserve">Other</w:t>
                  </w:r>
                </w:p>
              </w:tc>
              <w:tc>
                <w:tcPr/>
                <w:p>
                  <w:pPr>
                    <w:pStyle w:val="Compact"/>
                    <w:jc w:val="right"/>
                    <w:jc w:val="center"/>
                  </w:pPr>
                  <w:r>
                    <w:t xml:space="preserve">2.77</w:t>
                  </w:r>
                </w:p>
              </w:tc>
              <w:tc>
                <w:tcPr/>
                <w:p>
                  <w:pPr>
                    <w:pStyle w:val="Compact"/>
                    <w:jc w:val="right"/>
                    <w:jc w:val="center"/>
                  </w:pPr>
                  <w:r>
                    <w:t xml:space="preserve">3.06</w:t>
                  </w:r>
                </w:p>
              </w:tc>
              <w:tc>
                <w:tcPr/>
                <w:p>
                  <w:pPr>
                    <w:pStyle w:val="Compact"/>
                    <w:jc w:val="right"/>
                    <w:jc w:val="center"/>
                  </w:pPr>
                  <w:r>
                    <w:t xml:space="preserve">3.12</w:t>
                  </w:r>
                </w:p>
              </w:tc>
              <w:tc>
                <w:tcPr/>
                <w:p>
                  <w:pPr>
                    <w:pStyle w:val="Compact"/>
                    <w:jc w:val="right"/>
                    <w:jc w:val="center"/>
                  </w:pPr>
                  <w:r>
                    <w:t xml:space="preserve">7.0</w:t>
                  </w:r>
                </w:p>
              </w:tc>
            </w:tr>
          </w:tbl>
          <w:bookmarkEnd w:id="63"/>
          <w:p/>
        </w:tc>
      </w:tr>
    </w:tbl>
    <w:tbl>
      <w:tblPr>
        <w:tblStyle w:val="Table"/>
        <w:tblW w:type="pct" w:w="5000"/>
        <w:tblLayout w:type="fixed"/>
        <w:tblLook w:firstRow="0" w:lastRow="0" w:firstColumn="0" w:lastColumn="0" w:noHBand="0" w:noVBand="0" w:val="0000"/>
      </w:tblPr>
      <w:tblGrid>
        <w:gridCol w:w="7920"/>
      </w:tblGrid>
      <w:tr>
        <w:tc>
          <w:tcPr/>
          <w:bookmarkStart w:id="67" w:name="fig-owasp-rates"/>
          <w:p>
            <w:pPr>
              <w:pStyle w:val="Compact"/>
              <w:jc w:val="center"/>
            </w:pPr>
            <w:r>
              <w:drawing>
                <wp:inline>
                  <wp:extent cx="5334000" cy="3552022"/>
                  <wp:effectExtent b="0" l="0" r="0" t="0"/>
                  <wp:docPr descr="" title="" id="65" name="Picture"/>
                  <a:graphic>
                    <a:graphicData uri="http://schemas.openxmlformats.org/drawingml/2006/picture">
                      <pic:pic>
                        <pic:nvPicPr>
                          <pic:cNvPr descr="report_files/figure-docx/fig-owasp-rates-output-1.png" id="66" name="Picture"/>
                          <pic:cNvPicPr>
                            <a:picLocks noChangeArrowheads="1" noChangeAspect="1"/>
                          </pic:cNvPicPr>
                        </pic:nvPicPr>
                        <pic:blipFill>
                          <a:blip r:embed="rId64"/>
                          <a:stretch>
                            <a:fillRect/>
                          </a:stretch>
                        </pic:blipFill>
                        <pic:spPr bwMode="auto">
                          <a:xfrm>
                            <a:off x="0" y="0"/>
                            <a:ext cx="5334000" cy="355202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Findings per review by OWASP category · All three conditions, self-review</w:t>
            </w:r>
          </w:p>
          <w:bookmarkEnd w:id="67"/>
        </w:tc>
      </w:tr>
    </w:tbl>
    <w:tbl>
      <w:tblPr>
        <w:tblStyle w:val="Table"/>
        <w:tblW w:type="pct" w:w="5000"/>
        <w:tblLayout w:type="fixed"/>
        <w:tblLook w:firstRow="0" w:lastRow="0" w:firstColumn="0" w:lastColumn="0" w:noHBand="0" w:noVBand="0" w:val="0000"/>
      </w:tblPr>
      <w:tblGrid>
        <w:gridCol w:w="7920"/>
      </w:tblGrid>
      <w:tr>
        <w:tc>
          <w:tcPr/>
          <w:bookmarkStart w:id="68" w:name="tbl-owasp-rates"/>
          <w:p>
            <w:pPr>
              <w:jc w:val="center"/>
            </w:pPr>
            <w:pPr>
              <w:jc w:val="left"/>
              <w:spacing w:before="200"/>
              <w:pStyle w:val="ImageCaption"/>
            </w:pPr>
            <w:r>
              <w:t xml:space="preserve">Table 7: Findings per review by OWASP category, with the change from the Stage 1 average · All three conditions, self-review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category</w:t>
                  </w:r>
                </w:p>
              </w:tc>
              <w:tc>
                <w:tcPr/>
                <w:p>
                  <w:pPr>
                    <w:pStyle w:val="Compact"/>
                    <w:jc w:val="right"/>
                    <w:jc w:val="center"/>
                  </w:pPr>
                  <w:r>
                    <w:t xml:space="preserve">Basic</w:t>
                  </w:r>
                </w:p>
              </w:tc>
              <w:tc>
                <w:tcPr/>
                <w:p>
                  <w:pPr>
                    <w:pStyle w:val="Compact"/>
                    <w:jc w:val="right"/>
                    <w:jc w:val="center"/>
                  </w:pPr>
                  <w:r>
                    <w:t xml:space="preserve">Security-aware</w:t>
                  </w:r>
                </w:p>
              </w:tc>
              <w:tc>
                <w:tcPr/>
                <w:p>
                  <w:pPr>
                    <w:pStyle w:val="Compact"/>
                    <w:jc w:val="right"/>
                    <w:jc w:val="center"/>
                  </w:pPr>
                  <w:r>
                    <w:t xml:space="preserve">Security-informed</w:t>
                  </w:r>
                </w:p>
              </w:tc>
              <w:tc>
                <w:tcPr/>
                <w:p>
                  <w:pPr>
                    <w:pStyle w:val="Compact"/>
                    <w:jc w:val="right"/>
                    <w:jc w:val="center"/>
                  </w:pPr>
                  <w:r>
                    <w:t xml:space="preserve">change vs Stage 1 average %</w:t>
                  </w:r>
                </w:p>
              </w:tc>
            </w:tr>
            <w:tr>
              <w:tc>
                <w:tcPr/>
                <w:p>
                  <w:pPr>
                    <w:pStyle w:val="Compact"/>
                    <w:jc w:val="left"/>
                    <w:jc w:val="center"/>
                  </w:pPr>
                  <w:r>
                    <w:t xml:space="preserve">A01 Broken Access Control</w:t>
                  </w:r>
                </w:p>
              </w:tc>
              <w:tc>
                <w:tcPr/>
                <w:p>
                  <w:pPr>
                    <w:pStyle w:val="Compact"/>
                    <w:jc w:val="right"/>
                    <w:jc w:val="center"/>
                  </w:pPr>
                  <w:r>
                    <w:t xml:space="preserve">0.77</w:t>
                  </w:r>
                </w:p>
              </w:tc>
              <w:tc>
                <w:tcPr/>
                <w:p>
                  <w:pPr>
                    <w:pStyle w:val="Compact"/>
                    <w:jc w:val="right"/>
                    <w:jc w:val="center"/>
                  </w:pPr>
                  <w:r>
                    <w:t xml:space="preserve">0.83</w:t>
                  </w:r>
                </w:p>
              </w:tc>
              <w:tc>
                <w:tcPr/>
                <w:p>
                  <w:pPr>
                    <w:pStyle w:val="Compact"/>
                    <w:jc w:val="right"/>
                    <w:jc w:val="center"/>
                  </w:pPr>
                  <w:r>
                    <w:t xml:space="preserve">0.54</w:t>
                  </w:r>
                </w:p>
              </w:tc>
              <w:tc>
                <w:tcPr/>
                <w:p>
                  <w:pPr>
                    <w:pStyle w:val="Compact"/>
                    <w:jc w:val="right"/>
                    <w:jc w:val="center"/>
                  </w:pPr>
                  <w:r>
                    <w:t xml:space="preserve">-32.0</w:t>
                  </w:r>
                </w:p>
              </w:tc>
            </w:tr>
            <w:tr>
              <w:tc>
                <w:tcPr/>
                <w:p>
                  <w:pPr>
                    <w:pStyle w:val="Compact"/>
                    <w:jc w:val="left"/>
                    <w:jc w:val="center"/>
                  </w:pPr>
                  <w:r>
                    <w:t xml:space="preserve">A02 Security Misconfiguration</w:t>
                  </w:r>
                </w:p>
              </w:tc>
              <w:tc>
                <w:tcPr/>
                <w:p>
                  <w:pPr>
                    <w:pStyle w:val="Compact"/>
                    <w:jc w:val="right"/>
                    <w:jc w:val="center"/>
                  </w:pPr>
                  <w:r>
                    <w:t xml:space="preserve">0.17</w:t>
                  </w:r>
                </w:p>
              </w:tc>
              <w:tc>
                <w:tcPr/>
                <w:p>
                  <w:pPr>
                    <w:pStyle w:val="Compact"/>
                    <w:jc w:val="right"/>
                    <w:jc w:val="center"/>
                  </w:pPr>
                  <w:r>
                    <w:t xml:space="preserve">0.12</w:t>
                  </w:r>
                </w:p>
              </w:tc>
              <w:tc>
                <w:tcPr/>
                <w:p>
                  <w:pPr>
                    <w:pStyle w:val="Compact"/>
                    <w:jc w:val="right"/>
                    <w:jc w:val="center"/>
                  </w:pPr>
                  <w:r>
                    <w:t xml:space="preserve">0.08</w:t>
                  </w:r>
                </w:p>
              </w:tc>
              <w:tc>
                <w:tcPr/>
                <w:p>
                  <w:pPr>
                    <w:pStyle w:val="Compact"/>
                    <w:jc w:val="right"/>
                    <w:jc w:val="center"/>
                  </w:pPr>
                  <w:r>
                    <w:t xml:space="preserve">-43.0</w:t>
                  </w:r>
                </w:p>
              </w:tc>
            </w:tr>
            <w:tr>
              <w:tc>
                <w:tcPr/>
                <w:p>
                  <w:pPr>
                    <w:pStyle w:val="Compact"/>
                    <w:jc w:val="left"/>
                    <w:jc w:val="center"/>
                  </w:pPr>
                  <w:r>
                    <w:t xml:space="preserve">A03 Software Supply Chain Failures</w:t>
                  </w:r>
                </w:p>
              </w:tc>
              <w:tc>
                <w:tcPr/>
                <w:p>
                  <w:pPr>
                    <w:pStyle w:val="Compact"/>
                    <w:jc w:val="right"/>
                    <w:jc w:val="center"/>
                  </w:pPr>
                  <w:r>
                    <w:t xml:space="preserve">0.02</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-100.0</w:t>
                  </w:r>
                </w:p>
              </w:tc>
            </w:tr>
            <w:tr>
              <w:tc>
                <w:tcPr/>
                <w:p>
                  <w:pPr>
                    <w:pStyle w:val="Compact"/>
                    <w:jc w:val="left"/>
                    <w:jc w:val="center"/>
                  </w:pPr>
                  <w:r>
                    <w:t xml:space="preserve">A04 Cryptographic Failures</w:t>
                  </w:r>
                </w:p>
              </w:tc>
              <w:tc>
                <w:tcPr/>
                <w:p>
                  <w:pPr>
                    <w:pStyle w:val="Compact"/>
                    <w:jc w:val="right"/>
                    <w:jc w:val="center"/>
                  </w:pPr>
                  <w:r>
                    <w:t xml:space="preserve">0.52</w:t>
                  </w:r>
                </w:p>
              </w:tc>
              <w:tc>
                <w:tcPr/>
                <w:p>
                  <w:pPr>
                    <w:pStyle w:val="Compact"/>
                    <w:jc w:val="right"/>
                    <w:jc w:val="center"/>
                  </w:pPr>
                  <w:r>
                    <w:t xml:space="preserve">0.69</w:t>
                  </w:r>
                </w:p>
              </w:tc>
              <w:tc>
                <w:tcPr/>
                <w:p>
                  <w:pPr>
                    <w:pStyle w:val="Compact"/>
                    <w:jc w:val="right"/>
                    <w:jc w:val="center"/>
                  </w:pPr>
                  <w:r>
                    <w:t xml:space="preserve">0.79</w:t>
                  </w:r>
                </w:p>
              </w:tc>
              <w:tc>
                <w:tcPr/>
                <w:p>
                  <w:pPr>
                    <w:pStyle w:val="Compact"/>
                    <w:jc w:val="right"/>
                    <w:jc w:val="center"/>
                  </w:pPr>
                  <w:r>
                    <w:t xml:space="preserve">31.0</w:t>
                  </w:r>
                </w:p>
              </w:tc>
            </w:tr>
            <w:tr>
              <w:tc>
                <w:tcPr/>
                <w:p>
                  <w:pPr>
                    <w:pStyle w:val="Compact"/>
                    <w:jc w:val="left"/>
                    <w:jc w:val="center"/>
                  </w:pPr>
                  <w:r>
                    <w:t xml:space="preserve">A05 Injection</w:t>
                  </w:r>
                </w:p>
              </w:tc>
              <w:tc>
                <w:tcPr/>
                <w:p>
                  <w:pPr>
                    <w:pStyle w:val="Compact"/>
                    <w:jc w:val="right"/>
                    <w:jc w:val="center"/>
                  </w:pPr>
                  <w:r>
                    <w:t xml:space="preserve">0.17</w:t>
                  </w:r>
                </w:p>
              </w:tc>
              <w:tc>
                <w:tcPr/>
                <w:p>
                  <w:pPr>
                    <w:pStyle w:val="Compact"/>
                    <w:jc w:val="right"/>
                    <w:jc w:val="center"/>
                  </w:pPr>
                  <w:r>
                    <w:t xml:space="preserve">0.21</w:t>
                  </w:r>
                </w:p>
              </w:tc>
              <w:tc>
                <w:tcPr/>
                <w:p>
                  <w:pPr>
                    <w:pStyle w:val="Compact"/>
                    <w:jc w:val="right"/>
                    <w:jc w:val="center"/>
                  </w:pPr>
                  <w:r>
                    <w:t xml:space="preserve">0.25</w:t>
                  </w:r>
                </w:p>
              </w:tc>
              <w:tc>
                <w:tcPr/>
                <w:p>
                  <w:pPr>
                    <w:pStyle w:val="Compact"/>
                    <w:jc w:val="right"/>
                    <w:jc w:val="center"/>
                  </w:pPr>
                  <w:r>
                    <w:t xml:space="preserve">33.0</w:t>
                  </w:r>
                </w:p>
              </w:tc>
            </w:tr>
            <w:tr>
              <w:tc>
                <w:tcPr/>
                <w:p>
                  <w:pPr>
                    <w:pStyle w:val="Compact"/>
                    <w:jc w:val="left"/>
                    <w:jc w:val="center"/>
                  </w:pPr>
                  <w:r>
                    <w:t xml:space="preserve">A06 Insecure Design</w:t>
                  </w:r>
                </w:p>
              </w:tc>
              <w:tc>
                <w:tcPr/>
                <w:p>
                  <w:pPr>
                    <w:pStyle w:val="Compact"/>
                    <w:jc w:val="right"/>
                    <w:jc w:val="center"/>
                  </w:pPr>
                  <w:r>
                    <w:t xml:space="preserve">0.73</w:t>
                  </w:r>
                </w:p>
              </w:tc>
              <w:tc>
                <w:tcPr/>
                <w:p>
                  <w:pPr>
                    <w:pStyle w:val="Compact"/>
                    <w:jc w:val="right"/>
                    <w:jc w:val="center"/>
                  </w:pPr>
                  <w:r>
                    <w:t xml:space="preserve">0.58</w:t>
                  </w:r>
                </w:p>
              </w:tc>
              <w:tc>
                <w:tcPr/>
                <w:p>
                  <w:pPr>
                    <w:pStyle w:val="Compact"/>
                    <w:jc w:val="right"/>
                    <w:jc w:val="center"/>
                  </w:pPr>
                  <w:r>
                    <w:t xml:space="preserve">0.5</w:t>
                  </w:r>
                </w:p>
              </w:tc>
              <w:tc>
                <w:tcPr/>
                <w:p>
                  <w:pPr>
                    <w:pStyle w:val="Compact"/>
                    <w:jc w:val="right"/>
                    <w:jc w:val="center"/>
                  </w:pPr>
                  <w:r>
                    <w:t xml:space="preserve">-24.0</w:t>
                  </w:r>
                </w:p>
              </w:tc>
            </w:tr>
            <w:tr>
              <w:tc>
                <w:tcPr/>
                <w:p>
                  <w:pPr>
                    <w:pStyle w:val="Compact"/>
                    <w:jc w:val="left"/>
                    <w:jc w:val="center"/>
                  </w:pPr>
                  <w:r>
                    <w:t xml:space="preserve">A07 Authentication Failures</w:t>
                  </w:r>
                </w:p>
              </w:tc>
              <w:tc>
                <w:tcPr/>
                <w:p>
                  <w:pPr>
                    <w:pStyle w:val="Compact"/>
                    <w:jc w:val="right"/>
                    <w:jc w:val="center"/>
                  </w:pPr>
                  <w:r>
                    <w:t xml:space="preserve">1.75</w:t>
                  </w:r>
                </w:p>
              </w:tc>
              <w:tc>
                <w:tcPr/>
                <w:p>
                  <w:pPr>
                    <w:pStyle w:val="Compact"/>
                    <w:jc w:val="right"/>
                    <w:jc w:val="center"/>
                  </w:pPr>
                  <w:r>
                    <w:t xml:space="preserve">1.38</w:t>
                  </w:r>
                </w:p>
              </w:tc>
              <w:tc>
                <w:tcPr/>
                <w:p>
                  <w:pPr>
                    <w:pStyle w:val="Compact"/>
                    <w:jc w:val="right"/>
                    <w:jc w:val="center"/>
                  </w:pPr>
                  <w:r>
                    <w:t xml:space="preserve">1.04</w:t>
                  </w:r>
                </w:p>
              </w:tc>
              <w:tc>
                <w:tcPr/>
                <w:p>
                  <w:pPr>
                    <w:pStyle w:val="Compact"/>
                    <w:jc w:val="right"/>
                    <w:jc w:val="center"/>
                  </w:pPr>
                  <w:r>
                    <w:t xml:space="preserve">-33.0</w:t>
                  </w:r>
                </w:p>
              </w:tc>
            </w:tr>
            <w:tr>
              <w:tc>
                <w:tcPr/>
                <w:p>
                  <w:pPr>
                    <w:pStyle w:val="Compact"/>
                    <w:jc w:val="left"/>
                    <w:jc w:val="center"/>
                  </w:pPr>
                  <w:r>
                    <w:t xml:space="preserve">A08 Software or Data Integrity Failures</w:t>
                  </w:r>
                </w:p>
              </w:tc>
              <w:tc>
                <w:tcPr/>
                <w:p>
                  <w:pPr>
                    <w:pStyle w:val="Compact"/>
                    <w:jc w:val="right"/>
                    <w:jc w:val="center"/>
                  </w:pPr>
                  <w:r>
                    <w:t xml:space="preserve">0.15</w:t>
                  </w:r>
                </w:p>
              </w:tc>
              <w:tc>
                <w:tcPr/>
                <w:p>
                  <w:pPr>
                    <w:pStyle w:val="Compact"/>
                    <w:jc w:val="right"/>
                    <w:jc w:val="center"/>
                  </w:pPr>
                  <w:r>
                    <w:t xml:space="preserve">0.12</w:t>
                  </w:r>
                </w:p>
              </w:tc>
              <w:tc>
                <w:tcPr/>
                <w:p>
                  <w:pPr>
                    <w:pStyle w:val="Compact"/>
                    <w:jc w:val="right"/>
                    <w:jc w:val="center"/>
                  </w:pPr>
                  <w:r>
                    <w:t xml:space="preserve">0.08</w:t>
                  </w:r>
                </w:p>
              </w:tc>
              <w:tc>
                <w:tcPr/>
                <w:p>
                  <w:pPr>
                    <w:pStyle w:val="Compact"/>
                    <w:jc w:val="right"/>
                    <w:jc w:val="center"/>
                  </w:pPr>
                  <w:r>
                    <w:t xml:space="preserve">-38.0</w:t>
                  </w:r>
                </w:p>
              </w:tc>
            </w:tr>
            <w:tr>
              <w:tc>
                <w:tcPr/>
                <w:p>
                  <w:pPr>
                    <w:pStyle w:val="Compact"/>
                    <w:jc w:val="left"/>
                    <w:jc w:val="center"/>
                  </w:pPr>
                  <w:r>
                    <w:t xml:space="preserve">A09 Security Logging and Alerting Failures</w:t>
                  </w:r>
                </w:p>
              </w:tc>
              <w:tc>
                <w:tcPr/>
                <w:p>
                  <w:pPr>
                    <w:pStyle w:val="Compact"/>
                    <w:jc w:val="right"/>
                    <w:jc w:val="center"/>
                  </w:pPr>
                  <w:r>
                    <w:t xml:space="preserve">0.29</w:t>
                  </w:r>
                </w:p>
              </w:tc>
              <w:tc>
                <w:tcPr/>
                <w:p>
                  <w:pPr>
                    <w:pStyle w:val="Compact"/>
                    <w:jc w:val="right"/>
                    <w:jc w:val="center"/>
                  </w:pPr>
                  <w:r>
                    <w:t xml:space="preserve">0.44</w:t>
                  </w:r>
                </w:p>
              </w:tc>
              <w:tc>
                <w:tcPr/>
                <w:p>
                  <w:pPr>
                    <w:pStyle w:val="Compact"/>
                    <w:jc w:val="right"/>
                    <w:jc w:val="center"/>
                  </w:pPr>
                  <w:r>
                    <w:t xml:space="preserve">0.33</w:t>
                  </w:r>
                </w:p>
              </w:tc>
              <w:tc>
                <w:tcPr/>
                <w:p>
                  <w:pPr>
                    <w:pStyle w:val="Compact"/>
                    <w:jc w:val="right"/>
                    <w:jc w:val="center"/>
                  </w:pPr>
                  <w:r>
                    <w:t xml:space="preserve">-9.0</w:t>
                  </w:r>
                </w:p>
              </w:tc>
            </w:tr>
            <w:tr>
              <w:tc>
                <w:tcPr/>
                <w:p>
                  <w:pPr>
                    <w:pStyle w:val="Compact"/>
                    <w:jc w:val="left"/>
                    <w:jc w:val="center"/>
                  </w:pPr>
                  <w:r>
                    <w:t xml:space="preserve">A10 Mishandling of Exceptional Conditions</w:t>
                  </w:r>
                </w:p>
              </w:tc>
              <w:tc>
                <w:tcPr/>
                <w:p>
                  <w:pPr>
                    <w:pStyle w:val="Compact"/>
                    <w:jc w:val="right"/>
                    <w:jc w:val="center"/>
                  </w:pPr>
                  <w:r>
                    <w:t xml:space="preserve">0.21</w:t>
                  </w:r>
                </w:p>
              </w:tc>
              <w:tc>
                <w:tcPr/>
                <w:p>
                  <w:pPr>
                    <w:pStyle w:val="Compact"/>
                    <w:jc w:val="right"/>
                    <w:jc w:val="center"/>
                  </w:pPr>
                  <w:r>
                    <w:t xml:space="preserve">0.27</w:t>
                  </w:r>
                </w:p>
              </w:tc>
              <w:tc>
                <w:tcPr/>
                <w:p>
                  <w:pPr>
                    <w:pStyle w:val="Compact"/>
                    <w:jc w:val="right"/>
                    <w:jc w:val="center"/>
                  </w:pPr>
                  <w:r>
                    <w:t xml:space="preserve">0.25</w:t>
                  </w:r>
                </w:p>
              </w:tc>
              <w:tc>
                <w:tcPr/>
                <w:p>
                  <w:pPr>
                    <w:pStyle w:val="Compact"/>
                    <w:jc w:val="right"/>
                    <w:jc w:val="center"/>
                  </w:pPr>
                  <w:r>
                    <w:t xml:space="preserve">4.0</w:t>
                  </w:r>
                </w:p>
              </w:tc>
            </w:tr>
            <w:tr>
              <w:tc>
                <w:tcPr/>
                <w:p>
                  <w:pPr>
                    <w:pStyle w:val="Compact"/>
                    <w:jc w:val="left"/>
                    <w:jc w:val="center"/>
                  </w:pPr>
                  <w:r>
                    <w:t xml:space="preserve">Unmapped CWE outside the OWASP Top 10:2025 list</w:t>
                  </w:r>
                </w:p>
              </w:tc>
              <w:tc>
                <w:tcPr/>
                <w:p>
                  <w:pPr>
                    <w:pStyle w:val="Compact"/>
                    <w:jc w:val="right"/>
                    <w:jc w:val="center"/>
                  </w:pPr>
                  <w:r>
                    <w:t xml:space="preserve">1.48</w:t>
                  </w:r>
                </w:p>
              </w:tc>
              <w:tc>
                <w:tcPr/>
                <w:p>
                  <w:pPr>
                    <w:pStyle w:val="Compact"/>
                    <w:jc w:val="right"/>
                    <w:jc w:val="center"/>
                  </w:pPr>
                  <w:r>
                    <w:t xml:space="preserve">1.92</w:t>
                  </w:r>
                </w:p>
              </w:tc>
              <w:tc>
                <w:tcPr/>
                <w:p>
                  <w:pPr>
                    <w:pStyle w:val="Compact"/>
                    <w:jc w:val="right"/>
                    <w:jc w:val="center"/>
                  </w:pPr>
                  <w:r>
                    <w:t xml:space="preserve">1.92</w:t>
                  </w:r>
                </w:p>
              </w:tc>
              <w:tc>
                <w:tcPr/>
                <w:p>
                  <w:pPr>
                    <w:pStyle w:val="Compact"/>
                    <w:jc w:val="right"/>
                    <w:jc w:val="center"/>
                  </w:pPr>
                  <w:r>
                    <w:t xml:space="preserve">13.0</w:t>
                  </w:r>
                </w:p>
              </w:tc>
            </w:tr>
          </w:tbl>
          <w:bookmarkEnd w:id="68"/>
          <w:p/>
        </w:tc>
      </w:tr>
    </w:tbl>
    <w:p>
      <w:pPr>
        <w:pStyle w:val="BodyText"/>
      </w:pPr>
      <w:r>
        <w:t xml:space="preserve">At CWE level (</w:t>
      </w:r>
      <w:hyperlink w:anchor="fig-cwe-rates">
        <w:r>
          <w:rPr>
            <w:rStyle w:val="Hyperlink"/>
          </w:rPr>
          <w:t xml:space="preserve">Figure 9</w:t>
        </w:r>
      </w:hyperlink>
      <w:r>
        <w:t xml:space="preserve">,</w:t>
      </w:r>
      <w:r>
        <w:t xml:space="preserve"> </w:t>
      </w:r>
      <w:hyperlink w:anchor="tbl-cwe-rates">
        <w:r>
          <w:rPr>
            <w:rStyle w:val="Hyperlink"/>
          </w:rPr>
          <w:t xml:space="preserve">Table 6</w:t>
        </w:r>
      </w:hyperlink>
      <w:r>
        <w:t xml:space="preserve">) the weaknesses the rules name explicitly almost disappear under Security-informed:</w:t>
      </w:r>
      <w:r>
        <w:t xml:space="preserve"> </w:t>
      </w:r>
      <w:r>
        <w:rPr>
          <w:b/>
          <w:bCs/>
        </w:rPr>
        <w:t xml:space="preserve">hard-coded credentials (CWE-798) and response discrepancy (CWE-204) were not reported at all</w:t>
      </w:r>
      <w:r>
        <w:t xml:space="preserve">, against about 0.3 and 0.24 per review in Stage 1, and weak password requirements (CWE-521) fell from 0.44 and 0.29 to 0.08. Others rose: check-then-act races (CWE-367) from 0.04 and 0.10 to 0.29, unbounded allocation (CWE-770) from 0.06 and 0.08 to 0.21, and resource consumption (CWE-400) from 0.35 and 0.31 to 0.50. Attempt limiting (CWE-307), the most-reported CWE overall, stayed level at about 0.5 per review. The Other row is left off</w:t>
      </w:r>
      <w:r>
        <w:t xml:space="preserve"> </w:t>
      </w:r>
      <w:hyperlink w:anchor="fig-cwe-rates">
        <w:r>
          <w:rPr>
            <w:rStyle w:val="Hyperlink"/>
          </w:rPr>
          <w:t xml:space="preserve">Figure 9</w:t>
        </w:r>
      </w:hyperlink>
      <w:r>
        <w:t xml:space="preserve"> </w:t>
      </w:r>
      <w:r>
        <w:t xml:space="preserve">because, at around 3 findings per review, it would flatten every other bar; it is in</w:t>
      </w:r>
      <w:r>
        <w:t xml:space="preserve"> </w:t>
      </w:r>
      <w:hyperlink w:anchor="tbl-cwe-rates">
        <w:r>
          <w:rPr>
            <w:rStyle w:val="Hyperlink"/>
          </w:rPr>
          <w:t xml:space="preserve">Table 6</w:t>
        </w:r>
      </w:hyperlink>
      <w:r>
        <w:t xml:space="preserve">.</w:t>
      </w:r>
    </w:p>
    <w:p>
      <w:pPr>
        <w:pStyle w:val="BodyText"/>
      </w:pPr>
      <w:r>
        <w:t xml:space="preserve">At OWASP level (</w:t>
      </w:r>
      <w:hyperlink w:anchor="fig-owasp-rates">
        <w:r>
          <w:rPr>
            <w:rStyle w:val="Hyperlink"/>
          </w:rPr>
          <w:t xml:space="preserve">Figure 10</w:t>
        </w:r>
      </w:hyperlink>
      <w:r>
        <w:t xml:space="preserve">,</w:t>
      </w:r>
      <w:r>
        <w:t xml:space="preserve"> </w:t>
      </w:r>
      <w:hyperlink w:anchor="tbl-owasp-rates">
        <w:r>
          <w:rPr>
            <w:rStyle w:val="Hyperlink"/>
          </w:rPr>
          <w:t xml:space="preserve">Table 7</w:t>
        </w:r>
      </w:hyperlink>
      <w:r>
        <w:t xml:space="preserve">)</w:t>
      </w:r>
      <w:r>
        <w:t xml:space="preserve"> </w:t>
      </w:r>
      <w:r>
        <w:rPr>
          <w:b/>
          <w:bCs/>
        </w:rPr>
        <w:t xml:space="preserve">Authentication Failures (A07) fell from 1.75 and 1.38 to 1.04 findings per review</w:t>
      </w:r>
      <w:r>
        <w:t xml:space="preserve">, and Broken Access Control (A01) from 0.77 and 0.83 to 0.54. Cryptographic Failures (A04) rose from 0.52 and 0.69 to 0.79. Unmapped findings rose from 1.48 to 1.92 and stayed there.</w:t>
      </w:r>
    </w:p>
    <w:bookmarkEnd w:id="69"/>
    <w:bookmarkStart w:id="78" w:name="make-up-of-each-conditions-findings"/>
    <w:p>
      <w:pPr>
        <w:pStyle w:val="Heading4"/>
      </w:pPr>
      <w:r>
        <w:t xml:space="preserve">4.3.2 Make-up of each condition’s findings</w:t>
      </w:r>
    </w:p>
    <w:tbl>
      <w:tblPr>
        <w:tblStyle w:val="Table"/>
        <w:tblW w:type="pct" w:w="5000"/>
        <w:tblLayout w:type="fixed"/>
        <w:tblLook w:firstRow="0" w:lastRow="0" w:firstColumn="0" w:lastColumn="0" w:noHBand="0" w:noVBand="0" w:val="0000"/>
      </w:tblPr>
      <w:tblGrid>
        <w:gridCol w:w="7920"/>
      </w:tblGrid>
      <w:tr>
        <w:tc>
          <w:tcPr/>
          <w:bookmarkStart w:id="73" w:name="fig-cwe-mix"/>
          <w:p>
            <w:pPr>
              <w:pStyle w:val="Compact"/>
              <w:jc w:val="center"/>
            </w:pPr>
            <w:r>
              <w:drawing>
                <wp:inline>
                  <wp:extent cx="5334000" cy="1725801"/>
                  <wp:effectExtent b="0" l="0" r="0" t="0"/>
                  <wp:docPr descr="" title="" id="71" name="Picture"/>
                  <a:graphic>
                    <a:graphicData uri="http://schemas.openxmlformats.org/drawingml/2006/picture">
                      <pic:pic>
                        <pic:nvPicPr>
                          <pic:cNvPr descr="report_files/figure-docx/fig-cwe-mix-output-1.png" id="72" name="Picture"/>
                          <pic:cNvPicPr>
                            <a:picLocks noChangeArrowheads="1" noChangeAspect="1"/>
                          </pic:cNvPicPr>
                        </pic:nvPicPr>
                        <pic:blipFill>
                          <a:blip r:embed="rId70"/>
                          <a:stretch>
                            <a:fillRect/>
                          </a:stretch>
                        </pic:blipFill>
                        <pic:spPr bwMode="auto">
                          <a:xfrm>
                            <a:off x="0" y="0"/>
                            <a:ext cx="5334000" cy="17258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CWE make-up of findings · All three conditions, self-review</w:t>
            </w:r>
          </w:p>
          <w:bookmarkEnd w:id="73"/>
        </w:tc>
      </w:tr>
    </w:tbl>
    <w:tbl>
      <w:tblPr>
        <w:tblStyle w:val="Table"/>
        <w:tblW w:type="pct" w:w="5000"/>
        <w:tblLayout w:type="fixed"/>
        <w:tblLook w:firstRow="0" w:lastRow="0" w:firstColumn="0" w:lastColumn="0" w:noHBand="0" w:noVBand="0" w:val="0000"/>
      </w:tblPr>
      <w:tblGrid>
        <w:gridCol w:w="7920"/>
      </w:tblGrid>
      <w:tr>
        <w:tc>
          <w:tcPr/>
          <w:bookmarkStart w:id="77" w:name="fig-owasp-mix"/>
          <w:p>
            <w:pPr>
              <w:pStyle w:val="Compact"/>
              <w:jc w:val="center"/>
            </w:pPr>
            <w:r>
              <w:drawing>
                <wp:inline>
                  <wp:extent cx="5334000" cy="1725801"/>
                  <wp:effectExtent b="0" l="0" r="0" t="0"/>
                  <wp:docPr descr="" title="" id="75" name="Picture"/>
                  <a:graphic>
                    <a:graphicData uri="http://schemas.openxmlformats.org/drawingml/2006/picture">
                      <pic:pic>
                        <pic:nvPicPr>
                          <pic:cNvPr descr="report_files/figure-docx/fig-owasp-mix-output-1.png" id="76" name="Picture"/>
                          <pic:cNvPicPr>
                            <a:picLocks noChangeArrowheads="1" noChangeAspect="1"/>
                          </pic:cNvPicPr>
                        </pic:nvPicPr>
                        <pic:blipFill>
                          <a:blip r:embed="rId74"/>
                          <a:stretch>
                            <a:fillRect/>
                          </a:stretch>
                        </pic:blipFill>
                        <pic:spPr bwMode="auto">
                          <a:xfrm>
                            <a:off x="0" y="0"/>
                            <a:ext cx="5334000" cy="17258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OWASP category make-up of findings · All three conditions, self-review</w:t>
            </w:r>
          </w:p>
          <w:bookmarkEnd w:id="77"/>
        </w:tc>
      </w:tr>
    </w:tbl>
    <w:p>
      <w:pPr>
        <w:pStyle w:val="BodyText"/>
      </w:pPr>
      <w:r>
        <w:t xml:space="preserve">As a share of each condition’s findings (</w:t>
      </w:r>
      <w:hyperlink w:anchor="fig-owasp-mix">
        <w:r>
          <w:rPr>
            <w:rStyle w:val="Hyperlink"/>
          </w:rPr>
          <w:t xml:space="preserve">Figure 12</w:t>
        </w:r>
      </w:hyperlink>
      <w:r>
        <w:t xml:space="preserve">), A07 falls from 28.0% under Basic to 21.0% under Security-aware and 18.0% under Security-informed, while A04 rises from 8.3% to 10.5% and 13.7%, and Unmapped from 23.7% to 29.2% and 33.1%. The prompts moved findings</w:t>
      </w:r>
      <w:r>
        <w:t xml:space="preserve"> </w:t>
      </w:r>
      <w:r>
        <w:rPr>
          <w:b/>
          <w:bCs/>
        </w:rPr>
        <w:t xml:space="preserve">away from the categories the OWASP list emphasises</w:t>
      </w:r>
      <w:r>
        <w:t xml:space="preserve"> </w:t>
      </w:r>
      <w:r>
        <w:t xml:space="preserve">and towards weaknesses it does not classify, mainly resource-limit and concurrency CWEs such as CWE-400, CWE-770 and CWE-367. An OWASP-only report would hide about a third of what the reviewers reported.</w:t>
      </w:r>
    </w:p>
    <w:bookmarkEnd w:id="78"/>
    <w:bookmarkStart w:id="87" w:name="make-up-by-generator"/>
    <w:p>
      <w:pPr>
        <w:pStyle w:val="Heading4"/>
      </w:pPr>
      <w:r>
        <w:t xml:space="preserve">4.3.3 Make-up by generator</w:t>
      </w:r>
    </w:p>
    <w:tbl>
      <w:tblPr>
        <w:tblStyle w:val="Table"/>
        <w:tblW w:type="pct" w:w="5000"/>
        <w:tblLayout w:type="fixed"/>
        <w:tblLook w:firstRow="0" w:lastRow="0" w:firstColumn="0" w:lastColumn="0" w:noHBand="0" w:noVBand="0" w:val="0000"/>
      </w:tblPr>
      <w:tblGrid>
        <w:gridCol w:w="7920"/>
      </w:tblGrid>
      <w:tr>
        <w:tc>
          <w:tcPr/>
          <w:bookmarkStart w:id="82" w:name="fig-cwe-pies"/>
          <w:p>
            <w:pPr>
              <w:pStyle w:val="Compact"/>
              <w:jc w:val="center"/>
            </w:pPr>
            <w:r>
              <w:drawing>
                <wp:inline>
                  <wp:extent cx="5334000" cy="6483731"/>
                  <wp:effectExtent b="0" l="0" r="0" t="0"/>
                  <wp:docPr descr="" title="" id="80" name="Picture"/>
                  <a:graphic>
                    <a:graphicData uri="http://schemas.openxmlformats.org/drawingml/2006/picture">
                      <pic:pic>
                        <pic:nvPicPr>
                          <pic:cNvPr descr="report_files/figure-docx/fig-cwe-pies-output-1.png" id="81" name="Picture"/>
                          <pic:cNvPicPr>
                            <a:picLocks noChangeArrowheads="1" noChangeAspect="1"/>
                          </pic:cNvPicPr>
                        </pic:nvPicPr>
                        <pic:blipFill>
                          <a:blip r:embed="rId79"/>
                          <a:stretch>
                            <a:fillRect/>
                          </a:stretch>
                        </pic:blipFill>
                        <pic:spPr bwMode="auto">
                          <a:xfrm>
                            <a:off x="0" y="0"/>
                            <a:ext cx="5334000" cy="648373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CWE make-up of findings by generator · All three conditions, self-review</w:t>
            </w:r>
          </w:p>
          <w:bookmarkEnd w:id="82"/>
        </w:tc>
      </w:tr>
    </w:tbl>
    <w:tbl>
      <w:tblPr>
        <w:tblStyle w:val="Table"/>
        <w:tblW w:type="pct" w:w="5000"/>
        <w:tblLayout w:type="fixed"/>
        <w:tblLook w:firstRow="0" w:lastRow="0" w:firstColumn="0" w:lastColumn="0" w:noHBand="0" w:noVBand="0" w:val="0000"/>
      </w:tblPr>
      <w:tblGrid>
        <w:gridCol w:w="7920"/>
      </w:tblGrid>
      <w:tr>
        <w:tc>
          <w:tcPr/>
          <w:bookmarkStart w:id="86" w:name="fig-owasp-pies"/>
          <w:p>
            <w:pPr>
              <w:pStyle w:val="Compact"/>
              <w:jc w:val="center"/>
            </w:pPr>
            <w:r>
              <w:drawing>
                <wp:inline>
                  <wp:extent cx="5334000" cy="6481525"/>
                  <wp:effectExtent b="0" l="0" r="0" t="0"/>
                  <wp:docPr descr="" title="" id="84" name="Picture"/>
                  <a:graphic>
                    <a:graphicData uri="http://schemas.openxmlformats.org/drawingml/2006/picture">
                      <pic:pic>
                        <pic:nvPicPr>
                          <pic:cNvPr descr="report_files/figure-docx/fig-owasp-pies-output-1.png" id="85" name="Picture"/>
                          <pic:cNvPicPr>
                            <a:picLocks noChangeArrowheads="1" noChangeAspect="1"/>
                          </pic:cNvPicPr>
                        </pic:nvPicPr>
                        <pic:blipFill>
                          <a:blip r:embed="rId83"/>
                          <a:stretch>
                            <a:fillRect/>
                          </a:stretch>
                        </pic:blipFill>
                        <pic:spPr bwMode="auto">
                          <a:xfrm>
                            <a:off x="0" y="0"/>
                            <a:ext cx="5334000" cy="64815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OWASP category make-up of findings by generator · All three conditions, self-review</w:t>
            </w:r>
          </w:p>
          <w:bookmarkEnd w:id="86"/>
        </w:tc>
      </w:tr>
    </w:tbl>
    <w:p>
      <w:pPr>
        <w:pStyle w:val="BodyText"/>
      </w:pPr>
      <w:r>
        <w:t xml:space="preserve">Every pie uses the same categories in the same order and colours, so a slice means the same thing wherever it appears; slices of 5% or more are labelled and the rest are read from the legend. Under each pie is its finding count and its single most-reported value. For CWEs that value can sit inside Other: Antigravity’s Security-aware self-reviews, for example, lead on CWE-214 (sensitive information visible in process arguments, 7 findings), which is not in the top 14.</w:t>
      </w:r>
    </w:p>
    <w:p>
      <w:pPr>
        <w:pStyle w:val="BodyText"/>
      </w:pPr>
      <w:r>
        <w:t xml:space="preserve">The OWASP pies (</w:t>
      </w:r>
      <w:hyperlink w:anchor="fig-owasp-pies">
        <w:r>
          <w:rPr>
            <w:rStyle w:val="Hyperlink"/>
          </w:rPr>
          <w:t xml:space="preserve">Figure 14</w:t>
        </w:r>
      </w:hyperlink>
      <w:r>
        <w:t xml:space="preserve">) show the A07 decline in three of the four assistants. A07’s share of Codex’s own findings is 27% under Basic, 23% under Security-aware and, on only 12 findings, 42% under Security-informed, the one exception; for the other three assistants it falls to between 13% and 18% under Security-informed. Unmapped is already the largest slice for all four assistants under Security-aware, and stays the largest under Security-informed for all but Codex.</w:t>
      </w:r>
    </w:p>
    <w:bookmarkEnd w:id="87"/>
    <w:bookmarkEnd w:id="88"/>
    <w:bookmarkStart w:id="98" w:name="did-each-rule-work"/>
    <w:p>
      <w:pPr>
        <w:pStyle w:val="Heading3"/>
      </w:pPr>
      <w:r>
        <w:t xml:space="preserve">4.4 Did each rule work?</w:t>
      </w:r>
    </w:p>
    <w:p>
      <w:pPr>
        <w:pStyle w:val="FirstParagraph"/>
      </w:pPr>
      <w:hyperlink w:anchor="fig-rule-rates">
        <w:r>
          <w:rPr>
            <w:rStyle w:val="Hyperlink"/>
          </w:rPr>
          <w:t xml:space="preserve">Figure 15</w:t>
        </w:r>
      </w:hyperlink>
      <w:r>
        <w:t xml:space="preserve"> </w:t>
      </w:r>
      <w:r>
        <w:t xml:space="preserve">and</w:t>
      </w:r>
      <w:r>
        <w:t xml:space="preserve"> </w:t>
      </w:r>
      <w:hyperlink w:anchor="tbl-rule-rates">
        <w:r>
          <w:rPr>
            <w:rStyle w:val="Hyperlink"/>
          </w:rPr>
          <w:t xml:space="preserve">Table 8</w:t>
        </w:r>
      </w:hyperlink>
      <w:r>
        <w:t xml:space="preserve"> </w:t>
      </w:r>
      <w:r>
        <w:t xml:space="preserve">group the same self-review findings by the rule each CWE falls under. This is the most direct test of the Security-informed prompt: if a rule worked, findings in its area should fall.</w:t>
      </w:r>
    </w:p>
    <w:tbl>
      <w:tblPr>
        <w:tblStyle w:val="Table"/>
        <w:tblW w:type="pct" w:w="5000"/>
        <w:tblLayout w:type="fixed"/>
        <w:tblLook w:firstRow="0" w:lastRow="0" w:firstColumn="0" w:lastColumn="0" w:noHBand="0" w:noVBand="0" w:val="0000"/>
      </w:tblPr>
      <w:tblGrid>
        <w:gridCol w:w="7920"/>
      </w:tblGrid>
      <w:tr>
        <w:tc>
          <w:tcPr/>
          <w:bookmarkStart w:id="92" w:name="fig-rule-rates"/>
          <w:p>
            <w:pPr>
              <w:pStyle w:val="Compact"/>
              <w:jc w:val="center"/>
            </w:pPr>
            <w:r>
              <w:drawing>
                <wp:inline>
                  <wp:extent cx="5334000" cy="3051414"/>
                  <wp:effectExtent b="0" l="0" r="0" t="0"/>
                  <wp:docPr descr="" title="" id="90" name="Picture"/>
                  <a:graphic>
                    <a:graphicData uri="http://schemas.openxmlformats.org/drawingml/2006/picture">
                      <pic:pic>
                        <pic:nvPicPr>
                          <pic:cNvPr descr="report_files/figure-docx/fig-rule-rates-output-1.png" id="91" name="Picture"/>
                          <pic:cNvPicPr>
                            <a:picLocks noChangeArrowheads="1" noChangeAspect="1"/>
                          </pic:cNvPicPr>
                        </pic:nvPicPr>
                        <pic:blipFill>
                          <a:blip r:embed="rId89"/>
                          <a:stretch>
                            <a:fillRect/>
                          </a:stretch>
                        </pic:blipFill>
                        <pic:spPr bwMode="auto">
                          <a:xfrm>
                            <a:off x="0" y="0"/>
                            <a:ext cx="5334000" cy="30514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Findings per review by Security-informed rule · All three conditions, self-review</w:t>
            </w:r>
          </w:p>
          <w:bookmarkEnd w:id="92"/>
        </w:tc>
      </w:tr>
    </w:tbl>
    <w:tbl>
      <w:tblPr>
        <w:tblStyle w:val="Table"/>
        <w:tblW w:type="pct" w:w="5000"/>
        <w:tblLayout w:type="fixed"/>
        <w:tblLook w:firstRow="0" w:lastRow="0" w:firstColumn="0" w:lastColumn="0" w:noHBand="0" w:noVBand="0" w:val="0000"/>
      </w:tblPr>
      <w:tblGrid>
        <w:gridCol w:w="7920"/>
      </w:tblGrid>
      <w:tr>
        <w:tc>
          <w:tcPr/>
          <w:bookmarkStart w:id="93" w:name="tbl-rule-rates"/>
          <w:p>
            <w:pPr>
              <w:jc w:val="center"/>
            </w:pPr>
            <w:pPr>
              <w:jc w:val="left"/>
              <w:spacing w:before="200"/>
              <w:pStyle w:val="ImageCaption"/>
            </w:pPr>
            <w:r>
              <w:t xml:space="preserve">Table 8: Findings per review by Security-informed rule, with the change from the Stage 1 average · All three conditions, self-review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category</w:t>
                  </w:r>
                </w:p>
              </w:tc>
              <w:tc>
                <w:tcPr/>
                <w:p>
                  <w:pPr>
                    <w:pStyle w:val="Compact"/>
                    <w:jc w:val="right"/>
                    <w:jc w:val="center"/>
                  </w:pPr>
                  <w:r>
                    <w:t xml:space="preserve">Basic</w:t>
                  </w:r>
                </w:p>
              </w:tc>
              <w:tc>
                <w:tcPr/>
                <w:p>
                  <w:pPr>
                    <w:pStyle w:val="Compact"/>
                    <w:jc w:val="right"/>
                    <w:jc w:val="center"/>
                  </w:pPr>
                  <w:r>
                    <w:t xml:space="preserve">Security-aware</w:t>
                  </w:r>
                </w:p>
              </w:tc>
              <w:tc>
                <w:tcPr/>
                <w:p>
                  <w:pPr>
                    <w:pStyle w:val="Compact"/>
                    <w:jc w:val="right"/>
                    <w:jc w:val="center"/>
                  </w:pPr>
                  <w:r>
                    <w:t xml:space="preserve">Security-informed</w:t>
                  </w:r>
                </w:p>
              </w:tc>
              <w:tc>
                <w:tcPr/>
                <w:p>
                  <w:pPr>
                    <w:pStyle w:val="Compact"/>
                    <w:jc w:val="right"/>
                    <w:jc w:val="center"/>
                  </w:pPr>
                  <w:r>
                    <w:t xml:space="preserve">change vs Stage 1 average %</w:t>
                  </w:r>
                </w:p>
              </w:tc>
            </w:tr>
            <w:tr>
              <w:tc>
                <w:tcPr/>
                <w:p>
                  <w:pPr>
                    <w:pStyle w:val="Compact"/>
                    <w:jc w:val="left"/>
                    <w:jc w:val="center"/>
                  </w:pPr>
                  <w:r>
                    <w:t xml:space="preserve">1 Trust boundaries</w:t>
                  </w:r>
                </w:p>
              </w:tc>
              <w:tc>
                <w:tcPr/>
                <w:p>
                  <w:pPr>
                    <w:pStyle w:val="Compact"/>
                    <w:jc w:val="right"/>
                    <w:jc w:val="center"/>
                  </w:pPr>
                  <w:r>
                    <w:t xml:space="preserve">0.48</w:t>
                  </w:r>
                </w:p>
              </w:tc>
              <w:tc>
                <w:tcPr/>
                <w:p>
                  <w:pPr>
                    <w:pStyle w:val="Compact"/>
                    <w:jc w:val="right"/>
                    <w:jc w:val="center"/>
                  </w:pPr>
                  <w:r>
                    <w:t xml:space="preserve">0.48</w:t>
                  </w:r>
                </w:p>
              </w:tc>
              <w:tc>
                <w:tcPr/>
                <w:p>
                  <w:pPr>
                    <w:pStyle w:val="Compact"/>
                    <w:jc w:val="right"/>
                    <w:jc w:val="center"/>
                  </w:pPr>
                  <w:r>
                    <w:t xml:space="preserve">0.58</w:t>
                  </w:r>
                </w:p>
              </w:tc>
              <w:tc>
                <w:tcPr/>
                <w:p>
                  <w:pPr>
                    <w:pStyle w:val="Compact"/>
                    <w:jc w:val="right"/>
                    <w:jc w:val="center"/>
                  </w:pPr>
                  <w:r>
                    <w:t xml:space="preserve">22.0</w:t>
                  </w:r>
                </w:p>
              </w:tc>
            </w:tr>
            <w:tr>
              <w:tc>
                <w:tcPr/>
                <w:p>
                  <w:pPr>
                    <w:pStyle w:val="Compact"/>
                    <w:jc w:val="left"/>
                    <w:jc w:val="center"/>
                  </w:pPr>
                  <w:r>
                    <w:t xml:space="preserve">2 Secrets</w:t>
                  </w:r>
                </w:p>
              </w:tc>
              <w:tc>
                <w:tcPr/>
                <w:p>
                  <w:pPr>
                    <w:pStyle w:val="Compact"/>
                    <w:jc w:val="right"/>
                    <w:jc w:val="center"/>
                  </w:pPr>
                  <w:r>
                    <w:t xml:space="preserve">0.73</w:t>
                  </w:r>
                </w:p>
              </w:tc>
              <w:tc>
                <w:tcPr/>
                <w:p>
                  <w:pPr>
                    <w:pStyle w:val="Compact"/>
                    <w:jc w:val="right"/>
                    <w:jc w:val="center"/>
                  </w:pPr>
                  <w:r>
                    <w:t xml:space="preserve">0.73</w:t>
                  </w:r>
                </w:p>
              </w:tc>
              <w:tc>
                <w:tcPr/>
                <w:p>
                  <w:pPr>
                    <w:pStyle w:val="Compact"/>
                    <w:jc w:val="right"/>
                    <w:jc w:val="center"/>
                  </w:pPr>
                  <w:r>
                    <w:t xml:space="preserve">0.17</w:t>
                  </w:r>
                </w:p>
              </w:tc>
              <w:tc>
                <w:tcPr/>
                <w:p>
                  <w:pPr>
                    <w:pStyle w:val="Compact"/>
                    <w:jc w:val="right"/>
                    <w:jc w:val="center"/>
                  </w:pPr>
                  <w:r>
                    <w:t xml:space="preserve">-77.0</w:t>
                  </w:r>
                </w:p>
              </w:tc>
            </w:tr>
            <w:tr>
              <w:tc>
                <w:tcPr/>
                <w:p>
                  <w:pPr>
                    <w:pStyle w:val="Compact"/>
                    <w:jc w:val="left"/>
                    <w:jc w:val="center"/>
                  </w:pPr>
                  <w:r>
                    <w:t xml:space="preserve">3 Authentication and access</w:t>
                  </w:r>
                </w:p>
              </w:tc>
              <w:tc>
                <w:tcPr/>
                <w:p>
                  <w:pPr>
                    <w:pStyle w:val="Compact"/>
                    <w:jc w:val="right"/>
                    <w:jc w:val="center"/>
                  </w:pPr>
                  <w:r>
                    <w:t xml:space="preserve">1.25</w:t>
                  </w:r>
                </w:p>
              </w:tc>
              <w:tc>
                <w:tcPr/>
                <w:p>
                  <w:pPr>
                    <w:pStyle w:val="Compact"/>
                    <w:jc w:val="right"/>
                    <w:jc w:val="center"/>
                  </w:pPr>
                  <w:r>
                    <w:t xml:space="preserve">1.1</w:t>
                  </w:r>
                </w:p>
              </w:tc>
              <w:tc>
                <w:tcPr/>
                <w:p>
                  <w:pPr>
                    <w:pStyle w:val="Compact"/>
                    <w:jc w:val="right"/>
                    <w:jc w:val="center"/>
                  </w:pPr>
                  <w:r>
                    <w:t xml:space="preserve">0.88</w:t>
                  </w:r>
                </w:p>
              </w:tc>
              <w:tc>
                <w:tcPr/>
                <w:p>
                  <w:pPr>
                    <w:pStyle w:val="Compact"/>
                    <w:jc w:val="right"/>
                    <w:jc w:val="center"/>
                  </w:pPr>
                  <w:r>
                    <w:t xml:space="preserve">-26.0</w:t>
                  </w:r>
                </w:p>
              </w:tc>
            </w:tr>
            <w:tr>
              <w:tc>
                <w:tcPr/>
                <w:p>
                  <w:pPr>
                    <w:pStyle w:val="Compact"/>
                    <w:jc w:val="left"/>
                    <w:jc w:val="center"/>
                  </w:pPr>
                  <w:r>
                    <w:t xml:space="preserve">4 Identifiers and tokens</w:t>
                  </w:r>
                </w:p>
              </w:tc>
              <w:tc>
                <w:tcPr/>
                <w:p>
                  <w:pPr>
                    <w:pStyle w:val="Compact"/>
                    <w:jc w:val="right"/>
                    <w:jc w:val="center"/>
                  </w:pPr>
                  <w:r>
                    <w:t xml:space="preserve">0.35</w:t>
                  </w:r>
                </w:p>
              </w:tc>
              <w:tc>
                <w:tcPr/>
                <w:p>
                  <w:pPr>
                    <w:pStyle w:val="Compact"/>
                    <w:jc w:val="right"/>
                    <w:jc w:val="center"/>
                  </w:pPr>
                  <w:r>
                    <w:t xml:space="preserve">0.21</w:t>
                  </w:r>
                </w:p>
              </w:tc>
              <w:tc>
                <w:tcPr/>
                <w:p>
                  <w:pPr>
                    <w:pStyle w:val="Compact"/>
                    <w:jc w:val="right"/>
                    <w:jc w:val="center"/>
                  </w:pPr>
                  <w:r>
                    <w:t xml:space="preserve">0.38</w:t>
                  </w:r>
                </w:p>
              </w:tc>
              <w:tc>
                <w:tcPr/>
                <w:p>
                  <w:pPr>
                    <w:pStyle w:val="Compact"/>
                    <w:jc w:val="right"/>
                    <w:jc w:val="center"/>
                  </w:pPr>
                  <w:r>
                    <w:t xml:space="preserve">33.0</w:t>
                  </w:r>
                </w:p>
              </w:tc>
            </w:tr>
            <w:tr>
              <w:tc>
                <w:tcPr/>
                <w:p>
                  <w:pPr>
                    <w:pStyle w:val="Compact"/>
                    <w:jc w:val="left"/>
                    <w:jc w:val="center"/>
                  </w:pPr>
                  <w:r>
                    <w:t xml:space="preserve">5 Sensitive data</w:t>
                  </w:r>
                </w:p>
              </w:tc>
              <w:tc>
                <w:tcPr/>
                <w:p>
                  <w:pPr>
                    <w:pStyle w:val="Compact"/>
                    <w:jc w:val="right"/>
                    <w:jc w:val="center"/>
                  </w:pPr>
                  <w:r>
                    <w:t xml:space="preserve">1.58</w:t>
                  </w:r>
                </w:p>
              </w:tc>
              <w:tc>
                <w:tcPr/>
                <w:p>
                  <w:pPr>
                    <w:pStyle w:val="Compact"/>
                    <w:jc w:val="right"/>
                    <w:jc w:val="center"/>
                  </w:pPr>
                  <w:r>
                    <w:t xml:space="preserve">1.77</w:t>
                  </w:r>
                </w:p>
              </w:tc>
              <w:tc>
                <w:tcPr/>
                <w:p>
                  <w:pPr>
                    <w:pStyle w:val="Compact"/>
                    <w:jc w:val="right"/>
                    <w:jc w:val="center"/>
                  </w:pPr>
                  <w:r>
                    <w:t xml:space="preserve">1.75</w:t>
                  </w:r>
                </w:p>
              </w:tc>
              <w:tc>
                <w:tcPr/>
                <w:p>
                  <w:pPr>
                    <w:pStyle w:val="Compact"/>
                    <w:jc w:val="right"/>
                    <w:jc w:val="center"/>
                  </w:pPr>
                  <w:r>
                    <w:t xml:space="preserve">4.0</w:t>
                  </w:r>
                </w:p>
              </w:tc>
            </w:tr>
            <w:tr>
              <w:tc>
                <w:tcPr/>
                <w:p>
                  <w:pPr>
                    <w:pStyle w:val="Compact"/>
                    <w:jc w:val="left"/>
                    <w:jc w:val="center"/>
                  </w:pPr>
                  <w:r>
                    <w:t xml:space="preserve">6 Failure behaviour</w:t>
                  </w:r>
                </w:p>
              </w:tc>
              <w:tc>
                <w:tcPr/>
                <w:p>
                  <w:pPr>
                    <w:pStyle w:val="Compact"/>
                    <w:jc w:val="right"/>
                    <w:jc w:val="center"/>
                  </w:pPr>
                  <w:r>
                    <w:t xml:space="preserve">0.65</w:t>
                  </w:r>
                </w:p>
              </w:tc>
              <w:tc>
                <w:tcPr/>
                <w:p>
                  <w:pPr>
                    <w:pStyle w:val="Compact"/>
                    <w:jc w:val="right"/>
                    <w:jc w:val="center"/>
                  </w:pPr>
                  <w:r>
                    <w:t xml:space="preserve">0.81</w:t>
                  </w:r>
                </w:p>
              </w:tc>
              <w:tc>
                <w:tcPr/>
                <w:p>
                  <w:pPr>
                    <w:pStyle w:val="Compact"/>
                    <w:jc w:val="right"/>
                    <w:jc w:val="center"/>
                  </w:pPr>
                  <w:r>
                    <w:t xml:space="preserve">0.42</w:t>
                  </w:r>
                </w:p>
              </w:tc>
              <w:tc>
                <w:tcPr/>
                <w:p>
                  <w:pPr>
                    <w:pStyle w:val="Compact"/>
                    <w:jc w:val="right"/>
                    <w:jc w:val="center"/>
                  </w:pPr>
                  <w:r>
                    <w:t xml:space="preserve">-43.0</w:t>
                  </w:r>
                </w:p>
              </w:tc>
            </w:tr>
            <w:tr>
              <w:tc>
                <w:tcPr/>
                <w:p>
                  <w:pPr>
                    <w:pStyle w:val="Compact"/>
                    <w:jc w:val="left"/>
                    <w:jc w:val="center"/>
                  </w:pPr>
                  <w:r>
                    <w:t xml:space="preserve">7 Concurrency</w:t>
                  </w:r>
                </w:p>
              </w:tc>
              <w:tc>
                <w:tcPr/>
                <w:p>
                  <w:pPr>
                    <w:pStyle w:val="Compact"/>
                    <w:jc w:val="right"/>
                    <w:jc w:val="center"/>
                  </w:pPr>
                  <w:r>
                    <w:t xml:space="preserve">0.23</w:t>
                  </w:r>
                </w:p>
              </w:tc>
              <w:tc>
                <w:tcPr/>
                <w:p>
                  <w:pPr>
                    <w:pStyle w:val="Compact"/>
                    <w:jc w:val="right"/>
                    <w:jc w:val="center"/>
                  </w:pPr>
                  <w:r>
                    <w:t xml:space="preserve">0.25</w:t>
                  </w:r>
                </w:p>
              </w:tc>
              <w:tc>
                <w:tcPr/>
                <w:p>
                  <w:pPr>
                    <w:pStyle w:val="Compact"/>
                    <w:jc w:val="right"/>
                    <w:jc w:val="center"/>
                  </w:pPr>
                  <w:r>
                    <w:t xml:space="preserve">0.33</w:t>
                  </w:r>
                </w:p>
              </w:tc>
              <w:tc>
                <w:tcPr/>
                <w:p>
                  <w:pPr>
                    <w:pStyle w:val="Compact"/>
                    <w:jc w:val="right"/>
                    <w:jc w:val="center"/>
                  </w:pPr>
                  <w:r>
                    <w:t xml:space="preserve">39.0</w:t>
                  </w:r>
                </w:p>
              </w:tc>
            </w:tr>
            <w:tr>
              <w:tc>
                <w:tcPr/>
                <w:p>
                  <w:pPr>
                    <w:pStyle w:val="Compact"/>
                    <w:jc w:val="left"/>
                    <w:jc w:val="center"/>
                  </w:pPr>
                  <w:r>
                    <w:t xml:space="preserve">8 Prefer the platform</w:t>
                  </w:r>
                </w:p>
              </w:tc>
              <w:tc>
                <w:tcPr/>
                <w:p>
                  <w:pPr>
                    <w:pStyle w:val="Compact"/>
                    <w:jc w:val="right"/>
                    <w:jc w:val="center"/>
                  </w:pPr>
                  <w:r>
                    <w:t xml:space="preserve">0.44</w:t>
                  </w:r>
                </w:p>
              </w:tc>
              <w:tc>
                <w:tcPr/>
                <w:p>
                  <w:pPr>
                    <w:pStyle w:val="Compact"/>
                    <w:jc w:val="right"/>
                    <w:jc w:val="center"/>
                  </w:pPr>
                  <w:r>
                    <w:t xml:space="preserve">0.48</w:t>
                  </w:r>
                </w:p>
              </w:tc>
              <w:tc>
                <w:tcPr/>
                <w:p>
                  <w:pPr>
                    <w:pStyle w:val="Compact"/>
                    <w:jc w:val="right"/>
                    <w:jc w:val="center"/>
                  </w:pPr>
                  <w:r>
                    <w:t xml:space="preserve">0.38</w:t>
                  </w:r>
                </w:p>
              </w:tc>
              <w:tc>
                <w:tcPr/>
                <w:p>
                  <w:pPr>
                    <w:pStyle w:val="Compact"/>
                    <w:jc w:val="right"/>
                    <w:jc w:val="center"/>
                  </w:pPr>
                  <w:r>
                    <w:t xml:space="preserve">-18.0</w:t>
                  </w:r>
                </w:p>
              </w:tc>
            </w:tr>
            <w:tr>
              <w:tc>
                <w:tcPr/>
                <w:p>
                  <w:pPr>
                    <w:pStyle w:val="Compact"/>
                    <w:jc w:val="left"/>
                    <w:jc w:val="center"/>
                  </w:pPr>
                  <w:r>
                    <w:t xml:space="preserve">No rule</w:t>
                  </w:r>
                </w:p>
              </w:tc>
              <w:tc>
                <w:tcPr/>
                <w:p>
                  <w:pPr>
                    <w:pStyle w:val="Compact"/>
                    <w:jc w:val="right"/>
                    <w:jc w:val="center"/>
                  </w:pPr>
                  <w:r>
                    <w:t xml:space="preserve">0.54</w:t>
                  </w:r>
                </w:p>
              </w:tc>
              <w:tc>
                <w:tcPr/>
                <w:p>
                  <w:pPr>
                    <w:pStyle w:val="Compact"/>
                    <w:jc w:val="right"/>
                    <w:jc w:val="center"/>
                  </w:pPr>
                  <w:r>
                    <w:t xml:space="preserve">0.73</w:t>
                  </w:r>
                </w:p>
              </w:tc>
              <w:tc>
                <w:tcPr/>
                <w:p>
                  <w:pPr>
                    <w:pStyle w:val="Compact"/>
                    <w:jc w:val="right"/>
                    <w:jc w:val="center"/>
                  </w:pPr>
                  <w:r>
                    <w:t xml:space="preserve">0.92</w:t>
                  </w:r>
                </w:p>
              </w:tc>
              <w:tc>
                <w:tcPr/>
                <w:p>
                  <w:pPr>
                    <w:pStyle w:val="Compact"/>
                    <w:jc w:val="right"/>
                    <w:jc w:val="center"/>
                  </w:pPr>
                  <w:r>
                    <w:t xml:space="preserve">44.0</w:t>
                  </w:r>
                </w:p>
              </w:tc>
            </w:tr>
          </w:tbl>
          <w:bookmarkEnd w:id="93"/>
          <w:p/>
        </w:tc>
      </w:tr>
    </w:tbl>
    <w:tbl>
      <w:tblPr>
        <w:tblStyle w:val="Table"/>
        <w:tblW w:type="pct" w:w="5000"/>
        <w:tblLayout w:type="fixed"/>
        <w:tblLook w:firstRow="0" w:lastRow="0" w:firstColumn="0" w:lastColumn="0" w:noHBand="0" w:noVBand="0" w:val="0000"/>
      </w:tblPr>
      <w:tblGrid>
        <w:gridCol w:w="7920"/>
      </w:tblGrid>
      <w:tr>
        <w:tc>
          <w:tcPr/>
          <w:bookmarkStart w:id="97" w:name="fig-rule-mix"/>
          <w:p>
            <w:pPr>
              <w:pStyle w:val="Compact"/>
              <w:jc w:val="center"/>
            </w:pPr>
            <w:r>
              <w:drawing>
                <wp:inline>
                  <wp:extent cx="5334000" cy="1723693"/>
                  <wp:effectExtent b="0" l="0" r="0" t="0"/>
                  <wp:docPr descr="" title="" id="95" name="Picture"/>
                  <a:graphic>
                    <a:graphicData uri="http://schemas.openxmlformats.org/drawingml/2006/picture">
                      <pic:pic>
                        <pic:nvPicPr>
                          <pic:cNvPr descr="report_files/figure-docx/fig-rule-mix-output-1.png" id="96" name="Picture"/>
                          <pic:cNvPicPr>
                            <a:picLocks noChangeArrowheads="1" noChangeAspect="1"/>
                          </pic:cNvPicPr>
                        </pic:nvPicPr>
                        <pic:blipFill>
                          <a:blip r:embed="rId94"/>
                          <a:stretch>
                            <a:fillRect/>
                          </a:stretch>
                        </pic:blipFill>
                        <pic:spPr bwMode="auto">
                          <a:xfrm>
                            <a:off x="0" y="0"/>
                            <a:ext cx="5334000" cy="1723693"/>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Rule make-up of findings · All three conditions, self-review</w:t>
            </w:r>
          </w:p>
          <w:bookmarkEnd w:id="97"/>
        </w:tc>
      </w:tr>
    </w:tbl>
    <w:p>
      <w:pPr>
        <w:pStyle w:val="BodyText"/>
      </w:pPr>
      <w:r>
        <w:t xml:space="preserve">Against the average of the two Stage 1 prompts, Security-informed self-reviews recorded:</w:t>
      </w:r>
    </w:p>
    <w:p>
      <w:pPr>
        <w:pStyle w:val="Compact"/>
        <w:numPr>
          <w:ilvl w:val="0"/>
          <w:numId w:val="1005"/>
        </w:numPr>
      </w:pPr>
      <w:r>
        <w:rPr>
          <w:b/>
          <w:bCs/>
        </w:rPr>
        <w:t xml:space="preserve">fewer findings under rule 2, Secrets (−77%)</w:t>
      </w:r>
      <w:r>
        <w:t xml:space="preserve">, rule 6, Failure behaviour (−43%), rule 3, Authentication and access (−26%) and rule 8, Prefer the platform (−18%);</w:t>
      </w:r>
    </w:p>
    <w:p>
      <w:pPr>
        <w:pStyle w:val="Compact"/>
        <w:numPr>
          <w:ilvl w:val="0"/>
          <w:numId w:val="1005"/>
        </w:numPr>
      </w:pPr>
      <w:r>
        <w:rPr>
          <w:b/>
          <w:bCs/>
        </w:rPr>
        <w:t xml:space="preserve">about the same under rule 5, Sensitive data (+4%)</w:t>
      </w:r>
      <w:r>
        <w:t xml:space="preserve">, which remains the largest single area at 1.75 findings per review;</w:t>
      </w:r>
    </w:p>
    <w:p>
      <w:pPr>
        <w:pStyle w:val="Compact"/>
        <w:numPr>
          <w:ilvl w:val="0"/>
          <w:numId w:val="1005"/>
        </w:numPr>
      </w:pPr>
      <w:r>
        <w:rPr>
          <w:b/>
          <w:bCs/>
        </w:rPr>
        <w:t xml:space="preserve">more under rule 7, Concurrency (+39%), rule 4, Identifiers and tokens (+33%) and rule 1, Trust boundaries (+22%)</w:t>
      </w:r>
      <w:r>
        <w:t xml:space="preserve">;</w:t>
      </w:r>
    </w:p>
    <w:p>
      <w:pPr>
        <w:pStyle w:val="Compact"/>
        <w:numPr>
          <w:ilvl w:val="0"/>
          <w:numId w:val="1005"/>
        </w:numPr>
      </w:pPr>
      <w:r>
        <w:rPr>
          <w:b/>
          <w:bCs/>
        </w:rPr>
        <w:t xml:space="preserve">more findings outside every rule (+44%)</w:t>
      </w:r>
      <w:r>
        <w:t xml:space="preserve">, from 0.54 and 0.73 to 0.92 per review. The most frequent of these is insufficient logging (CWE-778), Task 6’s own anchor, which no rule asks for.</w:t>
      </w:r>
    </w:p>
    <w:p>
      <w:pPr>
        <w:pStyle w:val="FirstParagraph"/>
      </w:pPr>
      <w:r>
        <w:t xml:space="preserve">The rules that worked are the ones that forbid a concrete artefact: a credential in the code, a revealing error message, a missing attempt limit. The rules that did not are the ones that ask for a property of the whole design, such as atomic check-then-act or bounded storage. With only 24 Security-informed self-reviews these are descriptive differences, not tested effects, and they rest on the draft mapping in</w:t>
      </w:r>
      <w:r>
        <w:t xml:space="preserve"> </w:t>
      </w:r>
      <w:hyperlink w:anchor="tbl-rules">
        <w:r>
          <w:rPr>
            <w:rStyle w:val="Hyperlink"/>
          </w:rPr>
          <w:t xml:space="preserve">Table 1</w:t>
        </w:r>
      </w:hyperlink>
      <w:r>
        <w:t xml:space="preserve">.</w:t>
      </w:r>
    </w:p>
    <w:bookmarkEnd w:id="98"/>
    <w:bookmarkEnd w:id="99"/>
    <w:bookmarkStart w:id="131" w:name="sec-stage-2"/>
    <w:p>
      <w:pPr>
        <w:pStyle w:val="Heading2"/>
      </w:pPr>
      <w:r>
        <w:t xml:space="preserve">5 Stage 2 results: four reviewers on the same code</w:t>
      </w:r>
    </w:p>
    <w:p>
      <w:pPr>
        <w:pStyle w:val="FirstParagraph"/>
      </w:pPr>
      <w:r>
        <w:t xml:space="preserve">This section uses every Security-informed review: each of the 24 programs read by all four reviewers. Because the code is fixed, differences between reviewers are differences in reviewing, and comparing generators within one reviewer holds the reviewer constant.</w:t>
      </w:r>
    </w:p>
    <w:bookmarkStart w:id="104" w:name="generators-with-the-reviewer-held-fixed"/>
    <w:p>
      <w:pPr>
        <w:pStyle w:val="Heading3"/>
      </w:pPr>
      <w:r>
        <w:t xml:space="preserve">5.1 Generators with the reviewer held fixed</w:t>
      </w:r>
    </w:p>
    <w:tbl>
      <w:tblPr>
        <w:tblStyle w:val="Table"/>
        <w:tblW w:type="pct" w:w="5000"/>
        <w:tblLayout w:type="fixed"/>
        <w:tblLook w:firstRow="0" w:lastRow="0" w:firstColumn="0" w:lastColumn="0" w:noHBand="0" w:noVBand="0" w:val="0000"/>
      </w:tblPr>
      <w:tblGrid>
        <w:gridCol w:w="7920"/>
      </w:tblGrid>
      <w:tr>
        <w:tc>
          <w:tcPr/>
          <w:bookmarkStart w:id="103" w:name="fig-matrix"/>
          <w:p>
            <w:pPr>
              <w:pStyle w:val="Compact"/>
              <w:jc w:val="center"/>
            </w:pPr>
            <w:r>
              <w:drawing>
                <wp:inline>
                  <wp:extent cx="5334000" cy="2223636"/>
                  <wp:effectExtent b="0" l="0" r="0" t="0"/>
                  <wp:docPr descr="" title="" id="101" name="Picture"/>
                  <a:graphic>
                    <a:graphicData uri="http://schemas.openxmlformats.org/drawingml/2006/picture">
                      <pic:pic>
                        <pic:nvPicPr>
                          <pic:cNvPr descr="report_files/figure-docx/fig-matrix-output-1.png" id="102" name="Picture"/>
                          <pic:cNvPicPr>
                            <a:picLocks noChangeArrowheads="1" noChangeAspect="1"/>
                          </pic:cNvPicPr>
                        </pic:nvPicPr>
                        <pic:blipFill>
                          <a:blip r:embed="rId100"/>
                          <a:stretch>
                            <a:fillRect/>
                          </a:stretch>
                        </pic:blipFill>
                        <pic:spPr bwMode="auto">
                          <a:xfrm>
                            <a:off x="0" y="0"/>
                            <a:ext cx="5334000" cy="2223636"/>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Findings per review by reviewer and generator · Security-informed, all four reviewers</w:t>
            </w:r>
          </w:p>
          <w:bookmarkEnd w:id="103"/>
        </w:tc>
      </w:tr>
    </w:tbl>
    <w:p>
      <w:pPr>
        <w:pStyle w:val="BodyText"/>
      </w:pPr>
      <w:r>
        <w:t xml:space="preserve">The left panel of</w:t>
      </w:r>
      <w:r>
        <w:t xml:space="preserve"> </w:t>
      </w:r>
      <w:hyperlink w:anchor="fig-matrix">
        <w:r>
          <w:rPr>
            <w:rStyle w:val="Hyperlink"/>
          </w:rPr>
          <w:t xml:space="preserve">Figure 17</w:t>
        </w:r>
      </w:hyperlink>
      <w:r>
        <w:t xml:space="preserve"> </w:t>
      </w:r>
      <w:r>
        <w:t xml:space="preserve">gives mean findings per review for each reviewer (row) and generator (column); each cell is six reviews. The right panel divides each row by that reviewer’s own mean, so 1.0 is that reviewer’s average.</w:t>
      </w:r>
    </w:p>
    <w:p>
      <w:pPr>
        <w:pStyle w:val="BodyText"/>
      </w:pPr>
      <w:r>
        <w:t xml:space="preserve">All four reviewers order the generators the same way at both ends:</w:t>
      </w:r>
      <w:r>
        <w:t xml:space="preserve"> </w:t>
      </w:r>
      <w:r>
        <w:rPr>
          <w:b/>
          <w:bCs/>
        </w:rPr>
        <w:t xml:space="preserve">Codex-generated code received the fewest findings</w:t>
      </w:r>
      <w:r>
        <w:t xml:space="preserve"> </w:t>
      </w:r>
      <w:r>
        <w:t xml:space="preserve">(2.00 to 5.83 per review) and</w:t>
      </w:r>
      <w:r>
        <w:t xml:space="preserve"> </w:t>
      </w:r>
      <w:r>
        <w:rPr>
          <w:b/>
          <w:bCs/>
        </w:rPr>
        <w:t xml:space="preserve">Antigravity-generated code the most</w:t>
      </w:r>
      <w:r>
        <w:t xml:space="preserve"> </w:t>
      </w:r>
      <w:r>
        <w:t xml:space="preserve">(6.67 to 11.83). The middle pair depends on the reviewer: Qwen’s code scored below Claude’s for three reviewers (Antigravity 4.00 against 5.00, Claude 7.50 against 8.00, Qwen 6.50 against 7.50), while the Codex reviewer reversed them (5.17 against 5.50). The generator ranking is therefore robust at its ends only. A low count from a lenient reviewer does not make a program more secure.</w:t>
      </w:r>
    </w:p>
    <w:bookmarkEnd w:id="104"/>
    <w:bookmarkStart w:id="114" w:name="how-the-reviewers-differ"/>
    <w:p>
      <w:pPr>
        <w:pStyle w:val="Heading3"/>
      </w:pPr>
      <w:r>
        <w:t xml:space="preserve">5.2 How the reviewers differ</w:t>
      </w:r>
    </w:p>
    <w:tbl>
      <w:tblPr>
        <w:tblStyle w:val="Table"/>
        <w:tblW w:type="pct" w:w="5000"/>
        <w:tblLayout w:type="fixed"/>
        <w:tblLook w:firstRow="0" w:lastRow="0" w:firstColumn="0" w:lastColumn="0" w:noHBand="0" w:noVBand="0" w:val="0000"/>
      </w:tblPr>
      <w:tblGrid>
        <w:gridCol w:w="7920"/>
      </w:tblGrid>
      <w:tr>
        <w:tc>
          <w:tcPr/>
          <w:bookmarkStart w:id="105" w:name="tbl-behaviour"/>
          <w:p>
            <w:pPr>
              <w:jc w:val="center"/>
            </w:pPr>
            <w:pPr>
              <w:jc w:val="left"/>
              <w:spacing w:before="200"/>
              <w:pStyle w:val="ImageCaption"/>
            </w:pPr>
            <w:r>
              <w:t xml:space="preserve">Table 9: Reviewer volume, severity and own-code contrast · Security-informed, all four reviewers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reviewer</w:t>
                  </w:r>
                </w:p>
              </w:tc>
              <w:tc>
                <w:tcPr/>
                <w:p>
                  <w:pPr>
                    <w:pStyle w:val="Compact"/>
                    <w:jc w:val="right"/>
                    <w:jc w:val="center"/>
                  </w:pPr>
                  <w:r>
                    <w:t xml:space="preserve">reviews</w:t>
                  </w:r>
                </w:p>
              </w:tc>
              <w:tc>
                <w:tcPr/>
                <w:p>
                  <w:pPr>
                    <w:pStyle w:val="Compact"/>
                    <w:jc w:val="right"/>
                    <w:jc w:val="center"/>
                  </w:pPr>
                  <w:r>
                    <w:t xml:space="preserve">findings per review</w:t>
                  </w:r>
                </w:p>
              </w:tc>
              <w:tc>
                <w:tcPr/>
                <w:p>
                  <w:pPr>
                    <w:pStyle w:val="Compact"/>
                    <w:jc w:val="right"/>
                    <w:jc w:val="center"/>
                  </w:pPr>
                  <w:r>
                    <w:t xml:space="preserve">High/Critical %</w:t>
                  </w:r>
                </w:p>
              </w:tc>
              <w:tc>
                <w:tcPr/>
                <w:p>
                  <w:pPr>
                    <w:pStyle w:val="Compact"/>
                    <w:jc w:val="right"/>
                    <w:jc w:val="center"/>
                  </w:pPr>
                  <w:r>
                    <w:t xml:space="preserve">distinct CWEs</w:t>
                  </w:r>
                </w:p>
              </w:tc>
              <w:tc>
                <w:tcPr/>
                <w:p>
                  <w:pPr>
                    <w:pStyle w:val="Compact"/>
                    <w:jc w:val="right"/>
                    <w:jc w:val="center"/>
                  </w:pPr>
                  <w:r>
                    <w:t xml:space="preserve">own code</w:t>
                  </w:r>
                </w:p>
              </w:tc>
              <w:tc>
                <w:tcPr/>
                <w:p>
                  <w:pPr>
                    <w:pStyle w:val="Compact"/>
                    <w:jc w:val="right"/>
                    <w:jc w:val="center"/>
                  </w:pPr>
                  <w:r>
                    <w:t xml:space="preserve">other code</w:t>
                  </w:r>
                </w:p>
              </w:tc>
              <w:tc>
                <w:tcPr/>
                <w:p>
                  <w:pPr>
                    <w:pStyle w:val="Compact"/>
                    <w:jc w:val="right"/>
                    <w:jc w:val="center"/>
                  </w:pPr>
                  <w:r>
                    <w:t xml:space="preserve">other minus own</w:t>
                  </w:r>
                </w:p>
              </w:tc>
            </w:tr>
            <w:tr>
              <w:tc>
                <w:tcPr/>
                <w:p>
                  <w:pPr>
                    <w:pStyle w:val="Compact"/>
                    <w:jc w:val="left"/>
                    <w:jc w:val="center"/>
                  </w:pPr>
                  <w:r>
                    <w:t xml:space="preserve">agy</w:t>
                  </w:r>
                </w:p>
              </w:tc>
              <w:tc>
                <w:tcPr/>
                <w:p>
                  <w:pPr>
                    <w:pStyle w:val="Compact"/>
                    <w:jc w:val="right"/>
                    <w:jc w:val="center"/>
                  </w:pPr>
                  <w:r>
                    <w:t xml:space="preserve">24</w:t>
                  </w:r>
                </w:p>
              </w:tc>
              <w:tc>
                <w:tcPr/>
                <w:p>
                  <w:pPr>
                    <w:pStyle w:val="Compact"/>
                    <w:jc w:val="right"/>
                    <w:jc w:val="center"/>
                  </w:pPr>
                  <w:r>
                    <w:t xml:space="preserve">4.83</w:t>
                  </w:r>
                </w:p>
              </w:tc>
              <w:tc>
                <w:tcPr/>
                <w:p>
                  <w:pPr>
                    <w:pStyle w:val="Compact"/>
                    <w:jc w:val="right"/>
                    <w:jc w:val="center"/>
                  </w:pPr>
                  <w:r>
                    <w:t xml:space="preserve">29.31</w:t>
                  </w:r>
                </w:p>
              </w:tc>
              <w:tc>
                <w:tcPr/>
                <w:p>
                  <w:pPr>
                    <w:pStyle w:val="Compact"/>
                    <w:jc w:val="right"/>
                    <w:jc w:val="center"/>
                  </w:pPr>
                  <w:r>
                    <w:t xml:space="preserve">50</w:t>
                  </w:r>
                </w:p>
              </w:tc>
              <w:tc>
                <w:tcPr/>
                <w:p>
                  <w:pPr>
                    <w:pStyle w:val="Compact"/>
                    <w:jc w:val="right"/>
                    <w:jc w:val="center"/>
                  </w:pPr>
                  <w:r>
                    <w:t xml:space="preserve">6.67</w:t>
                  </w:r>
                </w:p>
              </w:tc>
              <w:tc>
                <w:tcPr/>
                <w:p>
                  <w:pPr>
                    <w:pStyle w:val="Compact"/>
                    <w:jc w:val="right"/>
                    <w:jc w:val="center"/>
                  </w:pPr>
                  <w:r>
                    <w:t xml:space="preserve">4.22</w:t>
                  </w:r>
                </w:p>
              </w:tc>
              <w:tc>
                <w:tcPr/>
                <w:p>
                  <w:pPr>
                    <w:pStyle w:val="Compact"/>
                    <w:jc w:val="right"/>
                    <w:jc w:val="center"/>
                  </w:pPr>
                  <w:r>
                    <w:t xml:space="preserve">-2.44</w:t>
                  </w:r>
                </w:p>
              </w:tc>
            </w:tr>
            <w:tr>
              <w:tc>
                <w:tcPr/>
                <w:p>
                  <w:pPr>
                    <w:pStyle w:val="Compact"/>
                    <w:jc w:val="left"/>
                    <w:jc w:val="center"/>
                  </w:pPr>
                  <w:r>
                    <w:t xml:space="preserve">claude</w:t>
                  </w:r>
                </w:p>
              </w:tc>
              <w:tc>
                <w:tcPr/>
                <w:p>
                  <w:pPr>
                    <w:pStyle w:val="Compact"/>
                    <w:jc w:val="right"/>
                    <w:jc w:val="center"/>
                  </w:pPr>
                  <w:r>
                    <w:t xml:space="preserve">24</w:t>
                  </w:r>
                </w:p>
              </w:tc>
              <w:tc>
                <w:tcPr/>
                <w:p>
                  <w:pPr>
                    <w:pStyle w:val="Compact"/>
                    <w:jc w:val="right"/>
                    <w:jc w:val="center"/>
                  </w:pPr>
                  <w:r>
                    <w:t xml:space="preserve">7.83</w:t>
                  </w:r>
                </w:p>
              </w:tc>
              <w:tc>
                <w:tcPr/>
                <w:p>
                  <w:pPr>
                    <w:pStyle w:val="Compact"/>
                    <w:jc w:val="right"/>
                    <w:jc w:val="center"/>
                  </w:pPr>
                  <w:r>
                    <w:t xml:space="preserve">7.98</w:t>
                  </w:r>
                </w:p>
              </w:tc>
              <w:tc>
                <w:tcPr/>
                <w:p>
                  <w:pPr>
                    <w:pStyle w:val="Compact"/>
                    <w:jc w:val="right"/>
                    <w:jc w:val="center"/>
                  </w:pPr>
                  <w:r>
                    <w:t xml:space="preserve">60</w:t>
                  </w:r>
                </w:p>
              </w:tc>
              <w:tc>
                <w:tcPr/>
                <w:p>
                  <w:pPr>
                    <w:pStyle w:val="Compact"/>
                    <w:jc w:val="right"/>
                    <w:jc w:val="center"/>
                  </w:pPr>
                  <w:r>
                    <w:t xml:space="preserve">8.0</w:t>
                  </w:r>
                </w:p>
              </w:tc>
              <w:tc>
                <w:tcPr/>
                <w:p>
                  <w:pPr>
                    <w:pStyle w:val="Compact"/>
                    <w:jc w:val="right"/>
                    <w:jc w:val="center"/>
                  </w:pPr>
                  <w:r>
                    <w:t xml:space="preserve">7.78</w:t>
                  </w:r>
                </w:p>
              </w:tc>
              <w:tc>
                <w:tcPr/>
                <w:p>
                  <w:pPr>
                    <w:pStyle w:val="Compact"/>
                    <w:jc w:val="right"/>
                    <w:jc w:val="center"/>
                  </w:pPr>
                  <w:r>
                    <w:t xml:space="preserve">-0.22</w:t>
                  </w:r>
                </w:p>
              </w:tc>
            </w:tr>
            <w:tr>
              <w:tc>
                <w:tcPr/>
                <w:p>
                  <w:pPr>
                    <w:pStyle w:val="Compact"/>
                    <w:jc w:val="left"/>
                    <w:jc w:val="center"/>
                  </w:pPr>
                  <w:r>
                    <w:t xml:space="preserve">codex</w:t>
                  </w:r>
                </w:p>
              </w:tc>
              <w:tc>
                <w:tcPr/>
                <w:p>
                  <w:pPr>
                    <w:pStyle w:val="Compact"/>
                    <w:jc w:val="right"/>
                    <w:jc w:val="center"/>
                  </w:pPr>
                  <w:r>
                    <w:t xml:space="preserve">24</w:t>
                  </w:r>
                </w:p>
              </w:tc>
              <w:tc>
                <w:tcPr/>
                <w:p>
                  <w:pPr>
                    <w:pStyle w:val="Compact"/>
                    <w:jc w:val="right"/>
                    <w:jc w:val="center"/>
                  </w:pPr>
                  <w:r>
                    <w:t xml:space="preserve">5.29</w:t>
                  </w:r>
                </w:p>
              </w:tc>
              <w:tc>
                <w:tcPr/>
                <w:p>
                  <w:pPr>
                    <w:pStyle w:val="Compact"/>
                    <w:jc w:val="right"/>
                    <w:jc w:val="center"/>
                  </w:pPr>
                  <w:r>
                    <w:t xml:space="preserve">14.96</w:t>
                  </w:r>
                </w:p>
              </w:tc>
              <w:tc>
                <w:tcPr/>
                <w:p>
                  <w:pPr>
                    <w:pStyle w:val="Compact"/>
                    <w:jc w:val="right"/>
                    <w:jc w:val="center"/>
                  </w:pPr>
                  <w:r>
                    <w:t xml:space="preserve">46</w:t>
                  </w:r>
                </w:p>
              </w:tc>
              <w:tc>
                <w:tcPr/>
                <w:p>
                  <w:pPr>
                    <w:pStyle w:val="Compact"/>
                    <w:jc w:val="right"/>
                    <w:jc w:val="center"/>
                  </w:pPr>
                  <w:r>
                    <w:t xml:space="preserve">2.0</w:t>
                  </w:r>
                </w:p>
              </w:tc>
              <w:tc>
                <w:tcPr/>
                <w:p>
                  <w:pPr>
                    <w:pStyle w:val="Compact"/>
                    <w:jc w:val="right"/>
                    <w:jc w:val="center"/>
                  </w:pPr>
                  <w:r>
                    <w:t xml:space="preserve">6.39</w:t>
                  </w:r>
                </w:p>
              </w:tc>
              <w:tc>
                <w:tcPr/>
                <w:p>
                  <w:pPr>
                    <w:pStyle w:val="Compact"/>
                    <w:jc w:val="right"/>
                    <w:jc w:val="center"/>
                  </w:pPr>
                  <w:r>
                    <w:t xml:space="preserve">4.39</w:t>
                  </w:r>
                </w:p>
              </w:tc>
            </w:tr>
            <w:tr>
              <w:tc>
                <w:tcPr/>
                <w:p>
                  <w:pPr>
                    <w:pStyle w:val="Compact"/>
                    <w:jc w:val="left"/>
                    <w:jc w:val="center"/>
                  </w:pPr>
                  <w:r>
                    <w:t xml:space="preserve">qwen</w:t>
                  </w:r>
                </w:p>
              </w:tc>
              <w:tc>
                <w:tcPr/>
                <w:p>
                  <w:pPr>
                    <w:pStyle w:val="Compact"/>
                    <w:jc w:val="right"/>
                    <w:jc w:val="center"/>
                  </w:pPr>
                  <w:r>
                    <w:t xml:space="preserve">24</w:t>
                  </w:r>
                </w:p>
              </w:tc>
              <w:tc>
                <w:tcPr/>
                <w:p>
                  <w:pPr>
                    <w:pStyle w:val="Compact"/>
                    <w:jc w:val="right"/>
                    <w:jc w:val="center"/>
                  </w:pPr>
                  <w:r>
                    <w:t xml:space="preserve">7.12</w:t>
                  </w:r>
                </w:p>
              </w:tc>
              <w:tc>
                <w:tcPr/>
                <w:p>
                  <w:pPr>
                    <w:pStyle w:val="Compact"/>
                    <w:jc w:val="right"/>
                    <w:jc w:val="center"/>
                  </w:pPr>
                  <w:r>
                    <w:t xml:space="preserve">15.79</w:t>
                  </w:r>
                </w:p>
              </w:tc>
              <w:tc>
                <w:tcPr/>
                <w:p>
                  <w:pPr>
                    <w:pStyle w:val="Compact"/>
                    <w:jc w:val="right"/>
                    <w:jc w:val="center"/>
                  </w:pPr>
                  <w:r>
                    <w:t xml:space="preserve">68</w:t>
                  </w:r>
                </w:p>
              </w:tc>
              <w:tc>
                <w:tcPr/>
                <w:p>
                  <w:pPr>
                    <w:pStyle w:val="Compact"/>
                    <w:jc w:val="right"/>
                    <w:jc w:val="center"/>
                  </w:pPr>
                  <w:r>
                    <w:t xml:space="preserve">6.5</w:t>
                  </w:r>
                </w:p>
              </w:tc>
              <w:tc>
                <w:tcPr/>
                <w:p>
                  <w:pPr>
                    <w:pStyle w:val="Compact"/>
                    <w:jc w:val="right"/>
                    <w:jc w:val="center"/>
                  </w:pPr>
                  <w:r>
                    <w:t xml:space="preserve">7.33</w:t>
                  </w:r>
                </w:p>
              </w:tc>
              <w:tc>
                <w:tcPr/>
                <w:p>
                  <w:pPr>
                    <w:pStyle w:val="Compact"/>
                    <w:jc w:val="right"/>
                    <w:jc w:val="center"/>
                  </w:pPr>
                  <w:r>
                    <w:t xml:space="preserve">0.83</w:t>
                  </w:r>
                </w:p>
              </w:tc>
            </w:tr>
          </w:tbl>
          <w:bookmarkEnd w:id="105"/>
          <w:p/>
        </w:tc>
      </w:tr>
    </w:tbl>
    <w:tbl>
      <w:tblPr>
        <w:tblStyle w:val="Table"/>
        <w:tblW w:type="pct" w:w="5000"/>
        <w:tblLayout w:type="fixed"/>
        <w:tblLook w:firstRow="0" w:lastRow="0" w:firstColumn="0" w:lastColumn="0" w:noHBand="0" w:noVBand="0" w:val="0000"/>
      </w:tblPr>
      <w:tblGrid>
        <w:gridCol w:w="7920"/>
      </w:tblGrid>
      <w:tr>
        <w:tc>
          <w:tcPr/>
          <w:bookmarkStart w:id="109" w:name="fig-behaviour"/>
          <w:p>
            <w:pPr>
              <w:pStyle w:val="Compact"/>
              <w:jc w:val="center"/>
            </w:pPr>
            <w:r>
              <w:drawing>
                <wp:inline>
                  <wp:extent cx="5334000" cy="2014488"/>
                  <wp:effectExtent b="0" l="0" r="0" t="0"/>
                  <wp:docPr descr="" title="" id="107" name="Picture"/>
                  <a:graphic>
                    <a:graphicData uri="http://schemas.openxmlformats.org/drawingml/2006/picture">
                      <pic:pic>
                        <pic:nvPicPr>
                          <pic:cNvPr descr="report_files/figure-docx/fig-behaviour-output-1.png" id="108" name="Picture"/>
                          <pic:cNvPicPr>
                            <a:picLocks noChangeArrowheads="1" noChangeAspect="1"/>
                          </pic:cNvPicPr>
                        </pic:nvPicPr>
                        <pic:blipFill>
                          <a:blip r:embed="rId106"/>
                          <a:stretch>
                            <a:fillRect/>
                          </a:stretch>
                        </pic:blipFill>
                        <pic:spPr bwMode="auto">
                          <a:xfrm>
                            <a:off x="0" y="0"/>
                            <a:ext cx="5334000" cy="2014488"/>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Reviewer volume against severity, and own code against other generators’ code · Security-informed, all four reviewers</w:t>
            </w:r>
          </w:p>
          <w:bookmarkEnd w:id="109"/>
        </w:tc>
      </w:tr>
    </w:tbl>
    <w:tbl>
      <w:tblPr>
        <w:tblStyle w:val="Table"/>
        <w:tblW w:type="pct" w:w="5000"/>
        <w:tblLayout w:type="fixed"/>
        <w:tblLook w:firstRow="0" w:lastRow="0" w:firstColumn="0" w:lastColumn="0" w:noHBand="0" w:noVBand="0" w:val="0000"/>
      </w:tblPr>
      <w:tblGrid>
        <w:gridCol w:w="7920"/>
      </w:tblGrid>
      <w:tr>
        <w:tc>
          <w:tcPr/>
          <w:bookmarkStart w:id="113" w:name="fig-severity-reviewer"/>
          <w:p>
            <w:pPr>
              <w:pStyle w:val="Compact"/>
              <w:jc w:val="center"/>
            </w:pPr>
            <w:r>
              <w:drawing>
                <wp:inline>
                  <wp:extent cx="5334000" cy="1987801"/>
                  <wp:effectExtent b="0" l="0" r="0" t="0"/>
                  <wp:docPr descr="" title="" id="111" name="Picture"/>
                  <a:graphic>
                    <a:graphicData uri="http://schemas.openxmlformats.org/drawingml/2006/picture">
                      <pic:pic>
                        <pic:nvPicPr>
                          <pic:cNvPr descr="report_files/figure-docx/fig-severity-reviewer-output-1.png" id="112" name="Picture"/>
                          <pic:cNvPicPr>
                            <a:picLocks noChangeArrowheads="1" noChangeAspect="1"/>
                          </pic:cNvPicPr>
                        </pic:nvPicPr>
                        <pic:blipFill>
                          <a:blip r:embed="rId110"/>
                          <a:stretch>
                            <a:fillRect/>
                          </a:stretch>
                        </pic:blipFill>
                        <pic:spPr bwMode="auto">
                          <a:xfrm>
                            <a:off x="0" y="0"/>
                            <a:ext cx="5334000" cy="19878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Severity of findings by reviewer · Security-informed, all four reviewers</w:t>
            </w:r>
          </w:p>
          <w:bookmarkEnd w:id="113"/>
        </w:tc>
      </w:tr>
    </w:tbl>
    <w:p>
      <w:pPr>
        <w:pStyle w:val="BodyText"/>
      </w:pPr>
      <w:r>
        <w:t xml:space="preserve">Reading the same 24 programs, the reviewers recorded between</w:t>
      </w:r>
      <w:r>
        <w:t xml:space="preserve"> </w:t>
      </w:r>
      <w:r>
        <w:rPr>
          <w:b/>
          <w:bCs/>
        </w:rPr>
        <w:t xml:space="preserve">4.83 (Antigravity) and 7.83 (Claude) findings per review</w:t>
      </w:r>
      <w:r>
        <w:t xml:space="preserve"> </w:t>
      </w:r>
      <w:r>
        <w:t xml:space="preserve">and rated between</w:t>
      </w:r>
      <w:r>
        <w:t xml:space="preserve"> </w:t>
      </w:r>
      <w:r>
        <w:rPr>
          <w:b/>
          <w:bCs/>
        </w:rPr>
        <w:t xml:space="preserve">8.0% (Claude) and 29.3% (Antigravity)</w:t>
      </w:r>
      <w:r>
        <w:t xml:space="preserve"> </w:t>
      </w:r>
      <w:r>
        <w:t xml:space="preserve">of them High or Critical (</w:t>
      </w:r>
      <w:hyperlink w:anchor="tbl-behaviour">
        <w:r>
          <w:rPr>
            <w:rStyle w:val="Hyperlink"/>
          </w:rPr>
          <w:t xml:space="preserve">Table 9</w:t>
        </w:r>
      </w:hyperlink>
      <w:r>
        <w:t xml:space="preserve">). The most thorough reviewer by volume was the least severe, and the reverse (</w:t>
      </w:r>
      <w:hyperlink w:anchor="fig-behaviour">
        <w:r>
          <w:rPr>
            <w:rStyle w:val="Hyperlink"/>
          </w:rPr>
          <w:t xml:space="preserve">Figure 18</w:t>
        </w:r>
      </w:hyperlink>
      <w:r>
        <w:t xml:space="preserve">, left). Claude rated 55.3% of its findings Low; Codex rated 62.2% Medium (</w:t>
      </w:r>
      <w:hyperlink w:anchor="fig-severity-reviewer">
        <w:r>
          <w:rPr>
            <w:rStyle w:val="Hyperlink"/>
          </w:rPr>
          <w:t xml:space="preserve">Figure 19</w:t>
        </w:r>
      </w:hyperlink>
      <w:r>
        <w:t xml:space="preserve">).</w:t>
      </w:r>
    </w:p>
    <w:p>
      <w:pPr>
        <w:pStyle w:val="BodyText"/>
      </w:pPr>
      <w:r>
        <w:t xml:space="preserve">The right panel of</w:t>
      </w:r>
      <w:r>
        <w:t xml:space="preserve"> </w:t>
      </w:r>
      <w:hyperlink w:anchor="fig-behaviour">
        <w:r>
          <w:rPr>
            <w:rStyle w:val="Hyperlink"/>
          </w:rPr>
          <w:t xml:space="preserve">Figure 18</w:t>
        </w:r>
      </w:hyperlink>
      <w:r>
        <w:t xml:space="preserve"> </w:t>
      </w:r>
      <w:r>
        <w:t xml:space="preserve">compares each reviewer’s verdict on its own generator’s code with its verdict on the other three. The Codex reviewer recorded 2.00 findings on its own code against 6.39 on others’ (+4.39); Antigravity’s reviewer moved the other way, 6.67 on its own code against 4.22 (−2.44); Claude and Qwen were within one finding. Because the code quality also differs by generator, this is a self/external association, not proof of self-bias.</w:t>
      </w:r>
    </w:p>
    <w:bookmarkEnd w:id="114"/>
    <w:bookmarkStart w:id="121" w:name="agreement-between-reviewers"/>
    <w:p>
      <w:pPr>
        <w:pStyle w:val="Heading3"/>
      </w:pPr>
      <w:r>
        <w:t xml:space="preserve">5.3 Agreement between reviewers</w:t>
      </w:r>
    </w:p>
    <w:p>
      <w:pPr>
        <w:pStyle w:val="FirstParagraph"/>
      </w:pPr>
      <w:r>
        <w:t xml:space="preserve">For each program, every CWE named by any reviewer is counted once, together with how many of the four reviewers named it. The same is done for OWASP categories; Unmapped is left out there, because two different off-list CWEs are not an agreement. Agreement on a label does not show that two reviewers found the same flaw in the same line.</w:t>
      </w:r>
    </w:p>
    <w:tbl>
      <w:tblPr>
        <w:tblStyle w:val="Table"/>
        <w:tblW w:type="pct" w:w="5000"/>
        <w:tblLayout w:type="fixed"/>
        <w:tblLook w:firstRow="0" w:lastRow="0" w:firstColumn="0" w:lastColumn="0" w:noHBand="0" w:noVBand="0" w:val="0000"/>
      </w:tblPr>
      <w:tblGrid>
        <w:gridCol w:w="7920"/>
      </w:tblGrid>
      <w:tr>
        <w:tc>
          <w:tcPr/>
          <w:bookmarkStart w:id="118" w:name="fig-agreement"/>
          <w:p>
            <w:pPr>
              <w:pStyle w:val="Compact"/>
              <w:jc w:val="center"/>
            </w:pPr>
            <w:r>
              <w:drawing>
                <wp:inline>
                  <wp:extent cx="5334000" cy="2002488"/>
                  <wp:effectExtent b="0" l="0" r="0" t="0"/>
                  <wp:docPr descr="" title="" id="116" name="Picture"/>
                  <a:graphic>
                    <a:graphicData uri="http://schemas.openxmlformats.org/drawingml/2006/picture">
                      <pic:pic>
                        <pic:nvPicPr>
                          <pic:cNvPr descr="report_files/figure-docx/fig-agreement-output-1.png" id="117" name="Picture"/>
                          <pic:cNvPicPr>
                            <a:picLocks noChangeArrowheads="1" noChangeAspect="1"/>
                          </pic:cNvPicPr>
                        </pic:nvPicPr>
                        <pic:blipFill>
                          <a:blip r:embed="rId115"/>
                          <a:stretch>
                            <a:fillRect/>
                          </a:stretch>
                        </pic:blipFill>
                        <pic:spPr bwMode="auto">
                          <a:xfrm>
                            <a:off x="0" y="0"/>
                            <a:ext cx="5334000" cy="2002488"/>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Reviewers naming the same CWE, and the same OWASP category, on a program · Security-informed, all four reviewers</w:t>
            </w:r>
          </w:p>
          <w:bookmarkEnd w:id="118"/>
        </w:tc>
      </w:tr>
    </w:tbl>
    <w:tbl>
      <w:tblPr>
        <w:tblStyle w:val="Table"/>
        <w:tblW w:type="pct" w:w="5000"/>
        <w:tblLayout w:type="fixed"/>
        <w:tblLook w:firstRow="0" w:lastRow="0" w:firstColumn="0" w:lastColumn="0" w:noHBand="0" w:noVBand="0" w:val="0000"/>
      </w:tblPr>
      <w:tblGrid>
        <w:gridCol w:w="7920"/>
      </w:tblGrid>
      <w:tr>
        <w:tc>
          <w:tcPr/>
          <w:bookmarkStart w:id="119" w:name="tbl-agreement"/>
          <w:p>
            <w:pPr>
              <w:jc w:val="center"/>
            </w:pPr>
            <w:pPr>
              <w:jc w:val="left"/>
              <w:spacing w:before="200"/>
              <w:pStyle w:val="ImageCaption"/>
            </w:pPr>
            <w:r>
              <w:t xml:space="preserve">Table 10: Share of (program, category) pairs named by 1, 2, 3 or 4 reviewers · Security-informed, all four reviewers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level</w:t>
                  </w:r>
                </w:p>
              </w:tc>
              <w:tc>
                <w:tcPr/>
                <w:p>
                  <w:pPr>
                    <w:pStyle w:val="Compact"/>
                    <w:jc w:val="right"/>
                    <w:jc w:val="center"/>
                  </w:pPr>
                  <w:r>
                    <w:t xml:space="preserve">pairs</w:t>
                  </w:r>
                </w:p>
              </w:tc>
              <w:tc>
                <w:tcPr/>
                <w:p>
                  <w:pPr>
                    <w:pStyle w:val="Compact"/>
                    <w:jc w:val="right"/>
                    <w:jc w:val="center"/>
                  </w:pPr>
                  <w:r>
                    <w:t xml:space="preserve">named by 1 %</w:t>
                  </w:r>
                </w:p>
              </w:tc>
              <w:tc>
                <w:tcPr/>
                <w:p>
                  <w:pPr>
                    <w:pStyle w:val="Compact"/>
                    <w:jc w:val="right"/>
                    <w:jc w:val="center"/>
                  </w:pPr>
                  <w:r>
                    <w:t xml:space="preserve">named by 2 %</w:t>
                  </w:r>
                </w:p>
              </w:tc>
              <w:tc>
                <w:tcPr/>
                <w:p>
                  <w:pPr>
                    <w:pStyle w:val="Compact"/>
                    <w:jc w:val="right"/>
                    <w:jc w:val="center"/>
                  </w:pPr>
                  <w:r>
                    <w:t xml:space="preserve">named by 3 %</w:t>
                  </w:r>
                </w:p>
              </w:tc>
              <w:tc>
                <w:tcPr/>
                <w:p>
                  <w:pPr>
                    <w:pStyle w:val="Compact"/>
                    <w:jc w:val="right"/>
                    <w:jc w:val="center"/>
                  </w:pPr>
                  <w:r>
                    <w:t xml:space="preserve">named by 4 %</w:t>
                  </w:r>
                </w:p>
              </w:tc>
            </w:tr>
            <w:tr>
              <w:tc>
                <w:tcPr/>
                <w:p>
                  <w:pPr>
                    <w:pStyle w:val="Compact"/>
                    <w:jc w:val="left"/>
                    <w:jc w:val="center"/>
                  </w:pPr>
                  <w:r>
                    <w:t xml:space="preserve">CWE label</w:t>
                  </w:r>
                </w:p>
              </w:tc>
              <w:tc>
                <w:tcPr/>
                <w:p>
                  <w:pPr>
                    <w:pStyle w:val="Compact"/>
                    <w:jc w:val="right"/>
                    <w:jc w:val="center"/>
                  </w:pPr>
                  <w:r>
                    <w:t xml:space="preserve">387</w:t>
                  </w:r>
                </w:p>
              </w:tc>
              <w:tc>
                <w:tcPr/>
                <w:p>
                  <w:pPr>
                    <w:pStyle w:val="Compact"/>
                    <w:jc w:val="right"/>
                    <w:jc w:val="center"/>
                  </w:pPr>
                  <w:r>
                    <w:t xml:space="preserve">64.3</w:t>
                  </w:r>
                </w:p>
              </w:tc>
              <w:tc>
                <w:tcPr/>
                <w:p>
                  <w:pPr>
                    <w:pStyle w:val="Compact"/>
                    <w:jc w:val="right"/>
                    <w:jc w:val="center"/>
                  </w:pPr>
                  <w:r>
                    <w:t xml:space="preserve">27.1</w:t>
                  </w:r>
                </w:p>
              </w:tc>
              <w:tc>
                <w:tcPr/>
                <w:p>
                  <w:pPr>
                    <w:pStyle w:val="Compact"/>
                    <w:jc w:val="right"/>
                    <w:jc w:val="center"/>
                  </w:pPr>
                  <w:r>
                    <w:t xml:space="preserve">7.2</w:t>
                  </w:r>
                </w:p>
              </w:tc>
              <w:tc>
                <w:tcPr/>
                <w:p>
                  <w:pPr>
                    <w:pStyle w:val="Compact"/>
                    <w:jc w:val="right"/>
                    <w:jc w:val="center"/>
                  </w:pPr>
                  <w:r>
                    <w:t xml:space="preserve">1.3</w:t>
                  </w:r>
                </w:p>
              </w:tc>
            </w:tr>
            <w:tr>
              <w:tc>
                <w:tcPr/>
                <w:p>
                  <w:pPr>
                    <w:pStyle w:val="Compact"/>
                    <w:jc w:val="left"/>
                    <w:jc w:val="center"/>
                  </w:pPr>
                  <w:r>
                    <w:t xml:space="preserve">OWASP category</w:t>
                  </w:r>
                </w:p>
              </w:tc>
              <w:tc>
                <w:tcPr/>
                <w:p>
                  <w:pPr>
                    <w:pStyle w:val="Compact"/>
                    <w:jc w:val="right"/>
                    <w:jc w:val="center"/>
                  </w:pPr>
                  <w:r>
                    <w:t xml:space="preserve">137</w:t>
                  </w:r>
                </w:p>
              </w:tc>
              <w:tc>
                <w:tcPr/>
                <w:p>
                  <w:pPr>
                    <w:pStyle w:val="Compact"/>
                    <w:jc w:val="right"/>
                    <w:jc w:val="center"/>
                  </w:pPr>
                  <w:r>
                    <w:t xml:space="preserve">32.1</w:t>
                  </w:r>
                </w:p>
              </w:tc>
              <w:tc>
                <w:tcPr/>
                <w:p>
                  <w:pPr>
                    <w:pStyle w:val="Compact"/>
                    <w:jc w:val="right"/>
                    <w:jc w:val="center"/>
                  </w:pPr>
                  <w:r>
                    <w:t xml:space="preserve">35.8</w:t>
                  </w:r>
                </w:p>
              </w:tc>
              <w:tc>
                <w:tcPr/>
                <w:p>
                  <w:pPr>
                    <w:pStyle w:val="Compact"/>
                    <w:jc w:val="right"/>
                    <w:jc w:val="center"/>
                  </w:pPr>
                  <w:r>
                    <w:t xml:space="preserve">21.2</w:t>
                  </w:r>
                </w:p>
              </w:tc>
              <w:tc>
                <w:tcPr/>
                <w:p>
                  <w:pPr>
                    <w:pStyle w:val="Compact"/>
                    <w:jc w:val="right"/>
                    <w:jc w:val="center"/>
                  </w:pPr>
                  <w:r>
                    <w:t xml:space="preserve">10.9</w:t>
                  </w:r>
                </w:p>
              </w:tc>
            </w:tr>
          </w:tbl>
          <w:bookmarkEnd w:id="11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0" w:name="tbl-jaccard"/>
          <w:p>
            <w:pPr>
              <w:jc w:val="center"/>
            </w:pPr>
            <w:pPr>
              <w:jc w:val="left"/>
              <w:spacing w:before="200"/>
              <w:pStyle w:val="ImageCaption"/>
            </w:pPr>
            <w:r>
              <w:t xml:space="preserve">Table 11: Mean Jaccard overlap of each reviewer pair’s labels on the same program · Security-informed, all four reviewers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reviewer pair</w:t>
                  </w:r>
                </w:p>
              </w:tc>
              <w:tc>
                <w:tcPr/>
                <w:p>
                  <w:pPr>
                    <w:pStyle w:val="Compact"/>
                    <w:jc w:val="right"/>
                    <w:jc w:val="center"/>
                  </w:pPr>
                  <w:r>
                    <w:t xml:space="preserve">CWE Jaccard</w:t>
                  </w:r>
                </w:p>
              </w:tc>
              <w:tc>
                <w:tcPr/>
                <w:p>
                  <w:pPr>
                    <w:pStyle w:val="Compact"/>
                    <w:jc w:val="right"/>
                    <w:jc w:val="center"/>
                  </w:pPr>
                  <w:r>
                    <w:t xml:space="preserve">OWASP Jaccard</w:t>
                  </w:r>
                </w:p>
              </w:tc>
            </w:tr>
            <w:tr>
              <w:tc>
                <w:tcPr/>
                <w:p>
                  <w:pPr>
                    <w:pStyle w:val="Compact"/>
                    <w:jc w:val="left"/>
                    <w:jc w:val="center"/>
                  </w:pPr>
                  <w:r>
                    <w:t xml:space="preserve">agy / claude</w:t>
                  </w:r>
                </w:p>
              </w:tc>
              <w:tc>
                <w:tcPr/>
                <w:p>
                  <w:pPr>
                    <w:pStyle w:val="Compact"/>
                    <w:jc w:val="right"/>
                    <w:jc w:val="center"/>
                  </w:pPr>
                  <w:r>
                    <w:t xml:space="preserve">0.12</w:t>
                  </w:r>
                </w:p>
              </w:tc>
              <w:tc>
                <w:tcPr/>
                <w:p>
                  <w:pPr>
                    <w:pStyle w:val="Compact"/>
                    <w:jc w:val="right"/>
                    <w:jc w:val="center"/>
                  </w:pPr>
                  <w:r>
                    <w:t xml:space="preserve">0.29</w:t>
                  </w:r>
                </w:p>
              </w:tc>
            </w:tr>
            <w:tr>
              <w:tc>
                <w:tcPr/>
                <w:p>
                  <w:pPr>
                    <w:pStyle w:val="Compact"/>
                    <w:jc w:val="left"/>
                    <w:jc w:val="center"/>
                  </w:pPr>
                  <w:r>
                    <w:t xml:space="preserve">agy / codex</w:t>
                  </w:r>
                </w:p>
              </w:tc>
              <w:tc>
                <w:tcPr/>
                <w:p>
                  <w:pPr>
                    <w:pStyle w:val="Compact"/>
                    <w:jc w:val="right"/>
                    <w:jc w:val="center"/>
                  </w:pPr>
                  <w:r>
                    <w:t xml:space="preserve">0.12</w:t>
                  </w:r>
                </w:p>
              </w:tc>
              <w:tc>
                <w:tcPr/>
                <w:p>
                  <w:pPr>
                    <w:pStyle w:val="Compact"/>
                    <w:jc w:val="right"/>
                    <w:jc w:val="center"/>
                  </w:pPr>
                  <w:r>
                    <w:t xml:space="preserve">0.26</w:t>
                  </w:r>
                </w:p>
              </w:tc>
            </w:tr>
            <w:tr>
              <w:tc>
                <w:tcPr/>
                <w:p>
                  <w:pPr>
                    <w:pStyle w:val="Compact"/>
                    <w:jc w:val="left"/>
                    <w:jc w:val="center"/>
                  </w:pPr>
                  <w:r>
                    <w:t xml:space="preserve">agy / qwen</w:t>
                  </w:r>
                </w:p>
              </w:tc>
              <w:tc>
                <w:tcPr/>
                <w:p>
                  <w:pPr>
                    <w:pStyle w:val="Compact"/>
                    <w:jc w:val="right"/>
                    <w:jc w:val="center"/>
                  </w:pPr>
                  <w:r>
                    <w:t xml:space="preserve">0.1</w:t>
                  </w:r>
                </w:p>
              </w:tc>
              <w:tc>
                <w:tcPr/>
                <w:p>
                  <w:pPr>
                    <w:pStyle w:val="Compact"/>
                    <w:jc w:val="right"/>
                    <w:jc w:val="center"/>
                  </w:pPr>
                  <w:r>
                    <w:t xml:space="preserve">0.31</w:t>
                  </w:r>
                </w:p>
              </w:tc>
            </w:tr>
            <w:tr>
              <w:tc>
                <w:tcPr/>
                <w:p>
                  <w:pPr>
                    <w:pStyle w:val="Compact"/>
                    <w:jc w:val="left"/>
                    <w:jc w:val="center"/>
                  </w:pPr>
                  <w:r>
                    <w:t xml:space="preserve">claude / codex</w:t>
                  </w:r>
                </w:p>
              </w:tc>
              <w:tc>
                <w:tcPr/>
                <w:p>
                  <w:pPr>
                    <w:pStyle w:val="Compact"/>
                    <w:jc w:val="right"/>
                    <w:jc w:val="center"/>
                  </w:pPr>
                  <w:r>
                    <w:t xml:space="preserve">0.22</w:t>
                  </w:r>
                </w:p>
              </w:tc>
              <w:tc>
                <w:tcPr/>
                <w:p>
                  <w:pPr>
                    <w:pStyle w:val="Compact"/>
                    <w:jc w:val="right"/>
                    <w:jc w:val="center"/>
                  </w:pPr>
                  <w:r>
                    <w:t xml:space="preserve">0.31</w:t>
                  </w:r>
                </w:p>
              </w:tc>
            </w:tr>
            <w:tr>
              <w:tc>
                <w:tcPr/>
                <w:p>
                  <w:pPr>
                    <w:pStyle w:val="Compact"/>
                    <w:jc w:val="left"/>
                    <w:jc w:val="center"/>
                  </w:pPr>
                  <w:r>
                    <w:t xml:space="preserve">claude / qwen</w:t>
                  </w:r>
                </w:p>
              </w:tc>
              <w:tc>
                <w:tcPr/>
                <w:p>
                  <w:pPr>
                    <w:pStyle w:val="Compact"/>
                    <w:jc w:val="right"/>
                    <w:jc w:val="center"/>
                  </w:pPr>
                  <w:r>
                    <w:t xml:space="preserve">0.19</w:t>
                  </w:r>
                </w:p>
              </w:tc>
              <w:tc>
                <w:tcPr/>
                <w:p>
                  <w:pPr>
                    <w:pStyle w:val="Compact"/>
                    <w:jc w:val="right"/>
                    <w:jc w:val="center"/>
                  </w:pPr>
                  <w:r>
                    <w:t xml:space="preserve">0.54</w:t>
                  </w:r>
                </w:p>
              </w:tc>
            </w:tr>
            <w:tr>
              <w:tc>
                <w:tcPr/>
                <w:p>
                  <w:pPr>
                    <w:pStyle w:val="Compact"/>
                    <w:jc w:val="left"/>
                    <w:jc w:val="center"/>
                  </w:pPr>
                  <w:r>
                    <w:t xml:space="preserve">codex / qwen</w:t>
                  </w:r>
                </w:p>
              </w:tc>
              <w:tc>
                <w:tcPr/>
                <w:p>
                  <w:pPr>
                    <w:pStyle w:val="Compact"/>
                    <w:jc w:val="right"/>
                    <w:jc w:val="center"/>
                  </w:pPr>
                  <w:r>
                    <w:t xml:space="preserve">0.13</w:t>
                  </w:r>
                </w:p>
              </w:tc>
              <w:tc>
                <w:tcPr/>
                <w:p>
                  <w:pPr>
                    <w:pStyle w:val="Compact"/>
                    <w:jc w:val="right"/>
                    <w:jc w:val="center"/>
                  </w:pPr>
                  <w:r>
                    <w:t xml:space="preserve">0.34</w:t>
                  </w:r>
                </w:p>
              </w:tc>
            </w:tr>
          </w:tbl>
          <w:bookmarkEnd w:id="120"/>
          <w:p/>
        </w:tc>
      </w:tr>
    </w:tbl>
    <w:p>
      <w:pPr>
        <w:pStyle w:val="BodyText"/>
      </w:pPr>
      <w:r>
        <w:t xml:space="preserve">At CWE level the reviewers largely did not agree. Of the 387 program–CWE pairs,</w:t>
      </w:r>
      <w:r>
        <w:t xml:space="preserve"> </w:t>
      </w:r>
      <w:r>
        <w:rPr>
          <w:b/>
          <w:bCs/>
        </w:rPr>
        <w:t xml:space="preserve">64.3% were named by only one reviewer</w:t>
      </w:r>
      <w:r>
        <w:t xml:space="preserve">, 27.1% by two, 7.2% by three and 1.3% by all four (</w:t>
      </w:r>
      <w:hyperlink w:anchor="fig-agreement">
        <w:r>
          <w:rPr>
            <w:rStyle w:val="Hyperlink"/>
          </w:rPr>
          <w:t xml:space="preserve">Figure 20</w:t>
        </w:r>
      </w:hyperlink>
      <w:r>
        <w:t xml:space="preserve">,</w:t>
      </w:r>
      <w:r>
        <w:t xml:space="preserve"> </w:t>
      </w:r>
      <w:hyperlink w:anchor="tbl-agreement">
        <w:r>
          <w:rPr>
            <w:rStyle w:val="Hyperlink"/>
          </w:rPr>
          <w:t xml:space="preserve">Table 10</w:t>
        </w:r>
      </w:hyperlink>
      <w:r>
        <w:t xml:space="preserve">). Even among pairs at least one reviewer rated High or Critical, 41.9% were named by one reviewer only. The pairwise Jaccard overlap of CWE sets averages</w:t>
      </w:r>
      <w:r>
        <w:t xml:space="preserve"> </w:t>
      </w:r>
      <w:r>
        <w:rPr>
          <w:b/>
          <w:bCs/>
        </w:rPr>
        <w:t xml:space="preserve">0.15</w:t>
      </w:r>
      <w:r>
        <w:t xml:space="preserve">, from 0.10 (Antigravity and Qwen) to 0.22 (Claude and Codex), and 39 of the 144 reviewer pairs shared no CWE at all on the same program (</w:t>
      </w:r>
      <w:hyperlink w:anchor="tbl-jaccard">
        <w:r>
          <w:rPr>
            <w:rStyle w:val="Hyperlink"/>
          </w:rPr>
          <w:t xml:space="preserve">Table 11</w:t>
        </w:r>
      </w:hyperlink>
      <w:r>
        <w:t xml:space="preserve">). The most consistently named CWEs were weak password hashing (CWE-916, a mean of 2.10 of 4 reviewers where named) and attempt limiting (CWE-307, 2.05). The least consistent included lockout denial of service (CWE-645, 1.17) and insufficient logging (CWE-778, 1.64).</w:t>
      </w:r>
    </w:p>
    <w:p>
      <w:pPr>
        <w:pStyle w:val="BodyText"/>
      </w:pPr>
      <w:r>
        <w:t xml:space="preserve">At OWASP level agreement is much higher:</w:t>
      </w:r>
      <w:r>
        <w:t xml:space="preserve"> </w:t>
      </w:r>
      <w:r>
        <w:rPr>
          <w:b/>
          <w:bCs/>
        </w:rPr>
        <w:t xml:space="preserve">only 32.1% of program–category pairs were named by one reviewer</w:t>
      </w:r>
      <w:r>
        <w:t xml:space="preserve">, and 10.9% by all four. The mean Jaccard is 0.34, from 0.26 (Antigravity and Codex) to 0.54 (Claude and Qwen). Authentication Failures (A07) was the best-agreed category, named by 2.77 reviewers on average where it was named at all. The reviewers agree on</w:t>
      </w:r>
      <w:r>
        <w:t xml:space="preserve"> </w:t>
      </w:r>
      <w:r>
        <w:rPr>
          <w:b/>
          <w:bCs/>
        </w:rPr>
        <w:t xml:space="preserve">where</w:t>
      </w:r>
      <w:r>
        <w:t xml:space="preserve"> </w:t>
      </w:r>
      <w:r>
        <w:t xml:space="preserve">the problems are far more than on</w:t>
      </w:r>
      <w:r>
        <w:t xml:space="preserve"> </w:t>
      </w:r>
      <w:r>
        <w:rPr>
          <w:b/>
          <w:bCs/>
        </w:rPr>
        <w:t xml:space="preserve">which exact weakness</w:t>
      </w:r>
      <w:r>
        <w:t xml:space="preserve"> </w:t>
      </w:r>
      <w:r>
        <w:t xml:space="preserve">to call them.</w:t>
      </w:r>
    </w:p>
    <w:bookmarkEnd w:id="121"/>
    <w:bookmarkStart w:id="130" w:name="Xe4913cfa4dc07ec5d9094bca822464f61bd6313"/>
    <w:p>
      <w:pPr>
        <w:pStyle w:val="Heading3"/>
      </w:pPr>
      <w:r>
        <w:t xml:space="preserve">5.4 Each generator’s findings, by who reviewed it</w:t>
      </w:r>
    </w:p>
    <w:tbl>
      <w:tblPr>
        <w:tblStyle w:val="Table"/>
        <w:tblW w:type="pct" w:w="5000"/>
        <w:tblLayout w:type="fixed"/>
        <w:tblLook w:firstRow="0" w:lastRow="0" w:firstColumn="0" w:lastColumn="0" w:noHBand="0" w:noVBand="0" w:val="0000"/>
      </w:tblPr>
      <w:tblGrid>
        <w:gridCol w:w="7920"/>
      </w:tblGrid>
      <w:tr>
        <w:tc>
          <w:tcPr/>
          <w:bookmarkStart w:id="125" w:name="fig-cwe-pies-2"/>
          <w:p>
            <w:pPr>
              <w:pStyle w:val="Compact"/>
              <w:jc w:val="center"/>
            </w:pPr>
            <w:r>
              <w:drawing>
                <wp:inline>
                  <wp:extent cx="5334000" cy="9311841"/>
                  <wp:effectExtent b="0" l="0" r="0" t="0"/>
                  <wp:docPr descr="" title="" id="123" name="Picture"/>
                  <a:graphic>
                    <a:graphicData uri="http://schemas.openxmlformats.org/drawingml/2006/picture">
                      <pic:pic>
                        <pic:nvPicPr>
                          <pic:cNvPr descr="report_files/figure-docx/fig-cwe-pies-2-output-1.png" id="124" name="Picture"/>
                          <pic:cNvPicPr>
                            <a:picLocks noChangeArrowheads="1" noChangeAspect="1"/>
                          </pic:cNvPicPr>
                        </pic:nvPicPr>
                        <pic:blipFill>
                          <a:blip r:embed="rId122"/>
                          <a:stretch>
                            <a:fillRect/>
                          </a:stretch>
                        </pic:blipFill>
                        <pic:spPr bwMode="auto">
                          <a:xfrm>
                            <a:off x="0" y="0"/>
                            <a:ext cx="5334000" cy="9311841"/>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CWE make-up of findings by generator · Security-informed, self-review and external review</w:t>
            </w:r>
          </w:p>
          <w:bookmarkEnd w:id="125"/>
        </w:tc>
      </w:tr>
    </w:tbl>
    <w:tbl>
      <w:tblPr>
        <w:tblStyle w:val="Table"/>
        <w:tblW w:type="pct" w:w="5000"/>
        <w:tblLayout w:type="fixed"/>
        <w:tblLook w:firstRow="0" w:lastRow="0" w:firstColumn="0" w:lastColumn="0" w:noHBand="0" w:noVBand="0" w:val="0000"/>
      </w:tblPr>
      <w:tblGrid>
        <w:gridCol w:w="7920"/>
      </w:tblGrid>
      <w:tr>
        <w:tc>
          <w:tcPr/>
          <w:bookmarkStart w:id="129" w:name="fig-owasp-pies-2"/>
          <w:p>
            <w:pPr>
              <w:pStyle w:val="Compact"/>
              <w:jc w:val="center"/>
            </w:pPr>
            <w:r>
              <w:drawing>
                <wp:inline>
                  <wp:extent cx="5334000" cy="9259396"/>
                  <wp:effectExtent b="0" l="0" r="0" t="0"/>
                  <wp:docPr descr="" title="" id="127" name="Picture"/>
                  <a:graphic>
                    <a:graphicData uri="http://schemas.openxmlformats.org/drawingml/2006/picture">
                      <pic:pic>
                        <pic:nvPicPr>
                          <pic:cNvPr descr="report_files/figure-docx/fig-owasp-pies-2-output-1.png" id="128" name="Picture"/>
                          <pic:cNvPicPr>
                            <a:picLocks noChangeArrowheads="1" noChangeAspect="1"/>
                          </pic:cNvPicPr>
                        </pic:nvPicPr>
                        <pic:blipFill>
                          <a:blip r:embed="rId126"/>
                          <a:stretch>
                            <a:fillRect/>
                          </a:stretch>
                        </pic:blipFill>
                        <pic:spPr bwMode="auto">
                          <a:xfrm>
                            <a:off x="0" y="0"/>
                            <a:ext cx="5334000" cy="9259396"/>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OWASP category make-up of findings by generator · Security-informed, self-review and external review</w:t>
            </w:r>
          </w:p>
          <w:bookmarkEnd w:id="129"/>
        </w:tc>
      </w:tr>
    </w:tbl>
    <w:p>
      <w:pPr>
        <w:pStyle w:val="BodyText"/>
      </w:pPr>
      <w:hyperlink w:anchor="fig-cwe-pies-2">
        <w:r>
          <w:rPr>
            <w:rStyle w:val="Hyperlink"/>
          </w:rPr>
          <w:t xml:space="preserve">Figure 21</w:t>
        </w:r>
      </w:hyperlink>
      <w:r>
        <w:t xml:space="preserve"> </w:t>
      </w:r>
      <w:r>
        <w:t xml:space="preserve">and</w:t>
      </w:r>
      <w:r>
        <w:t xml:space="preserve"> </w:t>
      </w:r>
      <w:hyperlink w:anchor="fig-owasp-pies-2">
        <w:r>
          <w:rPr>
            <w:rStyle w:val="Hyperlink"/>
          </w:rPr>
          <w:t xml:space="preserve">Figure 22</w:t>
        </w:r>
      </w:hyperlink>
      <w:r>
        <w:t xml:space="preserve"> </w:t>
      </w:r>
      <w:r>
        <w:t xml:space="preserve">put each generator’s own audit of its Security-informed code beside what the other three reviewers reported on the same code. The self-review column is thin by construction: 12 findings for Codex, 39 for Qwen, 40 for Antigravity and 48 for Claude, against 73 to 182 in the external column.</w:t>
      </w:r>
    </w:p>
    <w:p>
      <w:pPr>
        <w:pStyle w:val="BodyText"/>
      </w:pPr>
      <w:r>
        <w:t xml:space="preserve">The two columns often disagree. Codex’s own audit named insufficient logging (CWE-778) once in 12 findings, while the external reviewers named it 8 times in 73 (11.0%); at OWASP level, Security Logging and Alerting Failures (A09) is 12.3% of the external findings on Codex’s code. Antigravity’s own audit led with resource consumption (CWE-400, 7 of 40), while its external reviewers led with unbounded allocation (CWE-770, 14 of 182), which its own audit never named. Across all four reviewers, Codex’s code was flagged for CWE-778 at 3.5 times the panel’s overall rate (8 of its 9 such findings came from the other three reviewers) and for CWE-307 at 2.1 times; Claude’s for check-then-act races (CWE-367, 1.5 times, named by all four reviewers across all six tasks); Qwen’s for weak password hashing (CWE-916, 1.8 times) and secrets kept in memory (CWE-316, 1.5 times).</w:t>
      </w:r>
    </w:p>
    <w:bookmarkEnd w:id="130"/>
    <w:bookmarkEnd w:id="131"/>
    <w:bookmarkStart w:id="140" w:name="task-walk-through"/>
    <w:p>
      <w:pPr>
        <w:pStyle w:val="Heading2"/>
      </w:pPr>
      <w:r>
        <w:t xml:space="preserve">6 Task walk-through</w:t>
      </w:r>
    </w:p>
    <w:p>
      <w:pPr>
        <w:pStyle w:val="FirstParagraph"/>
      </w:pPr>
      <w:r>
        <w:t xml:space="preserve">The six tasks are best read together rather than as six separate lists.</w:t>
      </w:r>
      <w:r>
        <w:t xml:space="preserve"> </w:t>
      </w:r>
      <w:hyperlink w:anchor="fig-cwe-task">
        <w:r>
          <w:rPr>
            <w:rStyle w:val="Hyperlink"/>
          </w:rPr>
          <w:t xml:space="preserve">Figure 23</w:t>
        </w:r>
      </w:hyperlink>
      <w:r>
        <w:t xml:space="preserve"> </w:t>
      </w:r>
      <w:r>
        <w:t xml:space="preserve">and</w:t>
      </w:r>
      <w:r>
        <w:t xml:space="preserve"> </w:t>
      </w:r>
      <w:hyperlink w:anchor="fig-owasp-task">
        <w:r>
          <w:rPr>
            <w:rStyle w:val="Hyperlink"/>
          </w:rPr>
          <w:t xml:space="preserve">Figure 24</w:t>
        </w:r>
      </w:hyperlink>
      <w:r>
        <w:t xml:space="preserve"> </w:t>
      </w:r>
      <w:r>
        <w:t xml:space="preserve">give findings per self-review for each category and task, all three conditions together (20 self-reviews per task).</w:t>
      </w:r>
    </w:p>
    <w:tbl>
      <w:tblPr>
        <w:tblStyle w:val="Table"/>
        <w:tblW w:type="pct" w:w="5000"/>
        <w:tblLayout w:type="fixed"/>
        <w:tblLook w:firstRow="0" w:lastRow="0" w:firstColumn="0" w:lastColumn="0" w:noHBand="0" w:noVBand="0" w:val="0000"/>
      </w:tblPr>
      <w:tblGrid>
        <w:gridCol w:w="7920"/>
      </w:tblGrid>
      <w:tr>
        <w:tc>
          <w:tcPr/>
          <w:bookmarkStart w:id="135" w:name="fig-cwe-task"/>
          <w:p>
            <w:pPr>
              <w:pStyle w:val="Compact"/>
              <w:jc w:val="center"/>
            </w:pPr>
            <w:r>
              <w:drawing>
                <wp:inline>
                  <wp:extent cx="5334000" cy="4408068"/>
                  <wp:effectExtent b="0" l="0" r="0" t="0"/>
                  <wp:docPr descr="" title="" id="133" name="Picture"/>
                  <a:graphic>
                    <a:graphicData uri="http://schemas.openxmlformats.org/drawingml/2006/picture">
                      <pic:pic>
                        <pic:nvPicPr>
                          <pic:cNvPr descr="report_files/figure-docx/fig-cwe-task-output-1.png" id="134" name="Picture"/>
                          <pic:cNvPicPr>
                            <a:picLocks noChangeArrowheads="1" noChangeAspect="1"/>
                          </pic:cNvPicPr>
                        </pic:nvPicPr>
                        <pic:blipFill>
                          <a:blip r:embed="rId132"/>
                          <a:stretch>
                            <a:fillRect/>
                          </a:stretch>
                        </pic:blipFill>
                        <pic:spPr bwMode="auto">
                          <a:xfrm>
                            <a:off x="0" y="0"/>
                            <a:ext cx="5334000" cy="4408068"/>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Findings per review by CWE and task · All three conditions, self-review</w:t>
            </w:r>
          </w:p>
          <w:bookmarkEnd w:id="135"/>
        </w:tc>
      </w:tr>
    </w:tbl>
    <w:tbl>
      <w:tblPr>
        <w:tblStyle w:val="Table"/>
        <w:tblW w:type="pct" w:w="5000"/>
        <w:tblLayout w:type="fixed"/>
        <w:tblLook w:firstRow="0" w:lastRow="0" w:firstColumn="0" w:lastColumn="0" w:noHBand="0" w:noVBand="0" w:val="0000"/>
      </w:tblPr>
      <w:tblGrid>
        <w:gridCol w:w="7920"/>
      </w:tblGrid>
      <w:tr>
        <w:tc>
          <w:tcPr/>
          <w:bookmarkStart w:id="139" w:name="fig-owasp-task"/>
          <w:p>
            <w:pPr>
              <w:pStyle w:val="Compact"/>
              <w:jc w:val="center"/>
            </w:pPr>
            <w:r>
              <w:drawing>
                <wp:inline>
                  <wp:extent cx="5334000" cy="3505200"/>
                  <wp:effectExtent b="0" l="0" r="0" t="0"/>
                  <wp:docPr descr="" title="" id="137" name="Picture"/>
                  <a:graphic>
                    <a:graphicData uri="http://schemas.openxmlformats.org/drawingml/2006/picture">
                      <pic:pic>
                        <pic:nvPicPr>
                          <pic:cNvPr descr="report_files/figure-docx/fig-owasp-task-output-1.png" id="138" name="Picture"/>
                          <pic:cNvPicPr>
                            <a:picLocks noChangeArrowheads="1" noChangeAspect="1"/>
                          </pic:cNvPicPr>
                        </pic:nvPicPr>
                        <pic:blipFill>
                          <a:blip r:embed="rId136"/>
                          <a:stretch>
                            <a:fillRect/>
                          </a:stretch>
                        </pic:blipFill>
                        <pic:spPr bwMode="auto">
                          <a:xfrm>
                            <a:off x="0" y="0"/>
                            <a:ext cx="5334000" cy="3505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Findings per review by OWASP category and task · All three conditions, self-review</w:t>
            </w:r>
          </w:p>
          <w:bookmarkEnd w:id="139"/>
        </w:tc>
      </w:tr>
    </w:tbl>
    <w:p>
      <w:pPr>
        <w:pStyle w:val="BodyText"/>
      </w:pPr>
      <w:r>
        <w:t xml:space="preserve">Counts below are self-review findings within the task, all three conditions together.</w:t>
      </w:r>
    </w:p>
    <w:p>
      <w:pPr>
        <w:pStyle w:val="BodyText"/>
      </w:pPr>
      <w:r>
        <w:rPr>
          <w:b/>
          <w:bCs/>
        </w:rPr>
        <w:t xml:space="preserve">Task 1 — Session cookies.</w:t>
      </w:r>
      <w:r>
        <w:t xml:space="preserve"> </w:t>
      </w:r>
      <w:r>
        <w:t xml:space="preserve">No review named CWE-1004. The task drew attempt limiting (CWE-307, 11), resource consumption (CWE-400, 10), cleartext transmission (CWE-319, 10), cross-site request forgery (CWE-352, 8) and session fixation (CWE-384, 6).</w:t>
      </w:r>
      <w:r>
        <w:t xml:space="preserve"> </w:t>
      </w:r>
      <w:r>
        <w:rPr>
          <w:b/>
          <w:bCs/>
        </w:rPr>
        <w:t xml:space="preserve">[EXAMPLE CODE/IMAGE: original prompt phrase → generated session-handling line → review evidence → team’s verified interpretation.]</w:t>
      </w:r>
    </w:p>
    <w:p>
      <w:pPr>
        <w:pStyle w:val="BodyText"/>
      </w:pPr>
      <w:r>
        <w:rPr>
          <w:b/>
          <w:bCs/>
        </w:rPr>
        <w:t xml:space="preserve">Task 2 — Cryptography.</w:t>
      </w:r>
      <w:r>
        <w:t xml:space="preserve"> </w:t>
      </w:r>
      <w:r>
        <w:t xml:space="preserve">CWE-321 was never named. The task drew file permissions (CWE-732, 9), secrets in process arguments (CWE-214, 9), error-message leaks (CWE-209, 8) and secrets in memory (CWE-316, 7). Distinguish secure use of AES/JCE from the key-management and file-creation code around it.</w:t>
      </w:r>
      <w:r>
        <w:t xml:space="preserve"> </w:t>
      </w:r>
      <w:r>
        <w:rPr>
          <w:b/>
          <w:bCs/>
        </w:rPr>
        <w:t xml:space="preserve">[EXAMPLE CODE/IMAGE: side-by-side secure key source and insecure helper path, source-checked.]</w:t>
      </w:r>
    </w:p>
    <w:p>
      <w:pPr>
        <w:pStyle w:val="BodyText"/>
      </w:pPr>
      <w:r>
        <w:rPr>
          <w:b/>
          <w:bCs/>
        </w:rPr>
        <w:t xml:space="preserve">Task 3 — JDBC query.</w:t>
      </w:r>
      <w:r>
        <w:t xml:space="preserve"> </w:t>
      </w:r>
      <w:r>
        <w:t xml:space="preserve">No review named CWE-89. The task drew attempt limiting and error-message leaks (CWE-307 and CWE-209, 6 each) and resource consumption (CWE-400, 5). A reviewer finding an unrelated issue does not imply a failure to parameterise SQL.</w:t>
      </w:r>
      <w:r>
        <w:t xml:space="preserve"> </w:t>
      </w:r>
      <w:r>
        <w:rPr>
          <w:b/>
          <w:bCs/>
        </w:rPr>
        <w:t xml:space="preserve">[EXAMPLE CODE/IMAGE: PreparedStatement and one verified adjacent weakness.]</w:t>
      </w:r>
    </w:p>
    <w:p>
      <w:pPr>
        <w:pStyle w:val="BodyText"/>
      </w:pPr>
      <w:r>
        <w:rPr>
          <w:b/>
          <w:bCs/>
        </w:rPr>
        <w:t xml:space="preserve">Task 4 — Registration.</w:t>
      </w:r>
      <w:r>
        <w:t xml:space="preserve"> </w:t>
      </w:r>
      <w:r>
        <w:t xml:space="preserve">No review named CWE-256. The task drew attempt limiting (CWE-307, 13), weak password requirements (CWE-521, 11), weak password hashing and resource consumption (CWE-916 and CWE-400, 8 each).</w:t>
      </w:r>
      <w:r>
        <w:t xml:space="preserve"> </w:t>
      </w:r>
      <w:r>
        <w:rPr>
          <w:b/>
          <w:bCs/>
        </w:rPr>
        <w:t xml:space="preserve">[EXAMPLE CODE/IMAGE: password lifecycle and verified risk.]</w:t>
      </w:r>
    </w:p>
    <w:p>
      <w:pPr>
        <w:pStyle w:val="BodyText"/>
      </w:pPr>
      <w:r>
        <w:rPr>
          <w:b/>
          <w:bCs/>
        </w:rPr>
        <w:t xml:space="preserve">Task 5 — Login throttling.</w:t>
      </w:r>
      <w:r>
        <w:t xml:space="preserve"> </w:t>
      </w:r>
      <w:r>
        <w:t xml:space="preserve">The anchor CWE-307 was named 13 times. The task also drew weak password requirements and hard-coded credentials (CWE-521 and CWE-798, 10 each), response discrepancy and weak hashing (CWE-204 and CWE-916, 9 each). Separate the existence of an attempt counter from whether its state is safe under concurrency.</w:t>
      </w:r>
      <w:r>
        <w:t xml:space="preserve"> </w:t>
      </w:r>
      <w:r>
        <w:rPr>
          <w:b/>
          <w:bCs/>
        </w:rPr>
        <w:t xml:space="preserve">[EXAMPLE CODE/IMAGE: state transition or lockout bypass illustration.]</w:t>
      </w:r>
    </w:p>
    <w:p>
      <w:pPr>
        <w:pStyle w:val="BodyText"/>
      </w:pPr>
      <w:r>
        <w:rPr>
          <w:b/>
          <w:bCs/>
        </w:rPr>
        <w:t xml:space="preserve">Task 6 — Security logging.</w:t>
      </w:r>
      <w:r>
        <w:t xml:space="preserve"> </w:t>
      </w:r>
      <w:r>
        <w:t xml:space="preserve">The anchor CWE-778 was named 4 times, while attempt limiting (CWE-307) was named 14 times, file permissions (CWE-732) 12 and secrets in memory (CWE-316) 10. Logging more events can improve visibility while creating a new sensitive-data surface.</w:t>
      </w:r>
      <w:r>
        <w:t xml:space="preserve"> </w:t>
      </w:r>
      <w:r>
        <w:rPr>
          <w:b/>
          <w:bCs/>
        </w:rPr>
        <w:t xml:space="preserve">[EXAMPLE CODE/IMAGE: logged fields with a privacy-safe redaction overlay.]</w:t>
      </w:r>
    </w:p>
    <w:p>
      <w:pPr>
        <w:pStyle w:val="BodyText"/>
      </w:pPr>
      <w:r>
        <w:t xml:space="preserve">Attempt limiting (CWE-307) is the most-named or joint most-named CWE in five of the six tasks, not only in Task 5: reviewers reach for it on any task with a login path. Each worked example should state its generation and review identifiers and whether the point is</w:t>
      </w:r>
      <w:r>
        <w:t xml:space="preserve"> </w:t>
      </w:r>
      <w:r>
        <w:rPr>
          <w:i/>
          <w:iCs/>
        </w:rPr>
        <w:t xml:space="preserve">reviewer reported</w:t>
      </w:r>
      <w:r>
        <w:t xml:space="preserve">,</w:t>
      </w:r>
      <w:r>
        <w:t xml:space="preserve"> </w:t>
      </w:r>
      <w:r>
        <w:rPr>
          <w:i/>
          <w:iCs/>
        </w:rPr>
        <w:t xml:space="preserve">human checked</w:t>
      </w:r>
      <w:r>
        <w:t xml:space="preserve"> </w:t>
      </w:r>
      <w:r>
        <w:t xml:space="preserve">or</w:t>
      </w:r>
      <w:r>
        <w:t xml:space="preserve"> </w:t>
      </w:r>
      <w:r>
        <w:rPr>
          <w:i/>
          <w:iCs/>
        </w:rPr>
        <w:t xml:space="preserve">reproduced with a test</w:t>
      </w:r>
      <w:r>
        <w:t xml:space="preserve">.</w:t>
      </w:r>
    </w:p>
    <w:bookmarkEnd w:id="140"/>
    <w:bookmarkStart w:id="141" w:name="discussion"/>
    <w:p>
      <w:pPr>
        <w:pStyle w:val="Heading2"/>
      </w:pPr>
      <w:r>
        <w:t xml:space="preserve">7 Discussion</w:t>
      </w:r>
    </w:p>
    <w:p>
      <w:pPr>
        <w:pStyle w:val="FirstParagraph"/>
      </w:pPr>
      <w:r>
        <w:rPr>
          <w:b/>
          <w:bCs/>
        </w:rPr>
        <w:t xml:space="preserve">RQ1 — Prompt strategy.</w:t>
      </w:r>
      <w:r>
        <w:t xml:space="preserve"> </w:t>
      </w:r>
      <w:r>
        <w:t xml:space="preserve">A short security hint did not change how many findings reviewers reported (</w:t>
      </w:r>
      <w:hyperlink w:anchor="sec-stage-1">
        <w:r>
          <w:rPr>
            <w:rStyle w:val="Hyperlink"/>
          </w:rPr>
          <w:t xml:space="preserve">Section 3</w:t>
        </w:r>
      </w:hyperlink>
      <w:r>
        <w:t xml:space="preserve">). The eight-rule prompt changed</w:t>
      </w:r>
      <w:r>
        <w:t xml:space="preserve"> </w:t>
      </w:r>
      <w:r>
        <w:rPr>
          <w:i/>
          <w:iCs/>
        </w:rPr>
        <w:t xml:space="preserve">which</w:t>
      </w:r>
      <w:r>
        <w:t xml:space="preserve"> </w:t>
      </w:r>
      <w:r>
        <w:t xml:space="preserve">findings they reported more than</w:t>
      </w:r>
      <w:r>
        <w:t xml:space="preserve"> </w:t>
      </w:r>
      <w:r>
        <w:rPr>
          <w:i/>
          <w:iCs/>
        </w:rPr>
        <w:t xml:space="preserve">how many</w:t>
      </w:r>
      <w:r>
        <w:t xml:space="preserve"> </w:t>
      </w:r>
      <w:r>
        <w:t xml:space="preserve">(</w:t>
      </w:r>
      <w:hyperlink w:anchor="sec-three-conditions">
        <w:r>
          <w:rPr>
            <w:rStyle w:val="Hyperlink"/>
          </w:rPr>
          <w:t xml:space="preserve">Section 4</w:t>
        </w:r>
      </w:hyperlink>
      <w:r>
        <w:t xml:space="preserve">). The rules that forbid a concrete artefact (working credentials in code, revealing error messages, missing attempt limits) were followed, and findings in those areas fell sharply. The rules that ask for a design property, such as atomic check-then-act, bounded resources and validated trust boundaries, were not reflected in fewer findings, and some of those areas rose. The rise in findings outside every rule, led by insufficient logging, suggests two things: a reviewer with fewer obvious problems to report finds less obvious ones, and the rule set has a gap where logging adequacy should be. Because the Security-informed prompt was written after Stage 1, by one author, and run later, these changes cannot be attributed to the prompt wording alone.</w:t>
      </w:r>
    </w:p>
    <w:p>
      <w:pPr>
        <w:pStyle w:val="BodyText"/>
      </w:pPr>
      <w:r>
        <w:rPr>
          <w:b/>
          <w:bCs/>
        </w:rPr>
        <w:t xml:space="preserve">RQ2 — Coding assistant.</w:t>
      </w:r>
      <w:r>
        <w:t xml:space="preserve"> </w:t>
      </w:r>
      <w:r>
        <w:t xml:space="preserve">With the reviewer held fixed, every reviewer gave Codex’s code the fewest findings and Antigravity’s the most, but the middle of the ranking depended on the reviewer. The answer is a partial ordering of tool configurations, not a total ranking, and not a certification of any model’s security. The tools differ in how they plan, write, test and scaffold code, and the local Qwen deployment additionally differs in hardware and quantisation.</w:t>
      </w:r>
    </w:p>
    <w:p>
      <w:pPr>
        <w:pStyle w:val="BodyText"/>
      </w:pPr>
      <w:r>
        <w:rPr>
          <w:b/>
          <w:bCs/>
        </w:rPr>
        <w:t xml:space="preserve">RQ3 — Security reviewer.</w:t>
      </w:r>
      <w:r>
        <w:t xml:space="preserve"> </w:t>
      </w:r>
      <w:r>
        <w:t xml:space="preserve">The four reviewers are part of the measurement, not an oracle. On identical code their volume ranged from 4.83 to 7.83 findings per review and their High/Critical share from 8.0% to 29.3%, and two thirds of the CWEs they named were named by one reviewer only. They agreed much more on the OWASP category than on the CWE, which means the disagreement is often about how to label a problem rather than whether one exists. Comparing generators or prompts with a single reviewer would mix the outcome with the instrument.</w:t>
      </w:r>
    </w:p>
    <w:p>
      <w:pPr>
        <w:pStyle w:val="BodyText"/>
      </w:pPr>
      <w:r>
        <w:rPr>
          <w:b/>
          <w:bCs/>
        </w:rPr>
        <w:t xml:space="preserve">Practical implications.</w:t>
      </w:r>
      <w:r>
        <w:t xml:space="preserve"> </w:t>
      </w:r>
      <w:r>
        <w:t xml:space="preserve">Security prompts are worth writing as concrete prohibitions, and worth version-controlling, but they do not replace tests, independent review and human adjudication of consequential findings. Reports that use only the OWASP list will miss about a third of what reviewers raise. Severity from an LLM reviewer should be used only with calibration across reviewers.</w:t>
      </w:r>
    </w:p>
    <w:bookmarkEnd w:id="141"/>
    <w:bookmarkStart w:id="142" w:name="threats-to-validity"/>
    <w:p>
      <w:pPr>
        <w:pStyle w:val="Heading2"/>
      </w:pPr>
      <w:r>
        <w:t xml:space="preserve">8 Threats to validity</w:t>
      </w:r>
    </w:p>
    <w:p>
      <w:pPr>
        <w:pStyle w:val="FirstParagraph"/>
      </w:pPr>
      <w:r>
        <w:rPr>
          <w:b/>
          <w:bCs/>
        </w:rPr>
        <w:t xml:space="preserve">Construct validity.</w:t>
      </w:r>
      <w:r>
        <w:t xml:space="preserve"> </w:t>
      </w:r>
      <w:r>
        <w:t xml:space="preserve">A reported finding is not necessarily an exploitable vulnerability, and distinct findings can describe the same mistake. CWE labels and the derived OWASP categories depend on reviewer interpretation, and the rule mapping depends on the team’s judgement. An anchor CWE that was not reported has not been shown absent. Compilation and functional correctness are not recorded in the findings data.</w:t>
      </w:r>
    </w:p>
    <w:p>
      <w:pPr>
        <w:pStyle w:val="BodyText"/>
      </w:pPr>
      <w:r>
        <w:rPr>
          <w:b/>
          <w:bCs/>
        </w:rPr>
        <w:t xml:space="preserve">Internal validity.</w:t>
      </w:r>
      <w:r>
        <w:t xml:space="preserve"> </w:t>
      </w:r>
      <w:r>
        <w:t xml:space="preserve">Stage 1 uses only self-reviews, so generation and review temperament are confounded. The Security-informed prompt was written after Stage 1, by one author, and run later, so prompt, author and time vary together. Each cell is a single generation, so run-to-run variation in LLM output is not measured. Provider effort settings and command-line scaffolding are not guaranteed equivalent, and Qwen’s review effort setting changed between stages.</w:t>
      </w:r>
    </w:p>
    <w:p>
      <w:pPr>
        <w:pStyle w:val="BodyText"/>
      </w:pPr>
      <w:r>
        <w:rPr>
          <w:b/>
          <w:bCs/>
        </w:rPr>
        <w:t xml:space="preserve">Data validity.</w:t>
      </w:r>
      <w:r>
        <w:t xml:space="preserve"> </w:t>
      </w:r>
      <w:r>
        <w:t xml:space="preserve">Every planned program and review is present, seven clean reviews are confirmed from the review text, and the findings data are reconciled against the source review files. Eight findings with non-standard severities are kept but not counted as High/Critical.</w:t>
      </w:r>
    </w:p>
    <w:p>
      <w:pPr>
        <w:pStyle w:val="BodyText"/>
      </w:pPr>
      <w:r>
        <w:rPr>
          <w:b/>
          <w:bCs/>
        </w:rPr>
        <w:t xml:space="preserve">External validity.</w:t>
      </w:r>
      <w:r>
        <w:t xml:space="preserve"> </w:t>
      </w:r>
      <w:r>
        <w:t xml:space="preserve">Only six Java tasks, particular prompts, model versions, tools and settings were examined. The results are not evidence about all Java code, other languages, other model versions or other deployment environments.</w:t>
      </w:r>
    </w:p>
    <w:p>
      <w:pPr>
        <w:pStyle w:val="BodyText"/>
      </w:pPr>
      <w:r>
        <w:rPr>
          <w:b/>
          <w:bCs/>
        </w:rPr>
        <w:t xml:space="preserve">Reproducibility.</w:t>
      </w:r>
      <w:r>
        <w:t xml:space="preserve"> </w:t>
      </w:r>
      <w:r>
        <w:t xml:space="preserve">Every table and figure is computed from</w:t>
      </w:r>
      <w:r>
        <w:t xml:space="preserve"> </w:t>
      </w:r>
      <w:r>
        <w:rPr>
          <w:rStyle w:val="VerbatimChar"/>
        </w:rPr>
        <w:t xml:space="preserve">findings.csv</w:t>
      </w:r>
      <w:r>
        <w:t xml:space="preserve"> </w:t>
      </w:r>
      <w:r>
        <w:t xml:space="preserve">when the report is rendered, and the companion notebook checks that file against the workbooks and recomputes every number quoted in the text.</w:t>
      </w:r>
    </w:p>
    <w:bookmarkEnd w:id="142"/>
    <w:bookmarkStart w:id="143" w:name="conclusions"/>
    <w:p>
      <w:pPr>
        <w:pStyle w:val="Heading2"/>
      </w:pPr>
      <w:r>
        <w:t xml:space="preserve">9 Conclusions</w:t>
      </w:r>
    </w:p>
    <w:p>
      <w:pPr>
        <w:pStyle w:val="FirstParagraph"/>
      </w:pPr>
      <w:r>
        <w:t xml:space="preserve">The study set out to move beyond showing that LLM-generated code can be insecure. A short security hint did not change reported findings. A prompt of eight concrete rules, written from what the first stage revealed, cut the weaknesses it named most directly while leaving design-level weaknesses in place and shifting reviewer attention to areas the rules did not cover. Every reviewer ranked Codex’s code lowest and Antigravity’s highest, but the reviewers agreed on the exact weakness only a third of the time. The defensible message is methodological as well as substantive: secure code generation needs concrete requirements, repeatable tests and an independently scrutinised measurement process, not confidence in one prompt or one reviewer.</w:t>
      </w:r>
    </w:p>
    <w:bookmarkEnd w:id="143"/>
    <w:bookmarkStart w:id="144" w:name="references"/>
    <w:p>
      <w:pPr>
        <w:pStyle w:val="Heading2"/>
      </w:pPr>
      <w:r>
        <w:t xml:space="preserve">10 References</w:t>
      </w:r>
    </w:p>
    <w:p>
      <w:pPr>
        <w:pStyle w:val="FirstParagraph"/>
      </w:pPr>
      <w:r>
        <w:t xml:space="preserve">Mousavi, Z., Islam, C., Moore, K., Abuadbba, A., &amp; Babar, M. A. (2024).</w:t>
      </w:r>
      <w:r>
        <w:t xml:space="preserve"> </w:t>
      </w:r>
      <w:r>
        <w:rPr>
          <w:i/>
          <w:iCs/>
        </w:rPr>
        <w:t xml:space="preserve">An investigation into misuse of Java security APIs by large language models</w:t>
      </w:r>
      <w:r>
        <w:t xml:space="preserve">. Proceedings of ACM ASIA CCS. https://doi.org/10.1145/3634737.3661134</w:t>
      </w:r>
    </w:p>
    <w:p>
      <w:pPr>
        <w:pStyle w:val="BodyText"/>
      </w:pPr>
      <w:r>
        <w:t xml:space="preserve">Mousavi, Z., Islam, C., Babar, M. A., Abuadbba, A., &amp; Moore, K. (2026).</w:t>
      </w:r>
      <w:r>
        <w:t xml:space="preserve"> </w:t>
      </w:r>
      <w:r>
        <w:rPr>
          <w:i/>
          <w:iCs/>
        </w:rPr>
        <w:t xml:space="preserve">Understanding the impact of AI code assistants on security API usage: An empirical study</w:t>
      </w:r>
      <w:r>
        <w:t xml:space="preserve">. arXiv. https://doi.org/10.48550/arXiv.2607.11348</w:t>
      </w:r>
    </w:p>
    <w:p>
      <w:pPr>
        <w:pStyle w:val="BodyText"/>
      </w:pPr>
      <w:r>
        <w:t xml:space="preserve">Perry, N., Srivastava, M., Kumar, D., &amp; Boneh, D. (2023).</w:t>
      </w:r>
      <w:r>
        <w:t xml:space="preserve"> </w:t>
      </w:r>
      <w:r>
        <w:rPr>
          <w:i/>
          <w:iCs/>
        </w:rPr>
        <w:t xml:space="preserve">Do users write more insecure code with AI assistants?</w:t>
      </w:r>
      <w:r>
        <w:t xml:space="preserve"> </w:t>
      </w:r>
      <w:r>
        <w:t xml:space="preserve">Proceedings of ACM CCS. https://doi.org/10.1145/3576915.3623157</w:t>
      </w:r>
    </w:p>
    <w:p>
      <w:pPr>
        <w:pStyle w:val="BodyText"/>
      </w:pPr>
      <w:r>
        <w:t xml:space="preserve">OWASP Foundation. (2025).</w:t>
      </w:r>
      <w:r>
        <w:t xml:space="preserve"> </w:t>
      </w:r>
      <w:r>
        <w:rPr>
          <w:i/>
          <w:iCs/>
        </w:rPr>
        <w:t xml:space="preserve">OWASP Top 10:2025</w:t>
      </w:r>
      <w:r>
        <w:t xml:space="preserve">. https://owasp.org/Top10/2025/</w:t>
      </w:r>
    </w:p>
    <w:p>
      <w:pPr>
        <w:pStyle w:val="BodyText"/>
      </w:pPr>
      <w:r>
        <w:t xml:space="preserve">The MITRE Corporation. (n.d.).</w:t>
      </w:r>
      <w:r>
        <w:t xml:space="preserve"> </w:t>
      </w:r>
      <w:r>
        <w:rPr>
          <w:i/>
          <w:iCs/>
        </w:rPr>
        <w:t xml:space="preserve">Common Weakness Enumeration</w:t>
      </w:r>
      <w:r>
        <w:t xml:space="preserve">. https://cwe.mitre.org/</w:t>
      </w:r>
    </w:p>
    <w:p>
      <w:pPr>
        <w:pStyle w:val="BodyText"/>
      </w:pPr>
      <w:r>
        <w:t xml:space="preserve">CSI6224 project team. (2026).</w:t>
      </w:r>
      <w:r>
        <w:t xml:space="preserve"> </w:t>
      </w:r>
      <w:r>
        <w:rPr>
          <w:i/>
          <w:iCs/>
        </w:rPr>
        <w:t xml:space="preserve">Project proposal</w:t>
      </w:r>
      <w:r>
        <w:t xml:space="preserve">,</w:t>
      </w:r>
      <w:r>
        <w:t xml:space="preserve"> </w:t>
      </w:r>
      <w:r>
        <w:rPr>
          <w:i/>
          <w:iCs/>
        </w:rPr>
        <w:t xml:space="preserve">Pilot Study</w:t>
      </w:r>
      <w:r>
        <w:t xml:space="preserve">,</w:t>
      </w:r>
      <w:r>
        <w:t xml:space="preserve"> </w:t>
      </w:r>
      <w:r>
        <w:rPr>
          <w:i/>
          <w:iCs/>
        </w:rPr>
        <w:t xml:space="preserve">Decision and Variance Log</w:t>
      </w:r>
      <w:r>
        <w:t xml:space="preserve">,</w:t>
      </w:r>
      <w:r>
        <w:t xml:space="preserve"> </w:t>
      </w:r>
      <w:r>
        <w:rPr>
          <w:i/>
          <w:iCs/>
        </w:rPr>
        <w:t xml:space="preserve">Presentation Workload and Content Plan</w:t>
      </w:r>
      <w:r>
        <w:t xml:space="preserve"> </w:t>
      </w:r>
      <w:r>
        <w:t xml:space="preserve">and</w:t>
      </w:r>
      <w:r>
        <w:t xml:space="preserve"> </w:t>
      </w:r>
      <w:r>
        <w:rPr>
          <w:i/>
          <w:iCs/>
        </w:rPr>
        <w:t xml:space="preserve">Security Review Findings: Benchmark Summary</w:t>
      </w:r>
      <w:r>
        <w:t xml:space="preserve"> </w:t>
      </w:r>
      <w:r>
        <w:t xml:space="preserve">(internal project artefacts).</w:t>
      </w:r>
    </w:p>
    <w:bookmarkEnd w:id="144"/>
    <w:bookmarkStart w:id="146" w:name="appendix-a-definitions-and-data-checks"/>
    <w:p>
      <w:pPr>
        <w:pStyle w:val="Heading2"/>
      </w:pPr>
      <w:r>
        <w:t xml:space="preserve">Appendix A — Definitions and data checks</w:t>
      </w:r>
    </w:p>
    <w:p>
      <w:pPr>
        <w:pStyle w:val="FirstParagraph"/>
      </w:pPr>
      <w:r>
        <w:rPr>
          <w:b/>
          <w:bCs/>
        </w:rPr>
        <w:t xml:space="preserve">Findings per review</w:t>
      </w:r>
      <w:r>
        <w:t xml:space="preserve"> </w:t>
      </w:r>
      <w:r>
        <w:t xml:space="preserve">is the number of finding rows divided by the number of reviews in the group, with clean reviews counted as zero.</w:t>
      </w:r>
      <w:r>
        <w:t xml:space="preserve"> </w:t>
      </w:r>
      <w:r>
        <w:rPr>
          <w:b/>
          <w:bCs/>
        </w:rPr>
        <w:t xml:space="preserve">High/Critical share</w:t>
      </w:r>
      <w:r>
        <w:t xml:space="preserve"> </w:t>
      </w:r>
      <w:r>
        <w:t xml:space="preserve">is the number of findings rated High or Critical divided by all findings in the group.</w:t>
      </w:r>
      <w:r>
        <w:t xml:space="preserve"> </w:t>
      </w:r>
      <w:r>
        <w:rPr>
          <w:b/>
          <w:bCs/>
        </w:rPr>
        <w:t xml:space="preserve">Anchor reporting rate</w:t>
      </w:r>
      <w:r>
        <w:t xml:space="preserve"> </w:t>
      </w:r>
      <w:r>
        <w:t xml:space="preserve">is the share of reviews of a task that name its anchor CWE.</w:t>
      </w:r>
      <w:r>
        <w:t xml:space="preserve"> </w:t>
      </w:r>
      <w:r>
        <w:rPr>
          <w:b/>
          <w:bCs/>
        </w:rPr>
        <w:t xml:space="preserve">Change from the Stage 1 average</w:t>
      </w:r>
      <w:r>
        <w:t xml:space="preserve"> </w:t>
      </w:r>
      <w:r>
        <w:t xml:space="preserve">compares the Security-informed rate with the mean of the Basic and Security-aware rates. The</w:t>
      </w:r>
      <w:r>
        <w:t xml:space="preserve"> </w:t>
      </w:r>
      <w:r>
        <w:rPr>
          <w:b/>
          <w:bCs/>
        </w:rPr>
        <w:t xml:space="preserve">paired bootstrap</w:t>
      </w:r>
      <w:r>
        <w:t xml:space="preserve"> </w:t>
      </w:r>
      <w:r>
        <w:t xml:space="preserve">resamples the 48 Stage 1 pairs with replacement 10,000 times (seed 6224) and takes the 2.5th and 97.5th percentiles of the mean difference.</w:t>
      </w:r>
      <w:r>
        <w:t xml:space="preserve"> </w:t>
      </w:r>
      <w:r>
        <w:rPr>
          <w:b/>
          <w:bCs/>
        </w:rPr>
        <w:t xml:space="preserve">Jaccard overlap</w:t>
      </w:r>
      <w:r>
        <w:t xml:space="preserve"> </w:t>
      </w:r>
      <w:r>
        <w:t xml:space="preserve">is the number of labels two reviewers both named on a program divided by the number either named; when neither named any it is undefined and left out of the mean.</w:t>
      </w:r>
    </w:p>
    <w:tbl>
      <w:tblPr>
        <w:tblStyle w:val="Table"/>
        <w:tblW w:type="pct" w:w="5000"/>
        <w:tblLayout w:type="fixed"/>
        <w:tblLook w:firstRow="0" w:lastRow="0" w:firstColumn="0" w:lastColumn="0" w:noHBand="0" w:noVBand="0" w:val="0000"/>
      </w:tblPr>
      <w:tblGrid>
        <w:gridCol w:w="7920"/>
      </w:tblGrid>
      <w:tr>
        <w:tc>
          <w:tcPr/>
          <w:bookmarkStart w:id="145" w:name="tbl-checks"/>
          <w:p>
            <w:pPr>
              <w:jc w:val="center"/>
            </w:pPr>
            <w:pPr>
              <w:jc w:val="left"/>
              <w:spacing w:before="200"/>
              <w:pStyle w:val="ImageCaption"/>
            </w:pPr>
            <w:r>
              <w:t xml:space="preserve">Table 12: Data checks · All reviews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check</w:t>
                  </w:r>
                </w:p>
              </w:tc>
              <w:tc>
                <w:tcPr/>
                <w:p>
                  <w:pPr>
                    <w:pStyle w:val="Compact"/>
                    <w:jc w:val="right"/>
                    <w:jc w:val="center"/>
                  </w:pPr>
                  <w:r>
                    <w:t xml:space="preserve">value</w:t>
                  </w:r>
                </w:p>
              </w:tc>
            </w:tr>
            <w:tr>
              <w:tc>
                <w:tcPr/>
                <w:p>
                  <w:pPr>
                    <w:pStyle w:val="Compact"/>
                    <w:jc w:val="left"/>
                    <w:jc w:val="center"/>
                  </w:pPr>
                  <w:r>
                    <w:t xml:space="preserve">CSV rows</w:t>
                  </w:r>
                </w:p>
              </w:tc>
              <w:tc>
                <w:tcPr/>
                <w:p>
                  <w:pPr>
                    <w:pStyle w:val="Compact"/>
                    <w:jc w:val="right"/>
                    <w:jc w:val="center"/>
                  </w:pPr>
                  <w:r>
                    <w:t xml:space="preserve">1224</w:t>
                  </w:r>
                </w:p>
              </w:tc>
            </w:tr>
            <w:tr>
              <w:tc>
                <w:tcPr/>
                <w:p>
                  <w:pPr>
                    <w:pStyle w:val="Compact"/>
                    <w:jc w:val="left"/>
                    <w:jc w:val="center"/>
                  </w:pPr>
                  <w:r>
                    <w:t xml:space="preserve">Recorded findings</w:t>
                  </w:r>
                </w:p>
              </w:tc>
              <w:tc>
                <w:tcPr/>
                <w:p>
                  <w:pPr>
                    <w:pStyle w:val="Compact"/>
                    <w:jc w:val="right"/>
                    <w:jc w:val="center"/>
                  </w:pPr>
                  <w:r>
                    <w:t xml:space="preserve">1217</w:t>
                  </w:r>
                </w:p>
              </w:tc>
            </w:tr>
            <w:tr>
              <w:tc>
                <w:tcPr/>
                <w:p>
                  <w:pPr>
                    <w:pStyle w:val="Compact"/>
                    <w:jc w:val="left"/>
                    <w:jc w:val="center"/>
                  </w:pPr>
                  <w:r>
                    <w:t xml:space="preserve">Reviews</w:t>
                  </w:r>
                </w:p>
              </w:tc>
              <w:tc>
                <w:tcPr/>
                <w:p>
                  <w:pPr>
                    <w:pStyle w:val="Compact"/>
                    <w:jc w:val="right"/>
                    <w:jc w:val="center"/>
                  </w:pPr>
                  <w:r>
                    <w:t xml:space="preserve">192</w:t>
                  </w:r>
                </w:p>
              </w:tc>
            </w:tr>
            <w:tr>
              <w:tc>
                <w:tcPr/>
                <w:p>
                  <w:pPr>
                    <w:pStyle w:val="Compact"/>
                    <w:jc w:val="left"/>
                    <w:jc w:val="center"/>
                  </w:pPr>
                  <w:r>
                    <w:t xml:space="preserve">Reviews with no findings</w:t>
                  </w:r>
                </w:p>
              </w:tc>
              <w:tc>
                <w:tcPr/>
                <w:p>
                  <w:pPr>
                    <w:pStyle w:val="Compact"/>
                    <w:jc w:val="right"/>
                    <w:jc w:val="center"/>
                  </w:pPr>
                  <w:r>
                    <w:t xml:space="preserve">7</w:t>
                  </w:r>
                </w:p>
              </w:tc>
            </w:tr>
            <w:tr>
              <w:tc>
                <w:tcPr/>
                <w:p>
                  <w:pPr>
                    <w:pStyle w:val="Compact"/>
                    <w:jc w:val="left"/>
                    <w:jc w:val="center"/>
                  </w:pPr>
                  <w:r>
                    <w:t xml:space="preserve">Generated programs</w:t>
                  </w:r>
                </w:p>
              </w:tc>
              <w:tc>
                <w:tcPr/>
                <w:p>
                  <w:pPr>
                    <w:pStyle w:val="Compact"/>
                    <w:jc w:val="right"/>
                    <w:jc w:val="center"/>
                  </w:pPr>
                  <w:r>
                    <w:t xml:space="preserve">120</w:t>
                  </w:r>
                </w:p>
              </w:tc>
            </w:tr>
            <w:tr>
              <w:tc>
                <w:tcPr/>
                <w:p>
                  <w:pPr>
                    <w:pStyle w:val="Compact"/>
                    <w:jc w:val="left"/>
                    <w:jc w:val="center"/>
                  </w:pPr>
                  <w:r>
                    <w:t xml:space="preserve">Rows missing reviewer or generator</w:t>
                  </w:r>
                </w:p>
              </w:tc>
              <w:tc>
                <w:tcPr/>
                <w:p>
                  <w:pPr>
                    <w:pStyle w:val="Compact"/>
                    <w:jc w:val="right"/>
                    <w:jc w:val="center"/>
                  </w:pPr>
                  <w:r>
                    <w:t xml:space="preserve">0</w:t>
                  </w:r>
                </w:p>
              </w:tc>
            </w:tr>
            <w:tr>
              <w:tc>
                <w:tcPr/>
                <w:p>
                  <w:pPr>
                    <w:pStyle w:val="Compact"/>
                    <w:jc w:val="left"/>
                    <w:jc w:val="center"/>
                  </w:pPr>
                  <w:r>
                    <w:t xml:space="preserve">Stage 2 programs with all 4 reviewers</w:t>
                  </w:r>
                </w:p>
              </w:tc>
              <w:tc>
                <w:tcPr/>
                <w:p>
                  <w:pPr>
                    <w:pStyle w:val="Compact"/>
                    <w:jc w:val="right"/>
                    <w:jc w:val="center"/>
                  </w:pPr>
                  <w:r>
                    <w:t xml:space="preserve">24</w:t>
                  </w:r>
                </w:p>
              </w:tc>
            </w:tr>
            <w:tr>
              <w:tc>
                <w:tcPr/>
                <w:p>
                  <w:pPr>
                    <w:pStyle w:val="Compact"/>
                    <w:jc w:val="left"/>
                    <w:jc w:val="center"/>
                  </w:pPr>
                  <w:r>
                    <w:t xml:space="preserve">Duplicate CSV rows</w:t>
                  </w:r>
                </w:p>
              </w:tc>
              <w:tc>
                <w:tcPr/>
                <w:p>
                  <w:pPr>
                    <w:pStyle w:val="Compact"/>
                    <w:jc w:val="right"/>
                    <w:jc w:val="center"/>
                  </w:pPr>
                  <w:r>
                    <w:t xml:space="preserve">0</w:t>
                  </w:r>
                </w:p>
              </w:tc>
            </w:tr>
            <w:tr>
              <w:tc>
                <w:tcPr/>
                <w:p>
                  <w:pPr>
                    <w:pStyle w:val="Compact"/>
                    <w:jc w:val="left"/>
                    <w:jc w:val="center"/>
                  </w:pPr>
                  <w:r>
                    <w:t xml:space="preserve">Findings with no CWE</w:t>
                  </w:r>
                </w:p>
              </w:tc>
              <w:tc>
                <w:tcPr/>
                <w:p>
                  <w:pPr>
                    <w:pStyle w:val="Compact"/>
                    <w:jc w:val="right"/>
                    <w:jc w:val="center"/>
                  </w:pPr>
                  <w:r>
                    <w:t xml:space="preserve">0</w:t>
                  </w:r>
                </w:p>
              </w:tc>
            </w:tr>
            <w:tr>
              <w:tc>
                <w:tcPr/>
                <w:p>
                  <w:pPr>
                    <w:pStyle w:val="Compact"/>
                    <w:jc w:val="left"/>
                    <w:jc w:val="center"/>
                  </w:pPr>
                  <w:r>
                    <w:t xml:space="preserve">Findings with non-standard severity</w:t>
                  </w:r>
                </w:p>
              </w:tc>
              <w:tc>
                <w:tcPr/>
                <w:p>
                  <w:pPr>
                    <w:pStyle w:val="Compact"/>
                    <w:jc w:val="right"/>
                    <w:jc w:val="center"/>
                  </w:pPr>
                  <w:r>
                    <w:t xml:space="preserve">8</w:t>
                  </w:r>
                </w:p>
              </w:tc>
            </w:tr>
            <w:tr>
              <w:tc>
                <w:tcPr/>
                <w:p>
                  <w:pPr>
                    <w:pStyle w:val="Compact"/>
                    <w:jc w:val="left"/>
                    <w:jc w:val="center"/>
                  </w:pPr>
                  <w:r>
                    <w:t xml:space="preserve">Repeated sec_id within one review</w:t>
                  </w:r>
                </w:p>
              </w:tc>
              <w:tc>
                <w:tcPr/>
                <w:p>
                  <w:pPr>
                    <w:pStyle w:val="Compact"/>
                    <w:jc w:val="right"/>
                    <w:jc w:val="center"/>
                  </w:pPr>
                  <w:r>
                    <w:t xml:space="preserve">0</w:t>
                  </w:r>
                </w:p>
              </w:tc>
            </w:tr>
          </w:tbl>
          <w:bookmarkEnd w:id="145"/>
          <w:p/>
        </w:tc>
      </w:tr>
    </w:tbl>
    <w:bookmarkEnd w:id="146"/>
    <w:bookmarkStart w:id="147" w:name="appendix-b"/>
    <w:p>
      <w:pPr>
        <w:pStyle w:val="Heading2"/>
      </w:pPr>
      <w:r>
        <w:t xml:space="preserve">Appendix B — The Security-informed prompt</w:t>
      </w:r>
    </w:p>
    <w:p>
      <w:pPr>
        <w:pStyle w:val="FirstParagraph"/>
      </w:pPr>
      <w:r>
        <w:t xml:space="preserve">The user writes their task normally, then appends the fixed block below.</w:t>
      </w:r>
    </w:p>
    <w:p>
      <w:pPr>
        <w:pStyle w:val="BlockText"/>
      </w:pPr>
      <w:r>
        <w:t xml:space="preserve">[TASK - filled in by the user: describe the code you want in your own words, e.g. </w:t>
      </w:r>
      <w:r>
        <w:t xml:space="preserve">“Develop Java code that handles user login attempts…”</w:t>
      </w:r>
      <w:r>
        <w:t xml:space="preserve">. Keep any constraints you actually need (API, database, file outputs, README).]</w:t>
      </w:r>
    </w:p>
    <w:p>
      <w:pPr>
        <w:pStyle w:val="BlockText"/>
      </w:pPr>
      <w:r>
        <w:t xml:space="preserve">BEFORE you write the code, think about how a security reviewer would attack this feature, and write the code so that reviewer has nothing to report. Apply these rules:</w:t>
      </w:r>
    </w:p>
    <w:p>
      <w:pPr>
        <w:pStyle w:val="Compact"/>
        <w:numPr>
          <w:ilvl w:val="0"/>
          <w:numId w:val="1006"/>
        </w:numPr>
      </w:pPr>
      <w:r>
        <w:t xml:space="preserve">Trust boundaries. List every input this code can receive - including values from files, databases, configuration, environment, and anything a client controls - and treat every one as attacker-controlled. Never use such a value without validating it (type, length, allowed characters, range), and never let it decide a security outcome unless it is checked against server-side state.</w:t>
      </w:r>
    </w:p>
    <w:p>
      <w:pPr>
        <w:pStyle w:val="Compact"/>
        <w:numPr>
          <w:ilvl w:val="0"/>
          <w:numId w:val="1006"/>
        </w:numPr>
      </w:pPr>
      <w:r>
        <w:t xml:space="preserve">Secrets. Never include credentials, keys, or passwords that would work if someone ran the program. Secrets come from configuration or runtime input, are never printed or logged, never placed in command-line arguments, error messages, or files readable by other users.</w:t>
      </w:r>
    </w:p>
    <w:p>
      <w:pPr>
        <w:pStyle w:val="Compact"/>
        <w:numPr>
          <w:ilvl w:val="0"/>
          <w:numId w:val="1006"/>
        </w:numPr>
      </w:pPr>
      <w:r>
        <w:t xml:space="preserve">Authentication and access. Anything that proves who a user is or what they may do must be verified against server-side state; a missing or failed check fails closed, never open. Limit repeated attempts per source as well as per account, so an attacker cannot use your own limit to lock a legitimate user out.</w:t>
      </w:r>
    </w:p>
    <w:p>
      <w:pPr>
        <w:pStyle w:val="Compact"/>
        <w:numPr>
          <w:ilvl w:val="0"/>
          <w:numId w:val="1006"/>
        </w:numPr>
      </w:pPr>
      <w:r>
        <w:t xml:space="preserve">Identifiers and tokens. Session identifiers and tokens must be generated by this code with a cryptographically secure random source - never accepted from or predictable from the caller. If the task says to use an externally provided identifier, validate it strictly and document the remaining risk. Cookies carry HttpOnly, Secure, SameSite, and a correct path.</w:t>
      </w:r>
    </w:p>
    <w:p>
      <w:pPr>
        <w:pStyle w:val="Compact"/>
        <w:numPr>
          <w:ilvl w:val="0"/>
          <w:numId w:val="1006"/>
        </w:numPr>
      </w:pPr>
      <w:r>
        <w:t xml:space="preserve">Sensitive data. Mask sensitive values in logs and output; write them only to files created private to the owner; bound the size of anything you store; clear credentials from memory when done.</w:t>
      </w:r>
    </w:p>
    <w:p>
      <w:pPr>
        <w:pStyle w:val="Compact"/>
        <w:numPr>
          <w:ilvl w:val="0"/>
          <w:numId w:val="1006"/>
        </w:numPr>
      </w:pPr>
      <w:r>
        <w:t xml:space="preserve">Failure behaviour. Report errors to users in generic terms; details go to the log only. Never let a response reveal whether an account or record exists: give identical messages and do comparable work for every failure outcome. Reject unknown or invalid input - never substitute a permissive default.</w:t>
      </w:r>
    </w:p>
    <w:p>
      <w:pPr>
        <w:pStyle w:val="Compact"/>
        <w:numPr>
          <w:ilvl w:val="0"/>
          <w:numId w:val="1006"/>
        </w:numPr>
      </w:pPr>
      <w:r>
        <w:t xml:space="preserve">Concurrency. Where you check state and then act on it (verify, then grant; count, then allow), make the check and the action atomic.</w:t>
      </w:r>
    </w:p>
    <w:p>
      <w:pPr>
        <w:pStyle w:val="Compact"/>
        <w:numPr>
          <w:ilvl w:val="0"/>
          <w:numId w:val="1006"/>
        </w:numPr>
      </w:pPr>
      <w:r>
        <w:t xml:space="preserve">Prefer the platform. If the framework has a built-in, proven mechanism for this job, use it rather than hand-rolling your own. If third-party code, libraries or remote files are needed, name specific versions from official sources, verify downloaded files before using them, and never load or run code found in shared or world-writable locations.</w:t>
      </w:r>
    </w:p>
    <w:p>
      <w:pPr>
        <w:pStyle w:val="BlockText"/>
      </w:pPr>
      <w:r>
        <w:t xml:space="preserve">Before finishing, do a final pass as an adversarial reviewer who must report findings: fix anything they could report, and in the README note which rules above apply to this feature and how the code satisfies each.</w:t>
      </w:r>
    </w:p>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5" Target="media/rId115.png" /><Relationship Type="http://schemas.openxmlformats.org/officeDocument/2006/relationships/image" Id="rId53" Target="media/rId53.png" /><Relationship Type="http://schemas.openxmlformats.org/officeDocument/2006/relationships/image" Id="rId106" Target="media/rId106.png" /><Relationship Type="http://schemas.openxmlformats.org/officeDocument/2006/relationships/image" Id="rId23" Target="media/rId23.png" /><Relationship Type="http://schemas.openxmlformats.org/officeDocument/2006/relationships/image" Id="rId70" Target="media/rId70.png" /><Relationship Type="http://schemas.openxmlformats.org/officeDocument/2006/relationships/image" Id="rId122" Target="media/rId122.png" /><Relationship Type="http://schemas.openxmlformats.org/officeDocument/2006/relationships/image" Id="rId79" Target="media/rId79.png" /><Relationship Type="http://schemas.openxmlformats.org/officeDocument/2006/relationships/image" Id="rId59" Target="media/rId59.png" /><Relationship Type="http://schemas.openxmlformats.org/officeDocument/2006/relationships/image" Id="rId132" Target="media/rId132.png" /><Relationship Type="http://schemas.openxmlformats.org/officeDocument/2006/relationships/image" Id="rId16" Target="media/rId16.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100" Target="media/rId100.png" /><Relationship Type="http://schemas.openxmlformats.org/officeDocument/2006/relationships/image" Id="rId74" Target="media/rId74.png" /><Relationship Type="http://schemas.openxmlformats.org/officeDocument/2006/relationships/image" Id="rId126" Target="media/rId126.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image" Id="rId136" Target="media/rId136.png" /><Relationship Type="http://schemas.openxmlformats.org/officeDocument/2006/relationships/image" Id="rId30" Target="media/rId30.png" /><Relationship Type="http://schemas.openxmlformats.org/officeDocument/2006/relationships/image" Id="rId94" Target="media/rId94.png" /><Relationship Type="http://schemas.openxmlformats.org/officeDocument/2006/relationships/image" Id="rId89" Target="media/rId89.png" /><Relationship Type="http://schemas.openxmlformats.org/officeDocument/2006/relationships/image" Id="rId48" Target="media/rId48.png" /><Relationship Type="http://schemas.openxmlformats.org/officeDocument/2006/relationships/image" Id="rId110" Target="media/rId11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Findings and Comparative Analysis</dc:title>
  <dc:creator>CSI6224 project team</dc:creator>
  <cp:keywords/>
  <dcterms:created xsi:type="dcterms:W3CDTF">2026-10-18T13:09:05Z</dcterms:created>
  <dcterms:modified xsi:type="dcterms:W3CDTF">2026-10-18T13:09:05Z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2026-10-10</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pyter">
    <vt:lpwstr>python3</vt:lpwstr>
  </property>
  <property fmtid="{D5CDD505-2E9C-101B-9397-08002B2CF9AE}" pid="11" name="labels">
    <vt:lpwstr/>
  </property>
  <property fmtid="{D5CDD505-2E9C-101B-9397-08002B2CF9AE}" pid="12" name="subtitle">
    <vt:lpwstr>CSI6224 | Evaluating security-aware LLM code generation across four AI coding assistants</vt:lpwstr>
  </property>
  <property fmtid="{D5CDD505-2E9C-101B-9397-08002B2CF9AE}" pid="13" name="toc-title">
    <vt:lpwstr>Table of contents</vt:lpwstr>
  </property>
</Properties>
</file>