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78"/>
        <w:tblLook w:firstRow="1" w:lastRow="0" w:firstColumn="0" w:lastColumn="0" w:noHBand="0" w:noVBand="0" w:val="0020"/>
        <w:jc w:val="start"/>
        <w:tblLayout w:type="fixed"/>
      </w:tblPr>
      <w:tblGrid>
        <w:gridCol w:w="1416"/>
        <w:gridCol w:w="1609"/>
        <w:gridCol w:w="1609"/>
        <w:gridCol w:w="1609"/>
        <w:gridCol w:w="14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All Plots (winner)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Plots (full)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Plots (Reduceder)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Plots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0.496 [0.372, 0.620]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0.482 [0.349, 0.615]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0.453 [0.352, 0.554]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0.459 [0.386, 0.533]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[-0.001, 0.000]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[-0.001, 0.000]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[-0.001, 0.000]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[-0.001, 0.002]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[-0.000, 0.002]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[-0.000, 0.002]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 [0.030, 0.086]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 [0.029, 0.086]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[-0.002, 0.003]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[-0.002, 0.004]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 [-0.028, 0.007]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 [-0.027, 0.008]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SoilMoist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0.009 [-0.022, 0.039]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(Intercept 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(Observations)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Marg.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Cond.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-67.4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2025-07-01T20:50:39Z</dcterms:created>
  <dcterms:modified xsi:type="dcterms:W3CDTF">2025-07-01T20:50:39Z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