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9"/>
        <w:tblLook w:firstRow="1" w:lastRow="0" w:firstColumn="0" w:lastColumn="0" w:noHBand="0" w:noVBand="0" w:val="0020"/>
        <w:jc w:val="start"/>
        <w:tblLayout w:type="fixed"/>
      </w:tblPr>
      <w:tblGrid>
        <w:gridCol w:w="1760"/>
        <w:gridCol w:w="2080"/>
        <w:gridCol w:w="2080"/>
        <w:gridCol w:w="18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 Variables (Winner)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Variables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Variables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0.616 [0.521, 0.710]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0.640 [0.531, 0.749]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0.503 [0.464, 0.541]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salinity_ppt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-0.208 [-0.341, -0.075]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 [-0.334, -0.064]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 [0.028, 0.101]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 [0.030, 0.105]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SoilMoist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 [-0.004, 0.069]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 [-0.008, 0.067]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2025-07-01T20:48:07Z</dcterms:created>
  <dcterms:modified xsi:type="dcterms:W3CDTF">2025-07-01T20:48:07Z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