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95"/>
        <w:tblLook w:firstRow="1" w:lastRow="0" w:firstColumn="0" w:lastColumn="0" w:noHBand="0" w:noVBand="0" w:val="0020"/>
        <w:jc w:val="start"/>
        <w:tblLayout w:type="fixed"/>
      </w:tblPr>
      <w:tblGrid>
        <w:gridCol w:w="1834"/>
        <w:gridCol w:w="1917"/>
        <w:gridCol w:w="2084"/>
        <w:gridCol w:w="1917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Reduced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0.264 [0.183, 0.345]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0.260 [0.172, 0.348]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0.362 [0.286, 0.439]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0.258 [0.197, 0.319]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0.271 [0.144, 0.398]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TotalDist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[0.000, 0.000]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[-0.000, 0.001]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EnvDis × TotalDist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-0.000 [-0.002, 0.001]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 (Intercept 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 (Observations)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Marg.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Cond.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-753.34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-751.37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-700.75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2026-03-23T21:24:48Z</dcterms:created>
  <dcterms:modified xsi:type="dcterms:W3CDTF">2026-03-23T21:24:48Z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