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95"/>
        <w:tblLook w:firstRow="1" w:lastRow="0" w:firstColumn="0" w:lastColumn="0" w:noHBand="0" w:noVBand="0" w:val="0020"/>
        <w:jc w:val="start"/>
        <w:tblLayout w:type="fixed"/>
      </w:tblPr>
      <w:tblGrid>
        <w:gridCol w:w="1834"/>
        <w:gridCol w:w="1917"/>
        <w:gridCol w:w="2084"/>
        <w:gridCol w:w="1917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Reduced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0.264 [0.183, 0.345]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0.260 [0.172, 0.348]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0.362 [0.286, 0.439]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EnvDis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 [0.197, 0.319]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0.271 [0.144, 0.398]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TotalDist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[0.000, 0.000]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[-0.000, 0.001]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EnvDis × TotalDist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-0.000 [-0.002, 0.001]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(Intercept 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(Observations)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Marg.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Cond.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-753.34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-751.37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-700.75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2025-10-25T20:34:13Z</dcterms:created>
  <dcterms:modified xsi:type="dcterms:W3CDTF">2025-10-25T20:34:13Z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