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95"/>
        <w:tblLook w:firstRow="1" w:lastRow="0" w:firstColumn="0" w:lastColumn="0" w:noHBand="0" w:noVBand="0" w:val="0020"/>
        <w:jc w:val="start"/>
        <w:tblLayout w:type="fixed"/>
      </w:tblPr>
      <w:tblGrid>
        <w:gridCol w:w="1834"/>
        <w:gridCol w:w="1917"/>
        <w:gridCol w:w="2084"/>
        <w:gridCol w:w="1917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Reduced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0.264 [0.183, 0.345]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0.260 [0.172, 0.348]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0.362 [0.286, 0.439]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 [0.197, 0.319]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0.271 [0.144, 0.398]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TotalDist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[0.000, 0.000]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[-0.000, 0.001]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EnvDis × TotalDist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-0.000 [-0.002, 0.001]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(Intercept 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Marg.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-753.34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-751.37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-700.75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2026-02-04T23:50:51Z</dcterms:created>
  <dcterms:modified xsi:type="dcterms:W3CDTF">2026-02-04T23:50:51Z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