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99"/>
        <w:tblLook w:firstRow="1" w:lastRow="0" w:firstColumn="0" w:lastColumn="0" w:noHBand="0" w:noVBand="0" w:val="0020"/>
        <w:jc w:val="start"/>
        <w:tblLayout w:type="fixed"/>
      </w:tblPr>
      <w:tblGrid>
        <w:gridCol w:w="1760"/>
        <w:gridCol w:w="2080"/>
        <w:gridCol w:w="2080"/>
        <w:gridCol w:w="18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All Variables (Winner)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Variables (full)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Variables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0.616 [0.521, 0.711]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0.640 [0.531, 0.750]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0.503 [0.464, 0.541]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salinity_ppt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-0.209 [-0.342, -0.075]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-0.200 [-0.335, -0.064]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 [0.028, 0.100]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 [0.030, 0.105]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SoilMoist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 [-0.004, 0.069]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0.030 [-0.007, 0.067]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-0.000 [-0.001, 0.000]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(Intercept 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Marg.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-39.29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-31.94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2025-10-25T23:59:21Z</dcterms:created>
  <dcterms:modified xsi:type="dcterms:W3CDTF">2025-10-25T23:59:21Z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