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95"/>
        <w:tblLook w:firstRow="1" w:lastRow="0" w:firstColumn="0" w:lastColumn="0" w:noHBand="0" w:noVBand="0" w:val="0020"/>
        <w:jc w:val="start"/>
        <w:tblLayout w:type="fixed"/>
      </w:tblPr>
      <w:tblGrid>
        <w:gridCol w:w="1834"/>
        <w:gridCol w:w="1917"/>
        <w:gridCol w:w="2084"/>
        <w:gridCol w:w="1917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Reduced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0.264 [0.183, 0.345]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0.260 [0.172, 0.348]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0.362 [0.286, 0.439]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0.258 [0.197, 0.319]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0.271 [0.144, 0.398]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TotalDist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[0.000, 0.000]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[-0.000, 0.001]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EnvDis × TotalDist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-0.000 [-0.002, 0.001]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 (Intercept Site)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 (Observations)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Num.Obs.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Marg.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Cond.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-753.34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-751.37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-700.75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2025-10-26T01:37:22Z</dcterms:created>
  <dcterms:modified xsi:type="dcterms:W3CDTF">2025-10-26T01:37:22Z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