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left"/>
      </w:pPr>
      <w:r>
        <w:rPr>
          <w:rFonts w:ascii="Arial" w:cs="Arial" w:eastAsia="Arial" w:hAnsi="Arial"/>
          <w:b/>
          <w:bCs/>
          <w:color w:val="390007"/>
          <w:sz w:val="26"/>
          <w:szCs w:val="26"/>
        </w:rPr>
        <w:t xml:space="preserve">A SALA DOS BUSCADORES</w:t>
      </w:r>
    </w:p>
    <w:p>
      <w:pPr>
        <w:spacing w:after="100" w:before="300"/>
      </w:pPr>
      <w:r>
        <w:rPr>
          <w:rFonts w:ascii="Arial" w:cs="Arial" w:eastAsia="Arial" w:hAnsi="Arial"/>
          <w:b/>
          <w:bCs/>
          <w:color w:val="111313"/>
          <w:sz w:val="44"/>
          <w:szCs w:val="44"/>
        </w:rPr>
        <w:t xml:space="preserve">DOCUMENTO DE REQUISITOS DE SISTEMA</w:t>
      </w:r>
    </w:p>
    <w:p>
      <w:pPr>
        <w:spacing w:after="1600"/>
      </w:pPr>
      <w:r>
        <w:rPr>
          <w:rFonts w:ascii="Georgia" w:cs="Georgia" w:eastAsia="Georgia" w:hAnsi="Georgia"/>
          <w:i/>
          <w:iCs/>
          <w:color w:val="5B5850"/>
          <w:sz w:val="24"/>
          <w:szCs w:val="24"/>
        </w:rPr>
        <w:t xml:space="preserve">Portal de conhecimento espiritual, religioso e filosófico independente</w:t>
      </w:r>
    </w:p>
    <w:p>
      <w:r>
        <w:rPr>
          <w:rFonts w:ascii="Arial" w:cs="Arial" w:eastAsia="Arial" w:hAnsi="Arial"/>
          <w:b/>
          <w:bCs/>
          <w:color w:val="111313"/>
          <w:sz w:val="22"/>
          <w:szCs w:val="22"/>
        </w:rPr>
        <w:t xml:space="preserve">Versão 1.0 · 2026</w:t>
      </w:r>
    </w:p>
    <w:p>
      <w:pPr>
        <w:spacing w:after="3000"/>
      </w:pPr>
    </w:p>
    <w:p>
      <w:r>
        <w:rPr>
          <w:rFonts w:ascii="Arial" w:cs="Arial" w:eastAsia="Arial" w:hAnsi="Arial"/>
          <w:b/>
          <w:bCs/>
          <w:color w:val="5B5850"/>
          <w:sz w:val="18"/>
          <w:szCs w:val="18"/>
        </w:rPr>
        <w:t xml:space="preserve">CONFIDENCIAL — USO INTERNO</w:t>
      </w:r>
    </w:p>
    <w:p>
      <w:r>
        <w:br w:type="page"/>
      </w:r>
    </w:p>
    <w:p>
      <w:pPr>
        <w:pStyle w:val="Heading1"/>
        <w:pBdr>
          <w:bottom w:val="single" w:color="390007" w:sz="8" w:space="4"/>
        </w:pBdr>
        <w:spacing w:after="200" w:before="400"/>
      </w:pPr>
      <w:r>
        <w:rPr>
          <w:rFonts w:ascii="Arial" w:cs="Arial" w:eastAsia="Arial" w:hAnsi="Arial"/>
          <w:b/>
          <w:bCs/>
          <w:color w:val="390007"/>
          <w:sz w:val="32"/>
          <w:szCs w:val="32"/>
        </w:rPr>
        <w:t xml:space="preserve">Controle do Documento</w:t>
      </w:r>
    </w:p>
    <w:p>
      <w:pPr>
        <w:spacing w:after="100" w:before="200"/>
      </w:pPr>
      <w:r>
        <w:rPr>
          <w:rFonts w:ascii="Arial" w:cs="Arial" w:eastAsia="Arial" w:hAnsi="Arial"/>
          <w:b/>
          <w:bCs/>
          <w:color w:val="111313"/>
          <w:sz w:val="22"/>
          <w:szCs w:val="22"/>
        </w:rPr>
        <w:t xml:space="preserve">Histórico de Revisões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7200"/>
      </w:tblGrid>
      <w:tr>
        <w:trPr>
          <w:tblHeader/>
        </w:trPr>
        <w:tc>
          <w:tcPr>
            <w:tcW w:type="dxa" w:w="1200"/>
            <w:shd w:fill="111313" w:val="clear"/>
            <w:tcMar>
              <w:top w:type="dxa" w:w="100"/>
              <w:left w:type="dxa" w:w="120"/>
              <w:bottom w:type="dxa" w:w="100"/>
              <w:right w:type="dxa" w:w="120"/>
            </w:tcMar>
          </w:tcPr>
          <w:p>
            <w:r>
              <w:rPr>
                <w:rFonts w:ascii="Arial" w:cs="Arial" w:eastAsia="Arial" w:hAnsi="Arial"/>
                <w:b/>
                <w:bCs/>
                <w:color w:val="FFFFFF"/>
                <w:sz w:val="19"/>
                <w:szCs w:val="19"/>
              </w:rPr>
              <w:t xml:space="preserve">Versão</w:t>
            </w:r>
          </w:p>
        </w:tc>
        <w:tc>
          <w:tcPr>
            <w:tcW w:type="dxa" w:w="1600"/>
            <w:shd w:fill="111313" w:val="clear"/>
            <w:tcMar>
              <w:top w:type="dxa" w:w="100"/>
              <w:left w:type="dxa" w:w="120"/>
              <w:bottom w:type="dxa" w:w="100"/>
              <w:right w:type="dxa" w:w="120"/>
            </w:tcMar>
          </w:tcPr>
          <w:p>
            <w:r>
              <w:rPr>
                <w:rFonts w:ascii="Arial" w:cs="Arial" w:eastAsia="Arial" w:hAnsi="Arial"/>
                <w:b/>
                <w:bCs/>
                <w:color w:val="FFFFFF"/>
                <w:sz w:val="19"/>
                <w:szCs w:val="19"/>
              </w:rPr>
              <w:t xml:space="preserve">Data</w:t>
            </w:r>
          </w:p>
        </w:tc>
        <w:tc>
          <w:tcPr>
            <w:tcW w:type="dxa" w:w="7200"/>
            <w:shd w:fill="111313" w:val="clear"/>
            <w:tcMar>
              <w:top w:type="dxa" w:w="100"/>
              <w:left w:type="dxa" w:w="120"/>
              <w:bottom w:type="dxa" w:w="100"/>
              <w:right w:type="dxa" w:w="120"/>
            </w:tcMar>
          </w:tcPr>
          <w:p>
            <w:r>
              <w:rPr>
                <w:rFonts w:ascii="Arial" w:cs="Arial" w:eastAsia="Arial" w:hAnsi="Arial"/>
                <w:b/>
                <w:bCs/>
                <w:color w:val="FFFFFF"/>
                <w:sz w:val="19"/>
                <w:szCs w:val="19"/>
              </w:rPr>
              <w:t xml:space="preserve">Descrição da alteração</w:t>
            </w:r>
          </w:p>
        </w:tc>
      </w:tr>
      <w:tr>
        <w:tc>
          <w:tcPr>
            <w:tcW w:type="dxa" w:w="1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1.0</w:t>
            </w:r>
          </w:p>
        </w:tc>
        <w:tc>
          <w:tcPr>
            <w:tcW w:type="dxa" w:w="1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2026</w:t>
            </w:r>
          </w:p>
        </w:tc>
        <w:tc>
          <w:tcPr>
            <w:tcW w:type="dxa" w:w="7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Versão inicial do documento de requisitos, elaborada a partir do levantamento de requisitos (questionário de 46 perguntas) e do Branding Book / DNA Criativo da marca.</w:t>
            </w:r>
          </w:p>
        </w:tc>
      </w:tr>
    </w:tbl>
    <w:p>
      <w:r>
        <w:br w:type="page"/>
      </w:r>
    </w:p>
    <w:p>
      <w:pPr>
        <w:pStyle w:val="Heading1"/>
        <w:pBdr>
          <w:bottom w:val="single" w:color="390007" w:sz="8" w:space="4"/>
        </w:pBdr>
        <w:spacing w:after="200" w:before="400"/>
      </w:pPr>
      <w:r>
        <w:rPr>
          <w:rFonts w:ascii="Arial" w:cs="Arial" w:eastAsia="Arial" w:hAnsi="Arial"/>
          <w:b/>
          <w:bCs/>
          <w:color w:val="390007"/>
          <w:sz w:val="32"/>
          <w:szCs w:val="32"/>
        </w:rPr>
        <w:t xml:space="preserve">Sumário</w:t>
      </w:r>
    </w:p>
    <w:p>
      <w:pPr>
        <w:spacing w:after="160"/>
      </w:pPr>
      <w:r>
        <w:rPr>
          <w:rFonts w:ascii="Georgia" w:cs="Georgia" w:eastAsia="Georgia" w:hAnsi="Georgia"/>
          <w:i w:val="false"/>
          <w:iCs w:val="false"/>
          <w:color w:val="111313"/>
          <w:sz w:val="21"/>
          <w:szCs w:val="21"/>
        </w:rPr>
        <w:t xml:space="preserve">1. Visão Geral</w:t>
      </w:r>
    </w:p>
    <w:p>
      <w:pPr>
        <w:spacing w:after="160"/>
      </w:pPr>
      <w:r>
        <w:rPr>
          <w:rFonts w:ascii="Georgia" w:cs="Georgia" w:eastAsia="Georgia" w:hAnsi="Georgia"/>
          <w:i w:val="false"/>
          <w:iCs w:val="false"/>
          <w:color w:val="111313"/>
          <w:sz w:val="21"/>
          <w:szCs w:val="21"/>
        </w:rPr>
        <w:t xml:space="preserve">2. Objetivos</w:t>
      </w:r>
    </w:p>
    <w:p>
      <w:pPr>
        <w:spacing w:after="160"/>
      </w:pPr>
      <w:r>
        <w:rPr>
          <w:rFonts w:ascii="Georgia" w:cs="Georgia" w:eastAsia="Georgia" w:hAnsi="Georgia"/>
          <w:i w:val="false"/>
          <w:iCs w:val="false"/>
          <w:color w:val="111313"/>
          <w:sz w:val="21"/>
          <w:szCs w:val="21"/>
        </w:rPr>
        <w:t xml:space="preserve">3. Fundamentos de Produto — JTBD e Métricas</w:t>
      </w:r>
    </w:p>
    <w:p>
      <w:pPr>
        <w:spacing w:after="160"/>
      </w:pPr>
      <w:r>
        <w:rPr>
          <w:rFonts w:ascii="Georgia" w:cs="Georgia" w:eastAsia="Georgia" w:hAnsi="Georgia"/>
          <w:i w:val="false"/>
          <w:iCs w:val="false"/>
          <w:color w:val="111313"/>
          <w:sz w:val="21"/>
          <w:szCs w:val="21"/>
        </w:rPr>
        <w:t xml:space="preserve">4. Atores do Sistema</w:t>
      </w:r>
    </w:p>
    <w:p>
      <w:pPr>
        <w:spacing w:after="160"/>
      </w:pPr>
      <w:r>
        <w:rPr>
          <w:rFonts w:ascii="Georgia" w:cs="Georgia" w:eastAsia="Georgia" w:hAnsi="Georgia"/>
          <w:i w:val="false"/>
          <w:iCs w:val="false"/>
          <w:color w:val="111313"/>
          <w:sz w:val="21"/>
          <w:szCs w:val="21"/>
        </w:rPr>
        <w:t xml:space="preserve">5. Requisitos Funcionais (RF)</w:t>
      </w:r>
    </w:p>
    <w:p>
      <w:pPr>
        <w:spacing w:after="160"/>
      </w:pPr>
      <w:r>
        <w:rPr>
          <w:rFonts w:ascii="Georgia" w:cs="Georgia" w:eastAsia="Georgia" w:hAnsi="Georgia"/>
          <w:i w:val="false"/>
          <w:iCs w:val="false"/>
          <w:color w:val="111313"/>
          <w:sz w:val="21"/>
          <w:szCs w:val="21"/>
        </w:rPr>
        <w:t xml:space="preserve">6. Requisitos Não Funcionais (RNF)</w:t>
      </w:r>
    </w:p>
    <w:p>
      <w:pPr>
        <w:spacing w:after="160"/>
      </w:pPr>
      <w:r>
        <w:rPr>
          <w:rFonts w:ascii="Georgia" w:cs="Georgia" w:eastAsia="Georgia" w:hAnsi="Georgia"/>
          <w:i w:val="false"/>
          <w:iCs w:val="false"/>
          <w:color w:val="111313"/>
          <w:sz w:val="21"/>
          <w:szCs w:val="21"/>
        </w:rPr>
        <w:t xml:space="preserve">7. Diagramas Técnicos</w:t>
      </w:r>
    </w:p>
    <w:p>
      <w:pPr>
        <w:spacing w:after="160"/>
      </w:pPr>
      <w:r>
        <w:rPr>
          <w:rFonts w:ascii="Georgia" w:cs="Georgia" w:eastAsia="Georgia" w:hAnsi="Georgia"/>
          <w:i w:val="false"/>
          <w:iCs w:val="false"/>
          <w:color w:val="111313"/>
          <w:sz w:val="21"/>
          <w:szCs w:val="21"/>
        </w:rPr>
        <w:t xml:space="preserve">8. Issues e Milestones</w:t>
      </w:r>
    </w:p>
    <w:p>
      <w:pPr>
        <w:spacing w:after="160"/>
      </w:pPr>
      <w:r>
        <w:rPr>
          <w:rFonts w:ascii="Georgia" w:cs="Georgia" w:eastAsia="Georgia" w:hAnsi="Georgia"/>
          <w:i w:val="false"/>
          <w:iCs w:val="false"/>
          <w:color w:val="111313"/>
          <w:sz w:val="21"/>
          <w:szCs w:val="21"/>
        </w:rPr>
        <w:t xml:space="preserve">9. Conclusão e Próximos Passos</w:t>
      </w:r>
    </w:p>
    <w:p>
      <w:r>
        <w:br w:type="page"/>
      </w:r>
    </w:p>
    <w:p>
      <w:pPr>
        <w:pStyle w:val="Heading1"/>
        <w:pBdr>
          <w:bottom w:val="single" w:color="390007" w:sz="8" w:space="4"/>
        </w:pBdr>
        <w:spacing w:after="200" w:before="400"/>
      </w:pPr>
      <w:r>
        <w:rPr>
          <w:rFonts w:ascii="Arial" w:cs="Arial" w:eastAsia="Arial" w:hAnsi="Arial"/>
          <w:b/>
          <w:bCs/>
          <w:color w:val="390007"/>
          <w:sz w:val="32"/>
          <w:szCs w:val="32"/>
        </w:rPr>
        <w:t xml:space="preserve">1. Visão Geral</w:t>
      </w:r>
    </w:p>
    <w:p>
      <w:pPr>
        <w:spacing w:after="160"/>
      </w:pPr>
      <w:r>
        <w:rPr>
          <w:rFonts w:ascii="Georgia" w:cs="Georgia" w:eastAsia="Georgia" w:hAnsi="Georgia"/>
          <w:i w:val="false"/>
          <w:iCs w:val="false"/>
          <w:color w:val="111313"/>
          <w:sz w:val="21"/>
          <w:szCs w:val="21"/>
        </w:rPr>
        <w:t xml:space="preserve">A Sala dos Buscadores é um portal web de conhecimento dedicado à exploração organizada, contextualizada e comparativa das diferentes tradições religiosas, espirituais, filosóficas, textos antigos e conscienciais da humanidade. Não é uma religião, igreja, doutrina, movimento espiritual ou instrumento de conversão, nem um espaço destinado a demonstrar que determinada crença é superior às demais.</w:t>
      </w:r>
    </w:p>
    <w:p>
      <w:pPr>
        <w:spacing w:after="160"/>
      </w:pPr>
      <w:r>
        <w:rPr>
          <w:rFonts w:ascii="Georgia" w:cs="Georgia" w:eastAsia="Georgia" w:hAnsi="Georgia"/>
          <w:i w:val="false"/>
          <w:iCs w:val="false"/>
          <w:color w:val="111313"/>
          <w:sz w:val="21"/>
          <w:szCs w:val="21"/>
        </w:rPr>
        <w:t xml:space="preserve">O sistema organiza o conhecimento em "Salas" — cada uma dedicada a uma tradição, corpus documental, escola de pensamento ou campo de investigação — e permite atravessar esse acervo por temas universais (morte, consciência, divindade, origem do universo, oração, meditação, ética, alma, sofrimento, entre outros), tanto por navegação direta quanto por um assistente de inteligência artificial que cita fontes.</w:t>
      </w:r>
    </w:p>
    <w:p>
      <w:pPr>
        <w:spacing w:after="160"/>
      </w:pPr>
      <w:r>
        <w:rPr>
          <w:rFonts w:ascii="Georgia" w:cs="Georgia" w:eastAsia="Georgia" w:hAnsi="Georgia"/>
          <w:i w:val="false"/>
          <w:iCs w:val="false"/>
          <w:color w:val="111313"/>
          <w:sz w:val="21"/>
          <w:szCs w:val="21"/>
        </w:rPr>
        <w:t xml:space="preserve">O primeiro ciclo editorial contempla as Salas de Nag Hammadi, Corpus Hermeticum, Caibalion, Apócrifos do Cristianismo Primitivo e Livro de Urântia, com expansão progressiva para outras tradições, evitando que a seleção inicial seja interpretada como hierarquia de importância.</w:t>
      </w:r>
    </w:p>
    <w:p>
      <w:pPr>
        <w:spacing w:after="160"/>
      </w:pPr>
      <w:r>
        <w:rPr>
          <w:rFonts w:ascii="Georgia" w:cs="Georgia" w:eastAsia="Georgia" w:hAnsi="Georgia"/>
          <w:i w:val="false"/>
          <w:iCs w:val="false"/>
          <w:color w:val="111313"/>
          <w:sz w:val="21"/>
          <w:szCs w:val="21"/>
        </w:rPr>
        <w:t xml:space="preserve">O papel da plataforma é o de curador de museu, não pregador: organizar conhecimento, apresentar fontes, contextualizar interpretações e permitir que cada pessoa desenvolva sua própria compreensão, sem pressupor que as diferentes tradições conduzem a um consenso.</w:t>
      </w:r>
    </w:p>
    <w:p>
      <w:pPr>
        <w:pStyle w:val="Heading2"/>
        <w:spacing w:after="150" w:before="300"/>
      </w:pPr>
      <w:r>
        <w:rPr>
          <w:rFonts w:ascii="Arial" w:cs="Arial" w:eastAsia="Arial" w:hAnsi="Arial"/>
          <w:b/>
          <w:bCs/>
          <w:color w:val="111313"/>
          <w:sz w:val="26"/>
          <w:szCs w:val="26"/>
        </w:rPr>
        <w:t xml:space="preserve">Pilares Estratégicos</w:t>
      </w:r>
    </w:p>
    <w:p>
      <w:pPr>
        <w:pStyle w:val="ListParagraph"/>
        <w:numPr>
          <w:ilvl w:val="0"/>
          <w:numId w:val="1"/>
        </w:numPr>
        <w:spacing w:after="80"/>
      </w:pPr>
      <w:r>
        <w:rPr>
          <w:rFonts w:ascii="Georgia" w:cs="Georgia" w:eastAsia="Georgia" w:hAnsi="Georgia"/>
          <w:color w:val="111313"/>
          <w:sz w:val="21"/>
          <w:szCs w:val="21"/>
        </w:rPr>
        <w:t xml:space="preserve">Neutralidade doutrinária: nenhuma tradição é hierarquizada ou apresentada como verdade; discordâncias e incompatibilidades entre crenças são preservadas.</w:t>
      </w:r>
    </w:p>
    <w:p>
      <w:pPr>
        <w:pStyle w:val="ListParagraph"/>
        <w:numPr>
          <w:ilvl w:val="0"/>
          <w:numId w:val="1"/>
        </w:numPr>
        <w:spacing w:after="80"/>
      </w:pPr>
      <w:r>
        <w:rPr>
          <w:rFonts w:ascii="Georgia" w:cs="Georgia" w:eastAsia="Georgia" w:hAnsi="Georgia"/>
          <w:color w:val="111313"/>
          <w:sz w:val="21"/>
          <w:szCs w:val="21"/>
        </w:rPr>
        <w:t xml:space="preserve">Acesso estruturado: todo conteúdo carrega metadados cruzados de Sala, tema, nível de aprofundamento, formato e proveniência.</w:t>
      </w:r>
    </w:p>
    <w:p>
      <w:pPr>
        <w:pStyle w:val="ListParagraph"/>
        <w:numPr>
          <w:ilvl w:val="0"/>
          <w:numId w:val="1"/>
        </w:numPr>
        <w:spacing w:after="80"/>
      </w:pPr>
      <w:r>
        <w:rPr>
          <w:rFonts w:ascii="Georgia" w:cs="Georgia" w:eastAsia="Georgia" w:hAnsi="Georgia"/>
          <w:color w:val="111313"/>
          <w:sz w:val="21"/>
          <w:szCs w:val="21"/>
        </w:rPr>
        <w:t xml:space="preserve">Comparação transversal: a mesma pergunta pode ser observada em diferentes Salas lado a lado, sem produzir uma síntese que apague divergências.</w:t>
      </w:r>
    </w:p>
    <w:p>
      <w:pPr>
        <w:pStyle w:val="ListParagraph"/>
        <w:numPr>
          <w:ilvl w:val="0"/>
          <w:numId w:val="1"/>
        </w:numPr>
        <w:spacing w:after="80"/>
      </w:pPr>
      <w:r>
        <w:rPr>
          <w:rFonts w:ascii="Georgia" w:cs="Georgia" w:eastAsia="Georgia" w:hAnsi="Georgia"/>
          <w:color w:val="111313"/>
          <w:sz w:val="21"/>
          <w:szCs w:val="21"/>
        </w:rPr>
        <w:t xml:space="preserve">Rastreabilidade de fonte: toda afirmação é atribuída a uma origem — fonte primária, editorial, comunitária ou síntese de IA.</w:t>
      </w:r>
    </w:p>
    <w:p>
      <w:pPr>
        <w:pStyle w:val="ListParagraph"/>
        <w:numPr>
          <w:ilvl w:val="0"/>
          <w:numId w:val="1"/>
        </w:numPr>
        <w:spacing w:after="80"/>
      </w:pPr>
      <w:r>
        <w:rPr>
          <w:rFonts w:ascii="Georgia" w:cs="Georgia" w:eastAsia="Georgia" w:hAnsi="Georgia"/>
          <w:color w:val="111313"/>
          <w:sz w:val="21"/>
          <w:szCs w:val="21"/>
        </w:rPr>
        <w:t xml:space="preserve">Crescimento progressivo: do YouTube (descoberta) ao portal (acervo e aprofundamento) à comunidade (diálogo entre buscadores), incorporados em etapas.</w:t>
      </w:r>
    </w:p>
    <w:p>
      <w:pPr>
        <w:pStyle w:val="Heading1"/>
        <w:pBdr>
          <w:bottom w:val="single" w:color="390007" w:sz="8" w:space="4"/>
        </w:pBdr>
        <w:spacing w:after="200" w:before="400"/>
      </w:pPr>
      <w:r>
        <w:rPr>
          <w:rFonts w:ascii="Arial" w:cs="Arial" w:eastAsia="Arial" w:hAnsi="Arial"/>
          <w:b/>
          <w:bCs/>
          <w:color w:val="390007"/>
          <w:sz w:val="32"/>
          <w:szCs w:val="32"/>
        </w:rPr>
        <w:t xml:space="preserve">2. Objetivos</w:t>
      </w:r>
    </w:p>
    <w:p>
      <w:pPr>
        <w:pStyle w:val="Heading2"/>
        <w:spacing w:after="150" w:before="300"/>
      </w:pPr>
      <w:r>
        <w:rPr>
          <w:rFonts w:ascii="Arial" w:cs="Arial" w:eastAsia="Arial" w:hAnsi="Arial"/>
          <w:b/>
          <w:bCs/>
          <w:color w:val="111313"/>
          <w:sz w:val="26"/>
          <w:szCs w:val="26"/>
        </w:rPr>
        <w:t xml:space="preserve">2.1 Objetivo Geral</w:t>
      </w:r>
    </w:p>
    <w:p>
      <w:pPr>
        <w:spacing w:after="160"/>
      </w:pPr>
      <w:r>
        <w:rPr>
          <w:rFonts w:ascii="Georgia" w:cs="Georgia" w:eastAsia="Georgia" w:hAnsi="Georgia"/>
          <w:i w:val="false"/>
          <w:iCs w:val="false"/>
          <w:color w:val="111313"/>
          <w:sz w:val="21"/>
          <w:szCs w:val="21"/>
        </w:rPr>
        <w:t xml:space="preserve">Desenvolver e disponibilizar um portal web que organize o conhecimento religioso, espiritual, filosófico e consciencial em Salas estruturadas, ofereça busca e comparação transversal por tema e um assistente de inteligência artificial baseado no acervo, permitindo que qualquer pessoa — com ou sem filiação religiosa — explore, compare e aprofunde sua compreensão sem indução a uma crença específica.</w:t>
      </w:r>
    </w:p>
    <w:p>
      <w:pPr>
        <w:pStyle w:val="Heading2"/>
        <w:spacing w:after="150" w:before="300"/>
      </w:pPr>
      <w:r>
        <w:rPr>
          <w:rFonts w:ascii="Arial" w:cs="Arial" w:eastAsia="Arial" w:hAnsi="Arial"/>
          <w:b/>
          <w:bCs/>
          <w:color w:val="111313"/>
          <w:sz w:val="26"/>
          <w:szCs w:val="26"/>
        </w:rPr>
        <w:t xml:space="preserve">2.2 Objetivos Específicos</w:t>
      </w:r>
    </w:p>
    <w:p>
      <w:pPr>
        <w:pStyle w:val="ListParagraph"/>
        <w:numPr>
          <w:ilvl w:val="0"/>
          <w:numId w:val="1"/>
        </w:numPr>
        <w:spacing w:after="80"/>
      </w:pPr>
      <w:r>
        <w:rPr>
          <w:rFonts w:ascii="Georgia" w:cs="Georgia" w:eastAsia="Georgia" w:hAnsi="Georgia"/>
          <w:color w:val="111313"/>
          <w:sz w:val="21"/>
          <w:szCs w:val="21"/>
        </w:rPr>
        <w:t xml:space="preserve">Estruturar o acervo em Salas com metadados cruzados: Sala/tradição, tema, período histórico, nível de aprofundamento, formato e proveniência.</w:t>
      </w:r>
    </w:p>
    <w:p>
      <w:pPr>
        <w:pStyle w:val="ListParagraph"/>
        <w:numPr>
          <w:ilvl w:val="0"/>
          <w:numId w:val="1"/>
        </w:numPr>
        <w:spacing w:after="80"/>
      </w:pPr>
      <w:r>
        <w:rPr>
          <w:rFonts w:ascii="Georgia" w:cs="Georgia" w:eastAsia="Georgia" w:hAnsi="Georgia"/>
          <w:color w:val="111313"/>
          <w:sz w:val="21"/>
          <w:szCs w:val="21"/>
        </w:rPr>
        <w:t xml:space="preserve">Oferecer navegação e busca tanto por tradição quanto por tema ou pergunta universal (ex.: "vida após a morte", "meditação", "origem do universo").</w:t>
      </w:r>
    </w:p>
    <w:p>
      <w:pPr>
        <w:pStyle w:val="ListParagraph"/>
        <w:numPr>
          <w:ilvl w:val="0"/>
          <w:numId w:val="1"/>
        </w:numPr>
        <w:spacing w:after="80"/>
      </w:pPr>
      <w:r>
        <w:rPr>
          <w:rFonts w:ascii="Georgia" w:cs="Georgia" w:eastAsia="Georgia" w:hAnsi="Georgia"/>
          <w:color w:val="111313"/>
          <w:sz w:val="21"/>
          <w:szCs w:val="21"/>
        </w:rPr>
        <w:t xml:space="preserve">Implementar um mecanismo de comparação entre tradições que preserve o vocabulário e o contexto próprios de cada uma, sem produzir um vencedor ou síntese única.</w:t>
      </w:r>
    </w:p>
    <w:p>
      <w:pPr>
        <w:pStyle w:val="ListParagraph"/>
        <w:numPr>
          <w:ilvl w:val="0"/>
          <w:numId w:val="1"/>
        </w:numPr>
        <w:spacing w:after="80"/>
      </w:pPr>
      <w:r>
        <w:rPr>
          <w:rFonts w:ascii="Georgia" w:cs="Georgia" w:eastAsia="Georgia" w:hAnsi="Georgia"/>
          <w:color w:val="111313"/>
          <w:sz w:val="21"/>
          <w:szCs w:val="21"/>
        </w:rPr>
        <w:t xml:space="preserve">Disponibilizar um assistente de IA que cite as fontes utilizadas e distinga fonte documental, interpretação editorial e síntese automatizada.</w:t>
      </w:r>
    </w:p>
    <w:p>
      <w:pPr>
        <w:pStyle w:val="ListParagraph"/>
        <w:numPr>
          <w:ilvl w:val="0"/>
          <w:numId w:val="1"/>
        </w:numPr>
        <w:spacing w:after="80"/>
      </w:pPr>
      <w:r>
        <w:rPr>
          <w:rFonts w:ascii="Georgia" w:cs="Georgia" w:eastAsia="Georgia" w:hAnsi="Georgia"/>
          <w:color w:val="111313"/>
          <w:sz w:val="21"/>
          <w:szCs w:val="21"/>
        </w:rPr>
        <w:t xml:space="preserve">Priorizar, no primeiro ciclo, as Salas de Nag Hammadi, Corpus Hermeticum, Caibalion, Apócrifos do Cristianismo Primitivo e Livro de Urântia.</w:t>
      </w:r>
    </w:p>
    <w:p>
      <w:pPr>
        <w:pStyle w:val="ListParagraph"/>
        <w:numPr>
          <w:ilvl w:val="0"/>
          <w:numId w:val="1"/>
        </w:numPr>
        <w:spacing w:after="80"/>
      </w:pPr>
      <w:r>
        <w:rPr>
          <w:rFonts w:ascii="Georgia" w:cs="Georgia" w:eastAsia="Georgia" w:hAnsi="Georgia"/>
          <w:color w:val="111313"/>
          <w:sz w:val="21"/>
          <w:szCs w:val="21"/>
        </w:rPr>
        <w:t xml:space="preserve">Garantir que a declaração de crença ou convicção religiosa do usuário nunca seja obrigatória, em conformidade com a LGPD.</w:t>
      </w:r>
    </w:p>
    <w:p>
      <w:pPr>
        <w:pStyle w:val="ListParagraph"/>
        <w:numPr>
          <w:ilvl w:val="0"/>
          <w:numId w:val="1"/>
        </w:numPr>
        <w:spacing w:after="80"/>
      </w:pPr>
      <w:r>
        <w:rPr>
          <w:rFonts w:ascii="Georgia" w:cs="Georgia" w:eastAsia="Georgia" w:hAnsi="Georgia"/>
          <w:color w:val="111313"/>
          <w:sz w:val="21"/>
          <w:szCs w:val="21"/>
        </w:rPr>
        <w:t xml:space="preserve">Construir uma arquitetura tecnicamente pronta para internacionalização futura, priorizando o público brasileiro e a língua portuguesa no lançamento.</w:t>
      </w:r>
    </w:p>
    <w:p>
      <w:pPr>
        <w:pStyle w:val="ListParagraph"/>
        <w:numPr>
          <w:ilvl w:val="0"/>
          <w:numId w:val="1"/>
        </w:numPr>
        <w:spacing w:after="80"/>
      </w:pPr>
      <w:r>
        <w:rPr>
          <w:rFonts w:ascii="Georgia" w:cs="Georgia" w:eastAsia="Georgia" w:hAnsi="Georgia"/>
          <w:color w:val="111313"/>
          <w:sz w:val="21"/>
          <w:szCs w:val="21"/>
        </w:rPr>
        <w:t xml:space="preserve">Permitir a evolução progressiva de papéis de usuário (visitante, membro, colaborador/especialista, anfitrião, moderador, administrador) sem exigir todos os papéis no MVP.</w:t>
      </w:r>
    </w:p>
    <w:p>
      <w:pPr>
        <w:pStyle w:val="Heading1"/>
        <w:pBdr>
          <w:bottom w:val="single" w:color="390007" w:sz="8" w:space="4"/>
        </w:pBdr>
        <w:spacing w:after="200" w:before="400"/>
      </w:pPr>
      <w:r>
        <w:rPr>
          <w:rFonts w:ascii="Arial" w:cs="Arial" w:eastAsia="Arial" w:hAnsi="Arial"/>
          <w:b/>
          <w:bCs/>
          <w:color w:val="390007"/>
          <w:sz w:val="32"/>
          <w:szCs w:val="32"/>
        </w:rPr>
        <w:t xml:space="preserve">3. Fundamentos de Produto — JTBD e Métricas</w:t>
      </w:r>
    </w:p>
    <w:p>
      <w:pPr>
        <w:spacing w:after="160"/>
      </w:pPr>
      <w:r>
        <w:rPr>
          <w:rFonts w:ascii="Arial" w:cs="Arial" w:eastAsia="Arial" w:hAnsi="Arial"/>
          <w:i/>
          <w:iCs/>
          <w:color w:val="5B5850"/>
          <w:sz w:val="19"/>
          <w:szCs w:val="19"/>
        </w:rPr>
        <w:t xml:space="preserve">Define o job central de cada ator e as métricas que orientam as decisões de produto e priorização.</w:t>
      </w:r>
    </w:p>
    <w:p>
      <w:pPr>
        <w:pStyle w:val="Heading2"/>
        <w:spacing w:after="150" w:before="300"/>
      </w:pPr>
      <w:r>
        <w:rPr>
          <w:rFonts w:ascii="Arial" w:cs="Arial" w:eastAsia="Arial" w:hAnsi="Arial"/>
          <w:b/>
          <w:bCs/>
          <w:color w:val="111313"/>
          <w:sz w:val="26"/>
          <w:szCs w:val="26"/>
        </w:rPr>
        <w:t xml:space="preserve">3.1 Jobs To Be Done (JTBD) por Ator</w:t>
      </w:r>
    </w:p>
    <w:p>
      <w:pPr>
        <w:spacing w:after="100" w:before="200"/>
      </w:pPr>
      <w:r>
        <w:rPr>
          <w:rFonts w:ascii="Arial" w:cs="Arial" w:eastAsia="Arial" w:hAnsi="Arial"/>
          <w:b/>
          <w:bCs/>
          <w:color w:val="111313"/>
          <w:sz w:val="22"/>
          <w:szCs w:val="22"/>
        </w:rPr>
        <w:t xml:space="preserve">Buscador — Usuário Principal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Borders>
              <w:left w:val="single" w:color="390007" w:sz="24"/>
            </w:tcBorders>
            <w:shd w:fill="F7F3EC" w:val="clear"/>
            <w:tcMar>
              <w:top w:type="dxa" w:w="160"/>
              <w:left w:type="dxa" w:w="200"/>
              <w:bottom w:type="dxa" w:w="160"/>
              <w:right w:type="dxa" w:w="200"/>
            </w:tcMar>
          </w:tcPr>
          <w:p>
            <w:r>
              <w:rPr>
                <w:rFonts w:ascii="Georgia" w:cs="Georgia" w:eastAsia="Georgia" w:hAnsi="Georgia"/>
                <w:i/>
                <w:iCs/>
                <w:color w:val="111313"/>
                <w:sz w:val="21"/>
                <w:szCs w:val="21"/>
              </w:rPr>
              <w:t xml:space="preserve">"Quando eu quero entender o que diferentes tradições dizem sobre uma questão existencial, quero explorar fontes organizadas e comparáveis, para formar minha própria compreensão sem depender de uma única voz de autoridade."</w:t>
            </w:r>
          </w:p>
        </w:tc>
      </w:tr>
    </w:tbl>
    <w:p>
      <w:pPr>
        <w:spacing w:after="160"/>
      </w:pPr>
      <w:r>
        <w:rPr>
          <w:rFonts w:ascii="Georgia" w:cs="Georgia" w:eastAsia="Georgia" w:hAnsi="Georgia"/>
          <w:i w:val="false"/>
          <w:iCs w:val="false"/>
          <w:color w:val="111313"/>
          <w:sz w:val="21"/>
          <w:szCs w:val="21"/>
        </w:rPr>
        <w:t xml:space="preserve">O buscador não procura conversão nem uma resposta definitiva: ele busca instrumentos, fontes e caminhos para investigar por conta própria.</w:t>
      </w:r>
    </w:p>
    <w:p>
      <w:pPr>
        <w:spacing w:after="100" w:before="200"/>
      </w:pPr>
      <w:r>
        <w:rPr>
          <w:rFonts w:ascii="Arial" w:cs="Arial" w:eastAsia="Arial" w:hAnsi="Arial"/>
          <w:b/>
          <w:bCs/>
          <w:color w:val="111313"/>
          <w:sz w:val="22"/>
          <w:szCs w:val="22"/>
        </w:rPr>
        <w:t xml:space="preserve">Administrador / Curador — Responsável Editorial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Borders>
              <w:left w:val="single" w:color="390007" w:sz="24"/>
            </w:tcBorders>
            <w:shd w:fill="F7F3EC" w:val="clear"/>
            <w:tcMar>
              <w:top w:type="dxa" w:w="160"/>
              <w:left w:type="dxa" w:w="200"/>
              <w:bottom w:type="dxa" w:w="160"/>
              <w:right w:type="dxa" w:w="200"/>
            </w:tcMar>
          </w:tcPr>
          <w:p>
            <w:r>
              <w:rPr>
                <w:rFonts w:ascii="Georgia" w:cs="Georgia" w:eastAsia="Georgia" w:hAnsi="Georgia"/>
                <w:i/>
                <w:iCs/>
                <w:color w:val="111313"/>
                <w:sz w:val="21"/>
                <w:szCs w:val="21"/>
              </w:rPr>
              <w:t xml:space="preserve">"Quando eu organizo o acervo da Sala dos Buscadores, quero publicar e classificar conteúdo com rastreabilidade de fonte, para manter a neutralidade editorial e a credibilidade do portal."</w:t>
            </w:r>
          </w:p>
        </w:tc>
      </w:tr>
    </w:tbl>
    <w:p>
      <w:pPr>
        <w:spacing w:after="100" w:before="200"/>
      </w:pPr>
      <w:r>
        <w:rPr>
          <w:rFonts w:ascii="Arial" w:cs="Arial" w:eastAsia="Arial" w:hAnsi="Arial"/>
          <w:b/>
          <w:bCs/>
          <w:color w:val="111313"/>
          <w:sz w:val="22"/>
          <w:szCs w:val="22"/>
        </w:rPr>
        <w:t xml:space="preserve">Colaborador / Especialista (papel de evolução)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Borders>
              <w:left w:val="single" w:color="390007" w:sz="24"/>
            </w:tcBorders>
            <w:shd w:fill="F7F3EC" w:val="clear"/>
            <w:tcMar>
              <w:top w:type="dxa" w:w="160"/>
              <w:left w:type="dxa" w:w="200"/>
              <w:bottom w:type="dxa" w:w="160"/>
              <w:right w:type="dxa" w:w="200"/>
            </w:tcMar>
          </w:tcPr>
          <w:p>
            <w:r>
              <w:rPr>
                <w:rFonts w:ascii="Georgia" w:cs="Georgia" w:eastAsia="Georgia" w:hAnsi="Georgia"/>
                <w:i/>
                <w:iCs/>
                <w:color w:val="111313"/>
                <w:sz w:val="21"/>
                <w:szCs w:val="21"/>
              </w:rPr>
              <w:t xml:space="preserve">"Quando eu tenho conhecimento aprofundado sobre uma tradição, quero contribuir com conteúdo identificado, para que meu trabalho receba crédito sem se confundir com o acervo curado oficial."</w:t>
            </w:r>
          </w:p>
        </w:tc>
      </w:tr>
    </w:tbl>
    <w:p>
      <w:pPr>
        <w:pStyle w:val="Heading2"/>
        <w:spacing w:after="150" w:before="300"/>
      </w:pPr>
      <w:r>
        <w:rPr>
          <w:rFonts w:ascii="Arial" w:cs="Arial" w:eastAsia="Arial" w:hAnsi="Arial"/>
          <w:b/>
          <w:bCs/>
          <w:color w:val="111313"/>
          <w:sz w:val="26"/>
          <w:szCs w:val="26"/>
        </w:rPr>
        <w:t xml:space="preserve">3.2 North Star Metric</w:t>
      </w:r>
    </w:p>
    <w:p>
      <w:pPr>
        <w:spacing w:after="160"/>
      </w:pPr>
      <w:r>
        <w:rPr>
          <w:rFonts w:ascii="Georgia" w:cs="Georgia" w:eastAsia="Georgia" w:hAnsi="Georgia"/>
          <w:i w:val="false"/>
          <w:iCs w:val="false"/>
          <w:color w:val="111313"/>
          <w:sz w:val="21"/>
          <w:szCs w:val="21"/>
        </w:rPr>
        <w:t xml:space="preserve">A North Star Metric captura o momento em que o portal entrega valor real de exploração comparativa: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Borders>
              <w:left w:val="single" w:color="390007" w:sz="24"/>
            </w:tcBorders>
            <w:shd w:fill="F7F3EC" w:val="clear"/>
            <w:tcMar>
              <w:top w:type="dxa" w:w="160"/>
              <w:left w:type="dxa" w:w="200"/>
              <w:bottom w:type="dxa" w:w="160"/>
              <w:right w:type="dxa" w:w="200"/>
            </w:tcMar>
          </w:tcPr>
          <w:p>
            <w:r>
              <w:rPr>
                <w:rFonts w:ascii="Georgia" w:cs="Georgia" w:eastAsia="Georgia" w:hAnsi="Georgia"/>
                <w:i/>
                <w:iCs/>
                <w:color w:val="111313"/>
                <w:sz w:val="21"/>
                <w:szCs w:val="21"/>
              </w:rPr>
              <w:t xml:space="preserve">Taxa de retorno de buscadores que exploram mais de uma Sala.
Meta numérica: a definir após baseline, orçamento e estratégia de lançamento — não há, neste momento, dados empíricos suficientes para estabelecer um número responsável.</w:t>
            </w:r>
          </w:p>
        </w:tc>
      </w:tr>
    </w:tbl>
    <w:p>
      <w:pPr>
        <w:pStyle w:val="Heading2"/>
        <w:spacing w:after="150" w:before="300"/>
      </w:pPr>
      <w:r>
        <w:rPr>
          <w:rFonts w:ascii="Arial" w:cs="Arial" w:eastAsia="Arial" w:hAnsi="Arial"/>
          <w:b/>
          <w:bCs/>
          <w:color w:val="111313"/>
          <w:sz w:val="26"/>
          <w:szCs w:val="26"/>
        </w:rPr>
        <w:t xml:space="preserve">3.3 Métricas de Suporte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6200"/>
        <w:gridCol w:w="2000"/>
      </w:tblGrid>
      <w:tr>
        <w:trPr>
          <w:tblHeader/>
        </w:trPr>
        <w:tc>
          <w:tcPr>
            <w:tcW w:type="dxa" w:w="2000"/>
            <w:shd w:fill="111313" w:val="clear"/>
            <w:tcMar>
              <w:top w:type="dxa" w:w="100"/>
              <w:left w:type="dxa" w:w="120"/>
              <w:bottom w:type="dxa" w:w="100"/>
              <w:right w:type="dxa" w:w="120"/>
            </w:tcMar>
          </w:tcPr>
          <w:p>
            <w:r>
              <w:rPr>
                <w:rFonts w:ascii="Arial" w:cs="Arial" w:eastAsia="Arial" w:hAnsi="Arial"/>
                <w:b/>
                <w:bCs/>
                <w:color w:val="FFFFFF"/>
                <w:sz w:val="19"/>
                <w:szCs w:val="19"/>
              </w:rPr>
              <w:t xml:space="preserve">Tipo</w:t>
            </w:r>
          </w:p>
        </w:tc>
        <w:tc>
          <w:tcPr>
            <w:tcW w:type="dxa" w:w="6200"/>
            <w:shd w:fill="111313" w:val="clear"/>
            <w:tcMar>
              <w:top w:type="dxa" w:w="100"/>
              <w:left w:type="dxa" w:w="120"/>
              <w:bottom w:type="dxa" w:w="100"/>
              <w:right w:type="dxa" w:w="120"/>
            </w:tcMar>
          </w:tcPr>
          <w:p>
            <w:r>
              <w:rPr>
                <w:rFonts w:ascii="Arial" w:cs="Arial" w:eastAsia="Arial" w:hAnsi="Arial"/>
                <w:b/>
                <w:bCs/>
                <w:color w:val="FFFFFF"/>
                <w:sz w:val="19"/>
                <w:szCs w:val="19"/>
              </w:rPr>
              <w:t xml:space="preserve">Métrica</w:t>
            </w:r>
          </w:p>
        </w:tc>
        <w:tc>
          <w:tcPr>
            <w:tcW w:type="dxa" w:w="2000"/>
            <w:shd w:fill="111313" w:val="clear"/>
            <w:tcMar>
              <w:top w:type="dxa" w:w="100"/>
              <w:left w:type="dxa" w:w="120"/>
              <w:bottom w:type="dxa" w:w="100"/>
              <w:right w:type="dxa" w:w="120"/>
            </w:tcMar>
          </w:tcPr>
          <w:p>
            <w:r>
              <w:rPr>
                <w:rFonts w:ascii="Arial" w:cs="Arial" w:eastAsia="Arial" w:hAnsi="Arial"/>
                <w:b/>
                <w:bCs/>
                <w:color w:val="FFFFFF"/>
                <w:sz w:val="19"/>
                <w:szCs w:val="19"/>
              </w:rPr>
              <w:t xml:space="preserve">Meta MVP</w:t>
            </w:r>
          </w:p>
        </w:tc>
      </w:tr>
      <w:tr>
        <w:tc>
          <w:tcPr>
            <w:tcW w:type="dxa" w:w="20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Ativação</w:t>
            </w:r>
          </w:p>
        </w:tc>
        <w:tc>
          <w:tcPr>
            <w:tcW w:type="dxa" w:w="6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 de visitantes que completam a leitura de um conteúdo completo na primeira sessão</w:t>
            </w:r>
          </w:p>
        </w:tc>
        <w:tc>
          <w:tcPr>
            <w:tcW w:type="dxa" w:w="20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a definir após baseline</w:t>
            </w:r>
          </w:p>
        </w:tc>
      </w:tr>
      <w:tr>
        <w:tc>
          <w:tcPr>
            <w:tcW w:type="dxa" w:w="20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Engajamento</w:t>
            </w:r>
          </w:p>
        </w:tc>
        <w:tc>
          <w:tcPr>
            <w:tcW w:type="dxa" w:w="62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Conteúdos explorados por buscador recorrente por semana</w:t>
            </w:r>
          </w:p>
        </w:tc>
        <w:tc>
          <w:tcPr>
            <w:tcW w:type="dxa" w:w="20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a definir após baseline</w:t>
            </w:r>
          </w:p>
        </w:tc>
      </w:tr>
      <w:tr>
        <w:tc>
          <w:tcPr>
            <w:tcW w:type="dxa" w:w="20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Comparação</w:t>
            </w:r>
          </w:p>
        </w:tc>
        <w:tc>
          <w:tcPr>
            <w:tcW w:type="dxa" w:w="6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 de buscas realizadas em modo comparativo (vs. busca simples por Sala)</w:t>
            </w:r>
          </w:p>
        </w:tc>
        <w:tc>
          <w:tcPr>
            <w:tcW w:type="dxa" w:w="20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a definir após baseline</w:t>
            </w:r>
          </w:p>
        </w:tc>
      </w:tr>
      <w:tr>
        <w:tc>
          <w:tcPr>
            <w:tcW w:type="dxa" w:w="20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Confiança na IA</w:t>
            </w:r>
          </w:p>
        </w:tc>
        <w:tc>
          <w:tcPr>
            <w:tcW w:type="dxa" w:w="62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 de respostas do assistente avaliadas como úteis pelo usuário</w:t>
            </w:r>
          </w:p>
        </w:tc>
        <w:tc>
          <w:tcPr>
            <w:tcW w:type="dxa" w:w="20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a definir após baseline</w:t>
            </w:r>
          </w:p>
        </w:tc>
      </w:tr>
      <w:tr>
        <w:tc>
          <w:tcPr>
            <w:tcW w:type="dxa" w:w="20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Curadoria</w:t>
            </w:r>
          </w:p>
        </w:tc>
        <w:tc>
          <w:tcPr>
            <w:tcW w:type="dxa" w:w="6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Proporção de conteúdo com fonte primária/editorial rastreável sobre o total publicado</w:t>
            </w:r>
          </w:p>
        </w:tc>
        <w:tc>
          <w:tcPr>
            <w:tcW w:type="dxa" w:w="20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100% (regra de domínio, não meta de crescimento)</w:t>
            </w:r>
          </w:p>
        </w:tc>
      </w:tr>
    </w:tbl>
    <w:p>
      <w:pPr>
        <w:pStyle w:val="Heading2"/>
        <w:spacing w:after="150" w:before="300"/>
      </w:pPr>
      <w:r>
        <w:rPr>
          <w:rFonts w:ascii="Arial" w:cs="Arial" w:eastAsia="Arial" w:hAnsi="Arial"/>
          <w:b/>
          <w:bCs/>
          <w:color w:val="111313"/>
          <w:sz w:val="26"/>
          <w:szCs w:val="26"/>
        </w:rPr>
        <w:t xml:space="preserve">3.4 Hipótese Lean UX Central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Borders>
              <w:left w:val="single" w:color="390007" w:sz="24"/>
            </w:tcBorders>
            <w:shd w:fill="F7F3EC" w:val="clear"/>
            <w:tcMar>
              <w:top w:type="dxa" w:w="160"/>
              <w:left w:type="dxa" w:w="200"/>
              <w:bottom w:type="dxa" w:w="160"/>
              <w:right w:type="dxa" w:w="200"/>
            </w:tcMar>
          </w:tcPr>
          <w:p>
            <w:r>
              <w:rPr>
                <w:rFonts w:ascii="Georgia" w:cs="Georgia" w:eastAsia="Georgia" w:hAnsi="Georgia"/>
                <w:i/>
                <w:iCs/>
                <w:color w:val="111313"/>
                <w:sz w:val="21"/>
                <w:szCs w:val="21"/>
              </w:rPr>
              <w:t xml:space="preserve">"Acreditamos que, ao tornar a comparação entre tradições visualmente clara e sempre rastreável à fonte, aumentaremos a taxa de retorno e a exploração de múltiplas Salas, em comparação com uma busca não estruturada em fóruns, redes sociais ou sites religiosos avulsos."</w:t>
            </w:r>
          </w:p>
        </w:tc>
      </w:tr>
    </w:tbl>
    <w:p>
      <w:pPr>
        <w:pStyle w:val="Heading1"/>
        <w:pBdr>
          <w:bottom w:val="single" w:color="390007" w:sz="8" w:space="4"/>
        </w:pBdr>
        <w:spacing w:after="200" w:before="400"/>
      </w:pPr>
      <w:r>
        <w:rPr>
          <w:rFonts w:ascii="Arial" w:cs="Arial" w:eastAsia="Arial" w:hAnsi="Arial"/>
          <w:b/>
          <w:bCs/>
          <w:color w:val="390007"/>
          <w:sz w:val="32"/>
          <w:szCs w:val="32"/>
        </w:rPr>
        <w:t xml:space="preserve">4. Atores do Sistema</w:t>
      </w:r>
    </w:p>
    <w:p>
      <w:pPr>
        <w:spacing w:after="160"/>
      </w:pPr>
      <w:r>
        <w:rPr>
          <w:rFonts w:ascii="Georgia" w:cs="Georgia" w:eastAsia="Georgia" w:hAnsi="Georgia"/>
          <w:i w:val="false"/>
          <w:iCs w:val="false"/>
          <w:color w:val="111313"/>
          <w:sz w:val="21"/>
          <w:szCs w:val="21"/>
        </w:rPr>
        <w:t xml:space="preserve">O sistema identifica os seguintes perfis de usuário com papéis e permissões distintos. Nem todos precisam existir no MVP — ver prioridades no capítulo 5.</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111313" w:val="clear"/>
            <w:tcMar>
              <w:top w:type="dxa" w:w="100"/>
              <w:left w:type="dxa" w:w="120"/>
              <w:bottom w:type="dxa" w:w="100"/>
              <w:right w:type="dxa" w:w="120"/>
            </w:tcMar>
          </w:tcPr>
          <w:p>
            <w:r>
              <w:rPr>
                <w:rFonts w:ascii="Arial" w:cs="Arial" w:eastAsia="Arial" w:hAnsi="Arial"/>
                <w:b/>
                <w:bCs/>
                <w:color w:val="FFFFFF"/>
                <w:sz w:val="19"/>
                <w:szCs w:val="19"/>
              </w:rPr>
              <w:t xml:space="preserve">Ator</w:t>
            </w:r>
          </w:p>
        </w:tc>
        <w:tc>
          <w:tcPr>
            <w:tcW w:type="dxa" w:w="7800"/>
            <w:shd w:fill="111313" w:val="clear"/>
            <w:tcMar>
              <w:top w:type="dxa" w:w="100"/>
              <w:left w:type="dxa" w:w="120"/>
              <w:bottom w:type="dxa" w:w="100"/>
              <w:right w:type="dxa" w:w="120"/>
            </w:tcMar>
          </w:tcPr>
          <w:p>
            <w:r>
              <w:rPr>
                <w:rFonts w:ascii="Arial" w:cs="Arial" w:eastAsia="Arial" w:hAnsi="Arial"/>
                <w:b/>
                <w:bCs/>
                <w:color w:val="FFFFFF"/>
                <w:sz w:val="19"/>
                <w:szCs w:val="19"/>
              </w:rPr>
              <w:t xml:space="preserve">Responsabilidades</w:t>
            </w:r>
          </w:p>
        </w:tc>
      </w:tr>
      <w:tr>
        <w:tc>
          <w:tcPr>
            <w:tcW w:type="dxa" w:w="24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Visitante</w:t>
            </w:r>
          </w:p>
        </w:tc>
        <w:tc>
          <w:tcPr>
            <w:tcW w:type="dxa" w:w="78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Acessa o acervo público sem cadastro: navega Salas, busca por tema, lê conteúdo e usa o assistente de IA. Não é exigida fé nem identificação para explorar o portal.</w:t>
            </w:r>
          </w:p>
        </w:tc>
      </w:tr>
      <w:tr>
        <w:tc>
          <w:tcPr>
            <w:tcW w:type="dxa" w:w="24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Membro (cadastrado)</w:t>
            </w:r>
          </w:p>
        </w:tc>
        <w:tc>
          <w:tcPr>
            <w:tcW w:type="dxa" w:w="78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Cadastro opcional via e-mail e senha ou pseudônimo. Salva favoritos, acompanha trilhas de estudo e personaliza interesses. A declaração de crença é sempre opcional e privada por padrão.</w:t>
            </w:r>
          </w:p>
        </w:tc>
      </w:tr>
      <w:tr>
        <w:tc>
          <w:tcPr>
            <w:tcW w:type="dxa" w:w="24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Colaborador / Especialista (evolução)</w:t>
            </w:r>
          </w:p>
        </w:tc>
        <w:tc>
          <w:tcPr>
            <w:tcW w:type="dxa" w:w="78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Propõe conteúdo identificado ao acervo. A contribuição é sinalizada como tal e não herda automaticamente o status de curadoria oficial.</w:t>
            </w:r>
          </w:p>
        </w:tc>
      </w:tr>
      <w:tr>
        <w:tc>
          <w:tcPr>
            <w:tcW w:type="dxa" w:w="24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Anfitrião (evolução)</w:t>
            </w:r>
          </w:p>
        </w:tc>
        <w:tc>
          <w:tcPr>
            <w:tcW w:type="dxa" w:w="78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Especialista com Sala própria dentro do acervo, sujeito às diretrizes editoriais e de curadoria da plataforma.</w:t>
            </w:r>
          </w:p>
        </w:tc>
      </w:tr>
      <w:tr>
        <w:tc>
          <w:tcPr>
            <w:tcW w:type="dxa" w:w="24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Moderador</w:t>
            </w:r>
          </w:p>
        </w:tc>
        <w:tc>
          <w:tcPr>
            <w:tcW w:type="dxa" w:w="78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Modera comentários e contribuições comunitárias conforme as regras de convivência. Decisões sensíveis exigem supervisão humana, mesmo com apoio de triagem automática.</w:t>
            </w:r>
          </w:p>
        </w:tc>
      </w:tr>
      <w:tr>
        <w:tc>
          <w:tcPr>
            <w:tcW w:type="dxa" w:w="24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Administrador</w:t>
            </w:r>
          </w:p>
        </w:tc>
        <w:tc>
          <w:tcPr>
            <w:tcW w:type="dxa" w:w="78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Curadoria oficial do acervo: cria, edita e publica Salas e conteúdos; define metadados e proveniência; gerencia papéis de usuário; acessa métricas agregadas.</w:t>
            </w:r>
          </w:p>
        </w:tc>
      </w:tr>
    </w:tbl>
    <w:p>
      <w:pPr>
        <w:pStyle w:val="Heading1"/>
        <w:pBdr>
          <w:bottom w:val="single" w:color="390007" w:sz="8" w:space="4"/>
        </w:pBdr>
        <w:spacing w:after="200" w:before="400"/>
      </w:pPr>
      <w:r>
        <w:rPr>
          <w:rFonts w:ascii="Arial" w:cs="Arial" w:eastAsia="Arial" w:hAnsi="Arial"/>
          <w:b/>
          <w:bCs/>
          <w:color w:val="390007"/>
          <w:sz w:val="32"/>
          <w:szCs w:val="32"/>
        </w:rPr>
        <w:t xml:space="preserve">5. Requisitos Funcionais (RF)</w:t>
      </w:r>
    </w:p>
    <w:p>
      <w:pPr>
        <w:spacing w:after="160"/>
      </w:pPr>
      <w:r>
        <w:rPr>
          <w:rFonts w:ascii="Georgia" w:cs="Georgia" w:eastAsia="Georgia" w:hAnsi="Georgia"/>
          <w:i w:val="false"/>
          <w:iCs w:val="false"/>
          <w:color w:val="111313"/>
          <w:sz w:val="21"/>
          <w:szCs w:val="21"/>
        </w:rPr>
        <w:t xml:space="preserve">Os Requisitos Funcionais descrevem as funcionalidades, comportamentos e ações que o sistema deve executar para atender às necessidades dos usuários. Estão organizados por módulo funcional, refletindo as três funcionalidades centrais do MVP definidas no levantamento de requisitos: acervo estruturado em Salas, busca e comparação transversal, e assistente de IA baseado no acervo.</w:t>
      </w:r>
    </w:p>
    <w:p>
      <w:pPr>
        <w:pStyle w:val="Heading2"/>
        <w:spacing w:after="150" w:before="300"/>
      </w:pPr>
      <w:r>
        <w:rPr>
          <w:rFonts w:ascii="Arial" w:cs="Arial" w:eastAsia="Arial" w:hAnsi="Arial"/>
          <w:b/>
          <w:bCs/>
          <w:color w:val="111313"/>
          <w:sz w:val="26"/>
          <w:szCs w:val="26"/>
        </w:rPr>
        <w:t xml:space="preserve">5.1 Módulo de Autenticação e Gestão de Usuários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7200"/>
        <w:gridCol w:w="1600"/>
      </w:tblGrid>
      <w:tr>
        <w:trPr>
          <w:tblHeader/>
        </w:trPr>
        <w:tc>
          <w:tcPr>
            <w:tcW w:type="dxa" w:w="1200"/>
            <w:shd w:fill="111313" w:val="clear"/>
            <w:tcMar>
              <w:top w:type="dxa" w:w="100"/>
              <w:left w:type="dxa" w:w="120"/>
              <w:bottom w:type="dxa" w:w="100"/>
              <w:right w:type="dxa" w:w="120"/>
            </w:tcMar>
          </w:tcPr>
          <w:p>
            <w:r>
              <w:rPr>
                <w:rFonts w:ascii="Arial" w:cs="Arial" w:eastAsia="Arial" w:hAnsi="Arial"/>
                <w:b/>
                <w:bCs/>
                <w:color w:val="FFFFFF"/>
                <w:sz w:val="19"/>
                <w:szCs w:val="19"/>
              </w:rPr>
              <w:t xml:space="preserve">ID</w:t>
            </w:r>
          </w:p>
        </w:tc>
        <w:tc>
          <w:tcPr>
            <w:tcW w:type="dxa" w:w="7200"/>
            <w:shd w:fill="111313" w:val="clear"/>
            <w:tcMar>
              <w:top w:type="dxa" w:w="100"/>
              <w:left w:type="dxa" w:w="120"/>
              <w:bottom w:type="dxa" w:w="100"/>
              <w:right w:type="dxa" w:w="120"/>
            </w:tcMar>
          </w:tcPr>
          <w:p>
            <w:r>
              <w:rPr>
                <w:rFonts w:ascii="Arial" w:cs="Arial" w:eastAsia="Arial" w:hAnsi="Arial"/>
                <w:b/>
                <w:bCs/>
                <w:color w:val="FFFFFF"/>
                <w:sz w:val="19"/>
                <w:szCs w:val="19"/>
              </w:rPr>
              <w:t xml:space="preserve">Descrição</w:t>
            </w:r>
          </w:p>
        </w:tc>
        <w:tc>
          <w:tcPr>
            <w:tcW w:type="dxa" w:w="1600"/>
            <w:shd w:fill="111313" w:val="clear"/>
            <w:tcMar>
              <w:top w:type="dxa" w:w="100"/>
              <w:left w:type="dxa" w:w="120"/>
              <w:bottom w:type="dxa" w:w="100"/>
              <w:right w:type="dxa" w:w="120"/>
            </w:tcMar>
          </w:tcPr>
          <w:p>
            <w:r>
              <w:rPr>
                <w:rFonts w:ascii="Arial" w:cs="Arial" w:eastAsia="Arial" w:hAnsi="Arial"/>
                <w:b/>
                <w:bCs/>
                <w:color w:val="FFFFFF"/>
                <w:sz w:val="19"/>
                <w:szCs w:val="19"/>
              </w:rPr>
              <w:t xml:space="preserve">Prioridade</w:t>
            </w:r>
          </w:p>
        </w:tc>
      </w:tr>
      <w:tr>
        <w:tc>
          <w:tcPr>
            <w:tcW w:type="dxa" w:w="1200"/>
            <w:shd w:fill="FFFFFF" w:val="clear"/>
            <w:tcMar>
              <w:top w:type="dxa" w:w="100"/>
              <w:left w:type="dxa" w:w="120"/>
              <w:bottom w:type="dxa" w:w="100"/>
              <w:right w:type="dxa" w:w="120"/>
            </w:tcMar>
          </w:tcPr>
          <w:p>
            <w:r>
              <w:rPr>
                <w:rFonts w:ascii="Arial" w:cs="Arial" w:eastAsia="Arial" w:hAnsi="Arial"/>
                <w:b/>
                <w:bCs/>
                <w:color w:val="111313"/>
                <w:sz w:val="19"/>
                <w:szCs w:val="19"/>
              </w:rPr>
              <w:t xml:space="preserve">RF-01</w:t>
            </w:r>
          </w:p>
        </w:tc>
        <w:tc>
          <w:tcPr>
            <w:tcW w:type="dxa" w:w="7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permitir cadastro opcional de novos usuários com os campos mínimos: e-mail, senha e nome ou pseudônimo.</w:t>
            </w:r>
          </w:p>
        </w:tc>
        <w:tc>
          <w:tcPr>
            <w:tcW w:type="dxa" w:w="1600"/>
            <w:shd w:fill="FFFFFF"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7F3EC" w:val="clear"/>
            <w:tcMar>
              <w:top w:type="dxa" w:w="100"/>
              <w:left w:type="dxa" w:w="120"/>
              <w:bottom w:type="dxa" w:w="100"/>
              <w:right w:type="dxa" w:w="120"/>
            </w:tcMar>
          </w:tcPr>
          <w:p>
            <w:r>
              <w:rPr>
                <w:rFonts w:ascii="Arial" w:cs="Arial" w:eastAsia="Arial" w:hAnsi="Arial"/>
                <w:b/>
                <w:bCs/>
                <w:color w:val="111313"/>
                <w:sz w:val="19"/>
                <w:szCs w:val="19"/>
              </w:rPr>
              <w:t xml:space="preserve">RF-02</w:t>
            </w:r>
          </w:p>
        </w:tc>
        <w:tc>
          <w:tcPr>
            <w:tcW w:type="dxa" w:w="72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autenticar usuários via e-mail e senha.</w:t>
            </w:r>
          </w:p>
        </w:tc>
        <w:tc>
          <w:tcPr>
            <w:tcW w:type="dxa" w:w="1600"/>
            <w:shd w:fill="F7F3EC"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FFFFF" w:val="clear"/>
            <w:tcMar>
              <w:top w:type="dxa" w:w="100"/>
              <w:left w:type="dxa" w:w="120"/>
              <w:bottom w:type="dxa" w:w="100"/>
              <w:right w:type="dxa" w:w="120"/>
            </w:tcMar>
          </w:tcPr>
          <w:p>
            <w:r>
              <w:rPr>
                <w:rFonts w:ascii="Arial" w:cs="Arial" w:eastAsia="Arial" w:hAnsi="Arial"/>
                <w:b/>
                <w:bCs/>
                <w:color w:val="111313"/>
                <w:sz w:val="19"/>
                <w:szCs w:val="19"/>
              </w:rPr>
              <w:t xml:space="preserve">RF-03</w:t>
            </w:r>
          </w:p>
        </w:tc>
        <w:tc>
          <w:tcPr>
            <w:tcW w:type="dxa" w:w="7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oferecer recuperação de senha via e-mail com link temporário de redefinição.</w:t>
            </w:r>
          </w:p>
        </w:tc>
        <w:tc>
          <w:tcPr>
            <w:tcW w:type="dxa" w:w="1600"/>
            <w:shd w:fill="FFFFFF"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7F3EC" w:val="clear"/>
            <w:tcMar>
              <w:top w:type="dxa" w:w="100"/>
              <w:left w:type="dxa" w:w="120"/>
              <w:bottom w:type="dxa" w:w="100"/>
              <w:right w:type="dxa" w:w="120"/>
            </w:tcMar>
          </w:tcPr>
          <w:p>
            <w:r>
              <w:rPr>
                <w:rFonts w:ascii="Arial" w:cs="Arial" w:eastAsia="Arial" w:hAnsi="Arial"/>
                <w:b/>
                <w:bCs/>
                <w:color w:val="111313"/>
                <w:sz w:val="19"/>
                <w:szCs w:val="19"/>
              </w:rPr>
              <w:t xml:space="preserve">RF-04</w:t>
            </w:r>
          </w:p>
        </w:tc>
        <w:tc>
          <w:tcPr>
            <w:tcW w:type="dxa" w:w="72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permitir o uso de pseudônimo como identidade pública, sem exigir exposição do nome civil aos demais usuários.</w:t>
            </w:r>
          </w:p>
        </w:tc>
        <w:tc>
          <w:tcPr>
            <w:tcW w:type="dxa" w:w="1600"/>
            <w:shd w:fill="F7F3EC"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FFFFF" w:val="clear"/>
            <w:tcMar>
              <w:top w:type="dxa" w:w="100"/>
              <w:left w:type="dxa" w:w="120"/>
              <w:bottom w:type="dxa" w:w="100"/>
              <w:right w:type="dxa" w:w="120"/>
            </w:tcMar>
          </w:tcPr>
          <w:p>
            <w:r>
              <w:rPr>
                <w:rFonts w:ascii="Arial" w:cs="Arial" w:eastAsia="Arial" w:hAnsi="Arial"/>
                <w:b/>
                <w:bCs/>
                <w:color w:val="111313"/>
                <w:sz w:val="19"/>
                <w:szCs w:val="19"/>
              </w:rPr>
              <w:t xml:space="preserve">RF-05</w:t>
            </w:r>
          </w:p>
        </w:tc>
        <w:tc>
          <w:tcPr>
            <w:tcW w:type="dxa" w:w="7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permitir acesso completo ao acervo público sem necessidade de cadastro ou login.</w:t>
            </w:r>
          </w:p>
        </w:tc>
        <w:tc>
          <w:tcPr>
            <w:tcW w:type="dxa" w:w="1600"/>
            <w:shd w:fill="FFFFFF"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7F3EC" w:val="clear"/>
            <w:tcMar>
              <w:top w:type="dxa" w:w="100"/>
              <w:left w:type="dxa" w:w="120"/>
              <w:bottom w:type="dxa" w:w="100"/>
              <w:right w:type="dxa" w:w="120"/>
            </w:tcMar>
          </w:tcPr>
          <w:p>
            <w:r>
              <w:rPr>
                <w:rFonts w:ascii="Arial" w:cs="Arial" w:eastAsia="Arial" w:hAnsi="Arial"/>
                <w:b/>
                <w:bCs/>
                <w:color w:val="111313"/>
                <w:sz w:val="19"/>
                <w:szCs w:val="19"/>
              </w:rPr>
              <w:t xml:space="preserve">RF-06</w:t>
            </w:r>
          </w:p>
        </w:tc>
        <w:tc>
          <w:tcPr>
            <w:tcW w:type="dxa" w:w="72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permitir que o usuário edite seu perfil pessoal: nome ou pseudônimo, foto e biografia opcional.</w:t>
            </w:r>
          </w:p>
        </w:tc>
        <w:tc>
          <w:tcPr>
            <w:tcW w:type="dxa" w:w="1600"/>
            <w:shd w:fill="F7F3EC" w:val="clear"/>
            <w:tcMar>
              <w:top w:type="dxa" w:w="100"/>
              <w:left w:type="dxa" w:w="120"/>
              <w:bottom w:type="dxa" w:w="100"/>
              <w:right w:type="dxa" w:w="120"/>
            </w:tcMar>
          </w:tcPr>
          <w:p>
            <w:r>
              <w:rPr>
                <w:rFonts w:ascii="Arial" w:cs="Arial" w:eastAsia="Arial" w:hAnsi="Arial"/>
                <w:b/>
                <w:bCs/>
                <w:color w:val="8A6D1A"/>
                <w:sz w:val="19"/>
                <w:szCs w:val="19"/>
              </w:rPr>
              <w:t xml:space="preserve">Média</w:t>
            </w:r>
          </w:p>
        </w:tc>
      </w:tr>
      <w:tr>
        <w:tc>
          <w:tcPr>
            <w:tcW w:type="dxa" w:w="1200"/>
            <w:shd w:fill="FFFFFF" w:val="clear"/>
            <w:tcMar>
              <w:top w:type="dxa" w:w="100"/>
              <w:left w:type="dxa" w:w="120"/>
              <w:bottom w:type="dxa" w:w="100"/>
              <w:right w:type="dxa" w:w="120"/>
            </w:tcMar>
          </w:tcPr>
          <w:p>
            <w:r>
              <w:rPr>
                <w:rFonts w:ascii="Arial" w:cs="Arial" w:eastAsia="Arial" w:hAnsi="Arial"/>
                <w:b/>
                <w:bCs/>
                <w:color w:val="111313"/>
                <w:sz w:val="19"/>
                <w:szCs w:val="19"/>
              </w:rPr>
              <w:t xml:space="preserve">RF-07</w:t>
            </w:r>
          </w:p>
        </w:tc>
        <w:tc>
          <w:tcPr>
            <w:tcW w:type="dxa" w:w="7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A declaração de crença, tradição de interesse ou convicção religiosa deve ser sempre opcional, privada por padrão e acompanhada de explicação clara sobre sua finalidade.</w:t>
            </w:r>
          </w:p>
        </w:tc>
        <w:tc>
          <w:tcPr>
            <w:tcW w:type="dxa" w:w="1600"/>
            <w:shd w:fill="FFFFFF"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7F3EC" w:val="clear"/>
            <w:tcMar>
              <w:top w:type="dxa" w:w="100"/>
              <w:left w:type="dxa" w:w="120"/>
              <w:bottom w:type="dxa" w:w="100"/>
              <w:right w:type="dxa" w:w="120"/>
            </w:tcMar>
          </w:tcPr>
          <w:p>
            <w:r>
              <w:rPr>
                <w:rFonts w:ascii="Arial" w:cs="Arial" w:eastAsia="Arial" w:hAnsi="Arial"/>
                <w:b/>
                <w:bCs/>
                <w:color w:val="111313"/>
                <w:sz w:val="19"/>
                <w:szCs w:val="19"/>
              </w:rPr>
              <w:t xml:space="preserve">RF-08</w:t>
            </w:r>
          </w:p>
        </w:tc>
        <w:tc>
          <w:tcPr>
            <w:tcW w:type="dxa" w:w="72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Administrador deve poder criar, editar, ativar e desativar contas de usuários e atribuir papéis na plataforma.</w:t>
            </w:r>
          </w:p>
        </w:tc>
        <w:tc>
          <w:tcPr>
            <w:tcW w:type="dxa" w:w="1600"/>
            <w:shd w:fill="F7F3EC"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bl>
    <w:p>
      <w:pPr>
        <w:pStyle w:val="Heading2"/>
        <w:spacing w:after="150" w:before="300"/>
      </w:pPr>
      <w:r>
        <w:rPr>
          <w:rFonts w:ascii="Arial" w:cs="Arial" w:eastAsia="Arial" w:hAnsi="Arial"/>
          <w:b/>
          <w:bCs/>
          <w:color w:val="111313"/>
          <w:sz w:val="26"/>
          <w:szCs w:val="26"/>
        </w:rPr>
        <w:t xml:space="preserve">5.2 Módulo de Acervo e Salas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7200"/>
        <w:gridCol w:w="1600"/>
      </w:tblGrid>
      <w:tr>
        <w:trPr>
          <w:tblHeader/>
        </w:trPr>
        <w:tc>
          <w:tcPr>
            <w:tcW w:type="dxa" w:w="1200"/>
            <w:shd w:fill="111313" w:val="clear"/>
            <w:tcMar>
              <w:top w:type="dxa" w:w="100"/>
              <w:left w:type="dxa" w:w="120"/>
              <w:bottom w:type="dxa" w:w="100"/>
              <w:right w:type="dxa" w:w="120"/>
            </w:tcMar>
          </w:tcPr>
          <w:p>
            <w:r>
              <w:rPr>
                <w:rFonts w:ascii="Arial" w:cs="Arial" w:eastAsia="Arial" w:hAnsi="Arial"/>
                <w:b/>
                <w:bCs/>
                <w:color w:val="FFFFFF"/>
                <w:sz w:val="19"/>
                <w:szCs w:val="19"/>
              </w:rPr>
              <w:t xml:space="preserve">ID</w:t>
            </w:r>
          </w:p>
        </w:tc>
        <w:tc>
          <w:tcPr>
            <w:tcW w:type="dxa" w:w="7200"/>
            <w:shd w:fill="111313" w:val="clear"/>
            <w:tcMar>
              <w:top w:type="dxa" w:w="100"/>
              <w:left w:type="dxa" w:w="120"/>
              <w:bottom w:type="dxa" w:w="100"/>
              <w:right w:type="dxa" w:w="120"/>
            </w:tcMar>
          </w:tcPr>
          <w:p>
            <w:r>
              <w:rPr>
                <w:rFonts w:ascii="Arial" w:cs="Arial" w:eastAsia="Arial" w:hAnsi="Arial"/>
                <w:b/>
                <w:bCs/>
                <w:color w:val="FFFFFF"/>
                <w:sz w:val="19"/>
                <w:szCs w:val="19"/>
              </w:rPr>
              <w:t xml:space="preserve">Descrição</w:t>
            </w:r>
          </w:p>
        </w:tc>
        <w:tc>
          <w:tcPr>
            <w:tcW w:type="dxa" w:w="1600"/>
            <w:shd w:fill="111313" w:val="clear"/>
            <w:tcMar>
              <w:top w:type="dxa" w:w="100"/>
              <w:left w:type="dxa" w:w="120"/>
              <w:bottom w:type="dxa" w:w="100"/>
              <w:right w:type="dxa" w:w="120"/>
            </w:tcMar>
          </w:tcPr>
          <w:p>
            <w:r>
              <w:rPr>
                <w:rFonts w:ascii="Arial" w:cs="Arial" w:eastAsia="Arial" w:hAnsi="Arial"/>
                <w:b/>
                <w:bCs/>
                <w:color w:val="FFFFFF"/>
                <w:sz w:val="19"/>
                <w:szCs w:val="19"/>
              </w:rPr>
              <w:t xml:space="preserve">Prioridade</w:t>
            </w:r>
          </w:p>
        </w:tc>
      </w:tr>
      <w:tr>
        <w:tc>
          <w:tcPr>
            <w:tcW w:type="dxa" w:w="1200"/>
            <w:shd w:fill="FFFFFF" w:val="clear"/>
            <w:tcMar>
              <w:top w:type="dxa" w:w="100"/>
              <w:left w:type="dxa" w:w="120"/>
              <w:bottom w:type="dxa" w:w="100"/>
              <w:right w:type="dxa" w:w="120"/>
            </w:tcMar>
          </w:tcPr>
          <w:p>
            <w:r>
              <w:rPr>
                <w:rFonts w:ascii="Arial" w:cs="Arial" w:eastAsia="Arial" w:hAnsi="Arial"/>
                <w:b/>
                <w:bCs/>
                <w:color w:val="111313"/>
                <w:sz w:val="19"/>
                <w:szCs w:val="19"/>
              </w:rPr>
              <w:t xml:space="preserve">RF-09</w:t>
            </w:r>
          </w:p>
        </w:tc>
        <w:tc>
          <w:tcPr>
            <w:tcW w:type="dxa" w:w="7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exibir a lista de Salas disponíveis, com nome, símbolo, número de conteúdos e nível de aprofundamento predominante.</w:t>
            </w:r>
          </w:p>
        </w:tc>
        <w:tc>
          <w:tcPr>
            <w:tcW w:type="dxa" w:w="1600"/>
            <w:shd w:fill="FFFFFF"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7F3EC" w:val="clear"/>
            <w:tcMar>
              <w:top w:type="dxa" w:w="100"/>
              <w:left w:type="dxa" w:w="120"/>
              <w:bottom w:type="dxa" w:w="100"/>
              <w:right w:type="dxa" w:w="120"/>
            </w:tcMar>
          </w:tcPr>
          <w:p>
            <w:r>
              <w:rPr>
                <w:rFonts w:ascii="Arial" w:cs="Arial" w:eastAsia="Arial" w:hAnsi="Arial"/>
                <w:b/>
                <w:bCs/>
                <w:color w:val="111313"/>
                <w:sz w:val="19"/>
                <w:szCs w:val="19"/>
              </w:rPr>
              <w:t xml:space="preserve">RF-10</w:t>
            </w:r>
          </w:p>
        </w:tc>
        <w:tc>
          <w:tcPr>
            <w:tcW w:type="dxa" w:w="72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Cada Sala deve reunir conteúdos, fontes, glossário, temas relacionados e níveis de aprofundamento próprios.</w:t>
            </w:r>
          </w:p>
        </w:tc>
        <w:tc>
          <w:tcPr>
            <w:tcW w:type="dxa" w:w="1600"/>
            <w:shd w:fill="F7F3EC"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FFFFF" w:val="clear"/>
            <w:tcMar>
              <w:top w:type="dxa" w:w="100"/>
              <w:left w:type="dxa" w:w="120"/>
              <w:bottom w:type="dxa" w:w="100"/>
              <w:right w:type="dxa" w:w="120"/>
            </w:tcMar>
          </w:tcPr>
          <w:p>
            <w:r>
              <w:rPr>
                <w:rFonts w:ascii="Arial" w:cs="Arial" w:eastAsia="Arial" w:hAnsi="Arial"/>
                <w:b/>
                <w:bCs/>
                <w:color w:val="111313"/>
                <w:sz w:val="19"/>
                <w:szCs w:val="19"/>
              </w:rPr>
              <w:t xml:space="preserve">RF-11</w:t>
            </w:r>
          </w:p>
        </w:tc>
        <w:tc>
          <w:tcPr>
            <w:tcW w:type="dxa" w:w="7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Cada conteúdo deve conter metadados cruzados: Sala, tema, período histórico, nível de aprofundamento, formato e proveniência.</w:t>
            </w:r>
          </w:p>
        </w:tc>
        <w:tc>
          <w:tcPr>
            <w:tcW w:type="dxa" w:w="1600"/>
            <w:shd w:fill="FFFFFF"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7F3EC" w:val="clear"/>
            <w:tcMar>
              <w:top w:type="dxa" w:w="100"/>
              <w:left w:type="dxa" w:w="120"/>
              <w:bottom w:type="dxa" w:w="100"/>
              <w:right w:type="dxa" w:w="120"/>
            </w:tcMar>
          </w:tcPr>
          <w:p>
            <w:r>
              <w:rPr>
                <w:rFonts w:ascii="Arial" w:cs="Arial" w:eastAsia="Arial" w:hAnsi="Arial"/>
                <w:b/>
                <w:bCs/>
                <w:color w:val="111313"/>
                <w:sz w:val="19"/>
                <w:szCs w:val="19"/>
              </w:rPr>
              <w:t xml:space="preserve">RF-12</w:t>
            </w:r>
          </w:p>
        </w:tc>
        <w:tc>
          <w:tcPr>
            <w:tcW w:type="dxa" w:w="72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suportar a classificação de proveniência do conteúdo: fonte primária, editorial curado, contribuição de especialista, contribuição comunitária ou síntese de IA.</w:t>
            </w:r>
          </w:p>
        </w:tc>
        <w:tc>
          <w:tcPr>
            <w:tcW w:type="dxa" w:w="1600"/>
            <w:shd w:fill="F7F3EC"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FFFFF" w:val="clear"/>
            <w:tcMar>
              <w:top w:type="dxa" w:w="100"/>
              <w:left w:type="dxa" w:w="120"/>
              <w:bottom w:type="dxa" w:w="100"/>
              <w:right w:type="dxa" w:w="120"/>
            </w:tcMar>
          </w:tcPr>
          <w:p>
            <w:r>
              <w:rPr>
                <w:rFonts w:ascii="Arial" w:cs="Arial" w:eastAsia="Arial" w:hAnsi="Arial"/>
                <w:b/>
                <w:bCs/>
                <w:color w:val="111313"/>
                <w:sz w:val="19"/>
                <w:szCs w:val="19"/>
              </w:rPr>
              <w:t xml:space="preserve">RF-13</w:t>
            </w:r>
          </w:p>
        </w:tc>
        <w:tc>
          <w:tcPr>
            <w:tcW w:type="dxa" w:w="7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Administrador deve poder criar, editar, publicar e arquivar Salas e conteúdos do acervo.</w:t>
            </w:r>
          </w:p>
        </w:tc>
        <w:tc>
          <w:tcPr>
            <w:tcW w:type="dxa" w:w="1600"/>
            <w:shd w:fill="FFFFFF"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7F3EC" w:val="clear"/>
            <w:tcMar>
              <w:top w:type="dxa" w:w="100"/>
              <w:left w:type="dxa" w:w="120"/>
              <w:bottom w:type="dxa" w:w="100"/>
              <w:right w:type="dxa" w:w="120"/>
            </w:tcMar>
          </w:tcPr>
          <w:p>
            <w:r>
              <w:rPr>
                <w:rFonts w:ascii="Arial" w:cs="Arial" w:eastAsia="Arial" w:hAnsi="Arial"/>
                <w:b/>
                <w:bCs/>
                <w:color w:val="111313"/>
                <w:sz w:val="19"/>
                <w:szCs w:val="19"/>
              </w:rPr>
              <w:t xml:space="preserve">RF-14</w:t>
            </w:r>
          </w:p>
        </w:tc>
        <w:tc>
          <w:tcPr>
            <w:tcW w:type="dxa" w:w="72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disponibilizar um glossário de termos, com definição e Salas relacionadas, em formato de verbete expansível.</w:t>
            </w:r>
          </w:p>
        </w:tc>
        <w:tc>
          <w:tcPr>
            <w:tcW w:type="dxa" w:w="1600"/>
            <w:shd w:fill="F7F3EC" w:val="clear"/>
            <w:tcMar>
              <w:top w:type="dxa" w:w="100"/>
              <w:left w:type="dxa" w:w="120"/>
              <w:bottom w:type="dxa" w:w="100"/>
              <w:right w:type="dxa" w:w="120"/>
            </w:tcMar>
          </w:tcPr>
          <w:p>
            <w:r>
              <w:rPr>
                <w:rFonts w:ascii="Arial" w:cs="Arial" w:eastAsia="Arial" w:hAnsi="Arial"/>
                <w:b/>
                <w:bCs/>
                <w:color w:val="8A6D1A"/>
                <w:sz w:val="19"/>
                <w:szCs w:val="19"/>
              </w:rPr>
              <w:t xml:space="preserve">Média</w:t>
            </w:r>
          </w:p>
        </w:tc>
      </w:tr>
      <w:tr>
        <w:tc>
          <w:tcPr>
            <w:tcW w:type="dxa" w:w="1200"/>
            <w:shd w:fill="FFFFFF" w:val="clear"/>
            <w:tcMar>
              <w:top w:type="dxa" w:w="100"/>
              <w:left w:type="dxa" w:w="120"/>
              <w:bottom w:type="dxa" w:w="100"/>
              <w:right w:type="dxa" w:w="120"/>
            </w:tcMar>
          </w:tcPr>
          <w:p>
            <w:r>
              <w:rPr>
                <w:rFonts w:ascii="Arial" w:cs="Arial" w:eastAsia="Arial" w:hAnsi="Arial"/>
                <w:b/>
                <w:bCs/>
                <w:color w:val="111313"/>
                <w:sz w:val="19"/>
                <w:szCs w:val="19"/>
              </w:rPr>
              <w:t xml:space="preserve">RF-15</w:t>
            </w:r>
          </w:p>
        </w:tc>
        <w:tc>
          <w:tcPr>
            <w:tcW w:type="dxa" w:w="7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Textos protegidos por direitos autorais não devem ser reproduzidos na íntegra sem autorização ou licença; o sistema deve suportar trechos juridicamente permitidos, referência bibliográfica e direcionamento para fontes autorizadas.</w:t>
            </w:r>
          </w:p>
        </w:tc>
        <w:tc>
          <w:tcPr>
            <w:tcW w:type="dxa" w:w="1600"/>
            <w:shd w:fill="FFFFFF"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7F3EC" w:val="clear"/>
            <w:tcMar>
              <w:top w:type="dxa" w:w="100"/>
              <w:left w:type="dxa" w:w="120"/>
              <w:bottom w:type="dxa" w:w="100"/>
              <w:right w:type="dxa" w:w="120"/>
            </w:tcMar>
          </w:tcPr>
          <w:p>
            <w:r>
              <w:rPr>
                <w:rFonts w:ascii="Arial" w:cs="Arial" w:eastAsia="Arial" w:hAnsi="Arial"/>
                <w:b/>
                <w:bCs/>
                <w:color w:val="111313"/>
                <w:sz w:val="19"/>
                <w:szCs w:val="19"/>
              </w:rPr>
              <w:t xml:space="preserve">RF-16</w:t>
            </w:r>
          </w:p>
        </w:tc>
        <w:tc>
          <w:tcPr>
            <w:tcW w:type="dxa" w:w="72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exibir vídeos do YouTube vinculados a Salas e temas, com miniatura, duração e link de reprodução.</w:t>
            </w:r>
          </w:p>
        </w:tc>
        <w:tc>
          <w:tcPr>
            <w:tcW w:type="dxa" w:w="1600"/>
            <w:shd w:fill="F7F3EC" w:val="clear"/>
            <w:tcMar>
              <w:top w:type="dxa" w:w="100"/>
              <w:left w:type="dxa" w:w="120"/>
              <w:bottom w:type="dxa" w:w="100"/>
              <w:right w:type="dxa" w:w="120"/>
            </w:tcMar>
          </w:tcPr>
          <w:p>
            <w:r>
              <w:rPr>
                <w:rFonts w:ascii="Arial" w:cs="Arial" w:eastAsia="Arial" w:hAnsi="Arial"/>
                <w:b/>
                <w:bCs/>
                <w:color w:val="8A6D1A"/>
                <w:sz w:val="19"/>
                <w:szCs w:val="19"/>
              </w:rPr>
              <w:t xml:space="preserve">Média</w:t>
            </w:r>
          </w:p>
        </w:tc>
      </w:tr>
    </w:tbl>
    <w:p>
      <w:pPr>
        <w:pStyle w:val="Heading2"/>
        <w:spacing w:after="150" w:before="300"/>
      </w:pPr>
      <w:r>
        <w:rPr>
          <w:rFonts w:ascii="Arial" w:cs="Arial" w:eastAsia="Arial" w:hAnsi="Arial"/>
          <w:b/>
          <w:bCs/>
          <w:color w:val="111313"/>
          <w:sz w:val="26"/>
          <w:szCs w:val="26"/>
        </w:rPr>
        <w:t xml:space="preserve">5.3 Módulo de Busca e Comparação Transversal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7200"/>
        <w:gridCol w:w="1600"/>
      </w:tblGrid>
      <w:tr>
        <w:trPr>
          <w:tblHeader/>
        </w:trPr>
        <w:tc>
          <w:tcPr>
            <w:tcW w:type="dxa" w:w="1200"/>
            <w:shd w:fill="111313" w:val="clear"/>
            <w:tcMar>
              <w:top w:type="dxa" w:w="100"/>
              <w:left w:type="dxa" w:w="120"/>
              <w:bottom w:type="dxa" w:w="100"/>
              <w:right w:type="dxa" w:w="120"/>
            </w:tcMar>
          </w:tcPr>
          <w:p>
            <w:r>
              <w:rPr>
                <w:rFonts w:ascii="Arial" w:cs="Arial" w:eastAsia="Arial" w:hAnsi="Arial"/>
                <w:b/>
                <w:bCs/>
                <w:color w:val="FFFFFF"/>
                <w:sz w:val="19"/>
                <w:szCs w:val="19"/>
              </w:rPr>
              <w:t xml:space="preserve">ID</w:t>
            </w:r>
          </w:p>
        </w:tc>
        <w:tc>
          <w:tcPr>
            <w:tcW w:type="dxa" w:w="7200"/>
            <w:shd w:fill="111313" w:val="clear"/>
            <w:tcMar>
              <w:top w:type="dxa" w:w="100"/>
              <w:left w:type="dxa" w:w="120"/>
              <w:bottom w:type="dxa" w:w="100"/>
              <w:right w:type="dxa" w:w="120"/>
            </w:tcMar>
          </w:tcPr>
          <w:p>
            <w:r>
              <w:rPr>
                <w:rFonts w:ascii="Arial" w:cs="Arial" w:eastAsia="Arial" w:hAnsi="Arial"/>
                <w:b/>
                <w:bCs/>
                <w:color w:val="FFFFFF"/>
                <w:sz w:val="19"/>
                <w:szCs w:val="19"/>
              </w:rPr>
              <w:t xml:space="preserve">Descrição</w:t>
            </w:r>
          </w:p>
        </w:tc>
        <w:tc>
          <w:tcPr>
            <w:tcW w:type="dxa" w:w="1600"/>
            <w:shd w:fill="111313" w:val="clear"/>
            <w:tcMar>
              <w:top w:type="dxa" w:w="100"/>
              <w:left w:type="dxa" w:w="120"/>
              <w:bottom w:type="dxa" w:w="100"/>
              <w:right w:type="dxa" w:w="120"/>
            </w:tcMar>
          </w:tcPr>
          <w:p>
            <w:r>
              <w:rPr>
                <w:rFonts w:ascii="Arial" w:cs="Arial" w:eastAsia="Arial" w:hAnsi="Arial"/>
                <w:b/>
                <w:bCs/>
                <w:color w:val="FFFFFF"/>
                <w:sz w:val="19"/>
                <w:szCs w:val="19"/>
              </w:rPr>
              <w:t xml:space="preserve">Prioridade</w:t>
            </w:r>
          </w:p>
        </w:tc>
      </w:tr>
      <w:tr>
        <w:tc>
          <w:tcPr>
            <w:tcW w:type="dxa" w:w="1200"/>
            <w:shd w:fill="FFFFFF" w:val="clear"/>
            <w:tcMar>
              <w:top w:type="dxa" w:w="100"/>
              <w:left w:type="dxa" w:w="120"/>
              <w:bottom w:type="dxa" w:w="100"/>
              <w:right w:type="dxa" w:w="120"/>
            </w:tcMar>
          </w:tcPr>
          <w:p>
            <w:r>
              <w:rPr>
                <w:rFonts w:ascii="Arial" w:cs="Arial" w:eastAsia="Arial" w:hAnsi="Arial"/>
                <w:b/>
                <w:bCs/>
                <w:color w:val="111313"/>
                <w:sz w:val="19"/>
                <w:szCs w:val="19"/>
              </w:rPr>
              <w:t xml:space="preserve">RF-17</w:t>
            </w:r>
          </w:p>
        </w:tc>
        <w:tc>
          <w:tcPr>
            <w:tcW w:type="dxa" w:w="7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permitir busca por Sala/tradição ou por tema/pergunta universal (ex.: "vida após a morte", "meditação", "origem do universo").</w:t>
            </w:r>
          </w:p>
        </w:tc>
        <w:tc>
          <w:tcPr>
            <w:tcW w:type="dxa" w:w="1600"/>
            <w:shd w:fill="FFFFFF"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7F3EC" w:val="clear"/>
            <w:tcMar>
              <w:top w:type="dxa" w:w="100"/>
              <w:left w:type="dxa" w:w="120"/>
              <w:bottom w:type="dxa" w:w="100"/>
              <w:right w:type="dxa" w:w="120"/>
            </w:tcMar>
          </w:tcPr>
          <w:p>
            <w:r>
              <w:rPr>
                <w:rFonts w:ascii="Arial" w:cs="Arial" w:eastAsia="Arial" w:hAnsi="Arial"/>
                <w:b/>
                <w:bCs/>
                <w:color w:val="111313"/>
                <w:sz w:val="19"/>
                <w:szCs w:val="19"/>
              </w:rPr>
              <w:t xml:space="preserve">RF-18</w:t>
            </w:r>
          </w:p>
        </w:tc>
        <w:tc>
          <w:tcPr>
            <w:tcW w:type="dxa" w:w="72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exibir resultado comparativo, mostrando a mesma pergunta com as respostas de diferentes Salas lado a lado, preservando o vocabulário e o contexto próprios de cada tradição.</w:t>
            </w:r>
          </w:p>
        </w:tc>
        <w:tc>
          <w:tcPr>
            <w:tcW w:type="dxa" w:w="1600"/>
            <w:shd w:fill="F7F3EC"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FFFFF" w:val="clear"/>
            <w:tcMar>
              <w:top w:type="dxa" w:w="100"/>
              <w:left w:type="dxa" w:w="120"/>
              <w:bottom w:type="dxa" w:w="100"/>
              <w:right w:type="dxa" w:w="120"/>
            </w:tcMar>
          </w:tcPr>
          <w:p>
            <w:r>
              <w:rPr>
                <w:rFonts w:ascii="Arial" w:cs="Arial" w:eastAsia="Arial" w:hAnsi="Arial"/>
                <w:b/>
                <w:bCs/>
                <w:color w:val="111313"/>
                <w:sz w:val="19"/>
                <w:szCs w:val="19"/>
              </w:rPr>
              <w:t xml:space="preserve">RF-19</w:t>
            </w:r>
          </w:p>
        </w:tc>
        <w:tc>
          <w:tcPr>
            <w:tcW w:type="dxa" w:w="7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não deve gerar automaticamente uma síntese única que apague divergências entre tradições no modo comparativo.</w:t>
            </w:r>
          </w:p>
        </w:tc>
        <w:tc>
          <w:tcPr>
            <w:tcW w:type="dxa" w:w="1600"/>
            <w:shd w:fill="FFFFFF"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7F3EC" w:val="clear"/>
            <w:tcMar>
              <w:top w:type="dxa" w:w="100"/>
              <w:left w:type="dxa" w:w="120"/>
              <w:bottom w:type="dxa" w:w="100"/>
              <w:right w:type="dxa" w:w="120"/>
            </w:tcMar>
          </w:tcPr>
          <w:p>
            <w:r>
              <w:rPr>
                <w:rFonts w:ascii="Arial" w:cs="Arial" w:eastAsia="Arial" w:hAnsi="Arial"/>
                <w:b/>
                <w:bCs/>
                <w:color w:val="111313"/>
                <w:sz w:val="19"/>
                <w:szCs w:val="19"/>
              </w:rPr>
              <w:t xml:space="preserve">RF-20</w:t>
            </w:r>
          </w:p>
        </w:tc>
        <w:tc>
          <w:tcPr>
            <w:tcW w:type="dxa" w:w="72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permitir filtrar resultados de busca por Sala, tema, nível de aprofundamento e formato.</w:t>
            </w:r>
          </w:p>
        </w:tc>
        <w:tc>
          <w:tcPr>
            <w:tcW w:type="dxa" w:w="1600"/>
            <w:shd w:fill="F7F3EC" w:val="clear"/>
            <w:tcMar>
              <w:top w:type="dxa" w:w="100"/>
              <w:left w:type="dxa" w:w="120"/>
              <w:bottom w:type="dxa" w:w="100"/>
              <w:right w:type="dxa" w:w="120"/>
            </w:tcMar>
          </w:tcPr>
          <w:p>
            <w:r>
              <w:rPr>
                <w:rFonts w:ascii="Arial" w:cs="Arial" w:eastAsia="Arial" w:hAnsi="Arial"/>
                <w:b/>
                <w:bCs/>
                <w:color w:val="8A6D1A"/>
                <w:sz w:val="19"/>
                <w:szCs w:val="19"/>
              </w:rPr>
              <w:t xml:space="preserve">Média</w:t>
            </w:r>
          </w:p>
        </w:tc>
      </w:tr>
      <w:tr>
        <w:tc>
          <w:tcPr>
            <w:tcW w:type="dxa" w:w="1200"/>
            <w:shd w:fill="FFFFFF" w:val="clear"/>
            <w:tcMar>
              <w:top w:type="dxa" w:w="100"/>
              <w:left w:type="dxa" w:w="120"/>
              <w:bottom w:type="dxa" w:w="100"/>
              <w:right w:type="dxa" w:w="120"/>
            </w:tcMar>
          </w:tcPr>
          <w:p>
            <w:r>
              <w:rPr>
                <w:rFonts w:ascii="Arial" w:cs="Arial" w:eastAsia="Arial" w:hAnsi="Arial"/>
                <w:b/>
                <w:bCs/>
                <w:color w:val="111313"/>
                <w:sz w:val="19"/>
                <w:szCs w:val="19"/>
              </w:rPr>
              <w:t xml:space="preserve">RF-21</w:t>
            </w:r>
          </w:p>
        </w:tc>
        <w:tc>
          <w:tcPr>
            <w:tcW w:type="dxa" w:w="7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permitir navegação por chip de tema transversal clicável (ex.: "morte", "alma", "meditação"), alimentando a busca comparativa.</w:t>
            </w:r>
          </w:p>
        </w:tc>
        <w:tc>
          <w:tcPr>
            <w:tcW w:type="dxa" w:w="1600"/>
            <w:shd w:fill="FFFFFF" w:val="clear"/>
            <w:tcMar>
              <w:top w:type="dxa" w:w="100"/>
              <w:left w:type="dxa" w:w="120"/>
              <w:bottom w:type="dxa" w:w="100"/>
              <w:right w:type="dxa" w:w="120"/>
            </w:tcMar>
          </w:tcPr>
          <w:p>
            <w:r>
              <w:rPr>
                <w:rFonts w:ascii="Arial" w:cs="Arial" w:eastAsia="Arial" w:hAnsi="Arial"/>
                <w:b/>
                <w:bCs/>
                <w:color w:val="8A6D1A"/>
                <w:sz w:val="19"/>
                <w:szCs w:val="19"/>
              </w:rPr>
              <w:t xml:space="preserve">Média</w:t>
            </w:r>
          </w:p>
        </w:tc>
      </w:tr>
    </w:tbl>
    <w:p>
      <w:pPr>
        <w:pStyle w:val="Heading2"/>
        <w:spacing w:after="150" w:before="300"/>
      </w:pPr>
      <w:r>
        <w:rPr>
          <w:rFonts w:ascii="Arial" w:cs="Arial" w:eastAsia="Arial" w:hAnsi="Arial"/>
          <w:b/>
          <w:bCs/>
          <w:color w:val="111313"/>
          <w:sz w:val="26"/>
          <w:szCs w:val="26"/>
        </w:rPr>
        <w:t xml:space="preserve">5.4 Módulo de Trilhas de Estudo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7200"/>
        <w:gridCol w:w="1600"/>
      </w:tblGrid>
      <w:tr>
        <w:trPr>
          <w:tblHeader/>
        </w:trPr>
        <w:tc>
          <w:tcPr>
            <w:tcW w:type="dxa" w:w="1200"/>
            <w:shd w:fill="111313" w:val="clear"/>
            <w:tcMar>
              <w:top w:type="dxa" w:w="100"/>
              <w:left w:type="dxa" w:w="120"/>
              <w:bottom w:type="dxa" w:w="100"/>
              <w:right w:type="dxa" w:w="120"/>
            </w:tcMar>
          </w:tcPr>
          <w:p>
            <w:r>
              <w:rPr>
                <w:rFonts w:ascii="Arial" w:cs="Arial" w:eastAsia="Arial" w:hAnsi="Arial"/>
                <w:b/>
                <w:bCs/>
                <w:color w:val="FFFFFF"/>
                <w:sz w:val="19"/>
                <w:szCs w:val="19"/>
              </w:rPr>
              <w:t xml:space="preserve">ID</w:t>
            </w:r>
          </w:p>
        </w:tc>
        <w:tc>
          <w:tcPr>
            <w:tcW w:type="dxa" w:w="7200"/>
            <w:shd w:fill="111313" w:val="clear"/>
            <w:tcMar>
              <w:top w:type="dxa" w:w="100"/>
              <w:left w:type="dxa" w:w="120"/>
              <w:bottom w:type="dxa" w:w="100"/>
              <w:right w:type="dxa" w:w="120"/>
            </w:tcMar>
          </w:tcPr>
          <w:p>
            <w:r>
              <w:rPr>
                <w:rFonts w:ascii="Arial" w:cs="Arial" w:eastAsia="Arial" w:hAnsi="Arial"/>
                <w:b/>
                <w:bCs/>
                <w:color w:val="FFFFFF"/>
                <w:sz w:val="19"/>
                <w:szCs w:val="19"/>
              </w:rPr>
              <w:t xml:space="preserve">Descrição</w:t>
            </w:r>
          </w:p>
        </w:tc>
        <w:tc>
          <w:tcPr>
            <w:tcW w:type="dxa" w:w="1600"/>
            <w:shd w:fill="111313" w:val="clear"/>
            <w:tcMar>
              <w:top w:type="dxa" w:w="100"/>
              <w:left w:type="dxa" w:w="120"/>
              <w:bottom w:type="dxa" w:w="100"/>
              <w:right w:type="dxa" w:w="120"/>
            </w:tcMar>
          </w:tcPr>
          <w:p>
            <w:r>
              <w:rPr>
                <w:rFonts w:ascii="Arial" w:cs="Arial" w:eastAsia="Arial" w:hAnsi="Arial"/>
                <w:b/>
                <w:bCs/>
                <w:color w:val="FFFFFF"/>
                <w:sz w:val="19"/>
                <w:szCs w:val="19"/>
              </w:rPr>
              <w:t xml:space="preserve">Prioridade</w:t>
            </w:r>
          </w:p>
        </w:tc>
      </w:tr>
      <w:tr>
        <w:tc>
          <w:tcPr>
            <w:tcW w:type="dxa" w:w="1200"/>
            <w:shd w:fill="FFFFFF" w:val="clear"/>
            <w:tcMar>
              <w:top w:type="dxa" w:w="100"/>
              <w:left w:type="dxa" w:w="120"/>
              <w:bottom w:type="dxa" w:w="100"/>
              <w:right w:type="dxa" w:w="120"/>
            </w:tcMar>
          </w:tcPr>
          <w:p>
            <w:r>
              <w:rPr>
                <w:rFonts w:ascii="Arial" w:cs="Arial" w:eastAsia="Arial" w:hAnsi="Arial"/>
                <w:b/>
                <w:bCs/>
                <w:color w:val="111313"/>
                <w:sz w:val="19"/>
                <w:szCs w:val="19"/>
              </w:rPr>
              <w:t xml:space="preserve">RF-22</w:t>
            </w:r>
          </w:p>
        </w:tc>
        <w:tc>
          <w:tcPr>
            <w:tcW w:type="dxa" w:w="7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organizar conteúdos em trilhas de estudo com níveis progressivos (iniciante, intermediário, avançado) por Sala.</w:t>
            </w:r>
          </w:p>
        </w:tc>
        <w:tc>
          <w:tcPr>
            <w:tcW w:type="dxa" w:w="1600"/>
            <w:shd w:fill="FFFFFF"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7F3EC" w:val="clear"/>
            <w:tcMar>
              <w:top w:type="dxa" w:w="100"/>
              <w:left w:type="dxa" w:w="120"/>
              <w:bottom w:type="dxa" w:w="100"/>
              <w:right w:type="dxa" w:w="120"/>
            </w:tcMar>
          </w:tcPr>
          <w:p>
            <w:r>
              <w:rPr>
                <w:rFonts w:ascii="Arial" w:cs="Arial" w:eastAsia="Arial" w:hAnsi="Arial"/>
                <w:b/>
                <w:bCs/>
                <w:color w:val="111313"/>
                <w:sz w:val="19"/>
                <w:szCs w:val="19"/>
              </w:rPr>
              <w:t xml:space="preserve">RF-23</w:t>
            </w:r>
          </w:p>
        </w:tc>
        <w:tc>
          <w:tcPr>
            <w:tcW w:type="dxa" w:w="72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membro deve poder acompanhar seu progresso em uma trilha, com indicação visual de etapas concluídas, disponíveis e bloqueadas.</w:t>
            </w:r>
          </w:p>
        </w:tc>
        <w:tc>
          <w:tcPr>
            <w:tcW w:type="dxa" w:w="1600"/>
            <w:shd w:fill="F7F3EC" w:val="clear"/>
            <w:tcMar>
              <w:top w:type="dxa" w:w="100"/>
              <w:left w:type="dxa" w:w="120"/>
              <w:bottom w:type="dxa" w:w="100"/>
              <w:right w:type="dxa" w:w="120"/>
            </w:tcMar>
          </w:tcPr>
          <w:p>
            <w:r>
              <w:rPr>
                <w:rFonts w:ascii="Arial" w:cs="Arial" w:eastAsia="Arial" w:hAnsi="Arial"/>
                <w:b/>
                <w:bCs/>
                <w:color w:val="8A6D1A"/>
                <w:sz w:val="19"/>
                <w:szCs w:val="19"/>
              </w:rPr>
              <w:t xml:space="preserve">Média</w:t>
            </w:r>
          </w:p>
        </w:tc>
      </w:tr>
      <w:tr>
        <w:tc>
          <w:tcPr>
            <w:tcW w:type="dxa" w:w="1200"/>
            <w:shd w:fill="FFFFFF" w:val="clear"/>
            <w:tcMar>
              <w:top w:type="dxa" w:w="100"/>
              <w:left w:type="dxa" w:w="120"/>
              <w:bottom w:type="dxa" w:w="100"/>
              <w:right w:type="dxa" w:w="120"/>
            </w:tcMar>
          </w:tcPr>
          <w:p>
            <w:r>
              <w:rPr>
                <w:rFonts w:ascii="Arial" w:cs="Arial" w:eastAsia="Arial" w:hAnsi="Arial"/>
                <w:b/>
                <w:bCs/>
                <w:color w:val="111313"/>
                <w:sz w:val="19"/>
                <w:szCs w:val="19"/>
              </w:rPr>
              <w:t xml:space="preserve">RF-24</w:t>
            </w:r>
          </w:p>
        </w:tc>
        <w:tc>
          <w:tcPr>
            <w:tcW w:type="dxa" w:w="7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não deve exibir ranking público, pontuação comparativa ou classificação de "evolução espiritual" entre usuários.</w:t>
            </w:r>
          </w:p>
        </w:tc>
        <w:tc>
          <w:tcPr>
            <w:tcW w:type="dxa" w:w="1600"/>
            <w:shd w:fill="FFFFFF"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7F3EC" w:val="clear"/>
            <w:tcMar>
              <w:top w:type="dxa" w:w="100"/>
              <w:left w:type="dxa" w:w="120"/>
              <w:bottom w:type="dxa" w:w="100"/>
              <w:right w:type="dxa" w:w="120"/>
            </w:tcMar>
          </w:tcPr>
          <w:p>
            <w:r>
              <w:rPr>
                <w:rFonts w:ascii="Arial" w:cs="Arial" w:eastAsia="Arial" w:hAnsi="Arial"/>
                <w:b/>
                <w:bCs/>
                <w:color w:val="111313"/>
                <w:sz w:val="19"/>
                <w:szCs w:val="19"/>
              </w:rPr>
              <w:t xml:space="preserve">RF-25</w:t>
            </w:r>
          </w:p>
        </w:tc>
        <w:tc>
          <w:tcPr>
            <w:tcW w:type="dxa" w:w="72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Administrador deve poder criar e editar trilhas, definindo a sequência de conteúdos e os critérios de cada nível.</w:t>
            </w:r>
          </w:p>
        </w:tc>
        <w:tc>
          <w:tcPr>
            <w:tcW w:type="dxa" w:w="1600"/>
            <w:shd w:fill="F7F3EC"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bl>
    <w:p>
      <w:pPr>
        <w:pStyle w:val="Heading2"/>
        <w:spacing w:after="150" w:before="300"/>
      </w:pPr>
      <w:r>
        <w:rPr>
          <w:rFonts w:ascii="Arial" w:cs="Arial" w:eastAsia="Arial" w:hAnsi="Arial"/>
          <w:b/>
          <w:bCs/>
          <w:color w:val="111313"/>
          <w:sz w:val="26"/>
          <w:szCs w:val="26"/>
        </w:rPr>
        <w:t xml:space="preserve">5.5 Módulo do Assistente de Inteligência Artificial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7200"/>
        <w:gridCol w:w="1600"/>
      </w:tblGrid>
      <w:tr>
        <w:trPr>
          <w:tblHeader/>
        </w:trPr>
        <w:tc>
          <w:tcPr>
            <w:tcW w:type="dxa" w:w="1200"/>
            <w:shd w:fill="111313" w:val="clear"/>
            <w:tcMar>
              <w:top w:type="dxa" w:w="100"/>
              <w:left w:type="dxa" w:w="120"/>
              <w:bottom w:type="dxa" w:w="100"/>
              <w:right w:type="dxa" w:w="120"/>
            </w:tcMar>
          </w:tcPr>
          <w:p>
            <w:r>
              <w:rPr>
                <w:rFonts w:ascii="Arial" w:cs="Arial" w:eastAsia="Arial" w:hAnsi="Arial"/>
                <w:b/>
                <w:bCs/>
                <w:color w:val="FFFFFF"/>
                <w:sz w:val="19"/>
                <w:szCs w:val="19"/>
              </w:rPr>
              <w:t xml:space="preserve">ID</w:t>
            </w:r>
          </w:p>
        </w:tc>
        <w:tc>
          <w:tcPr>
            <w:tcW w:type="dxa" w:w="7200"/>
            <w:shd w:fill="111313" w:val="clear"/>
            <w:tcMar>
              <w:top w:type="dxa" w:w="100"/>
              <w:left w:type="dxa" w:w="120"/>
              <w:bottom w:type="dxa" w:w="100"/>
              <w:right w:type="dxa" w:w="120"/>
            </w:tcMar>
          </w:tcPr>
          <w:p>
            <w:r>
              <w:rPr>
                <w:rFonts w:ascii="Arial" w:cs="Arial" w:eastAsia="Arial" w:hAnsi="Arial"/>
                <w:b/>
                <w:bCs/>
                <w:color w:val="FFFFFF"/>
                <w:sz w:val="19"/>
                <w:szCs w:val="19"/>
              </w:rPr>
              <w:t xml:space="preserve">Descrição</w:t>
            </w:r>
          </w:p>
        </w:tc>
        <w:tc>
          <w:tcPr>
            <w:tcW w:type="dxa" w:w="1600"/>
            <w:shd w:fill="111313" w:val="clear"/>
            <w:tcMar>
              <w:top w:type="dxa" w:w="100"/>
              <w:left w:type="dxa" w:w="120"/>
              <w:bottom w:type="dxa" w:w="100"/>
              <w:right w:type="dxa" w:w="120"/>
            </w:tcMar>
          </w:tcPr>
          <w:p>
            <w:r>
              <w:rPr>
                <w:rFonts w:ascii="Arial" w:cs="Arial" w:eastAsia="Arial" w:hAnsi="Arial"/>
                <w:b/>
                <w:bCs/>
                <w:color w:val="FFFFFF"/>
                <w:sz w:val="19"/>
                <w:szCs w:val="19"/>
              </w:rPr>
              <w:t xml:space="preserve">Prioridade</w:t>
            </w:r>
          </w:p>
        </w:tc>
      </w:tr>
      <w:tr>
        <w:tc>
          <w:tcPr>
            <w:tcW w:type="dxa" w:w="1200"/>
            <w:shd w:fill="FFFFFF" w:val="clear"/>
            <w:tcMar>
              <w:top w:type="dxa" w:w="100"/>
              <w:left w:type="dxa" w:w="120"/>
              <w:bottom w:type="dxa" w:w="100"/>
              <w:right w:type="dxa" w:w="120"/>
            </w:tcMar>
          </w:tcPr>
          <w:p>
            <w:r>
              <w:rPr>
                <w:rFonts w:ascii="Arial" w:cs="Arial" w:eastAsia="Arial" w:hAnsi="Arial"/>
                <w:b/>
                <w:bCs/>
                <w:color w:val="111313"/>
                <w:sz w:val="19"/>
                <w:szCs w:val="19"/>
              </w:rPr>
              <w:t xml:space="preserve">RF-26</w:t>
            </w:r>
          </w:p>
        </w:tc>
        <w:tc>
          <w:tcPr>
            <w:tcW w:type="dxa" w:w="7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oferecer um assistente de IA que responda perguntas com base no acervo cadastrado na plataforma.</w:t>
            </w:r>
          </w:p>
        </w:tc>
        <w:tc>
          <w:tcPr>
            <w:tcW w:type="dxa" w:w="1600"/>
            <w:shd w:fill="FFFFFF"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7F3EC" w:val="clear"/>
            <w:tcMar>
              <w:top w:type="dxa" w:w="100"/>
              <w:left w:type="dxa" w:w="120"/>
              <w:bottom w:type="dxa" w:w="100"/>
              <w:right w:type="dxa" w:w="120"/>
            </w:tcMar>
          </w:tcPr>
          <w:p>
            <w:r>
              <w:rPr>
                <w:rFonts w:ascii="Arial" w:cs="Arial" w:eastAsia="Arial" w:hAnsi="Arial"/>
                <w:b/>
                <w:bCs/>
                <w:color w:val="111313"/>
                <w:sz w:val="19"/>
                <w:szCs w:val="19"/>
              </w:rPr>
              <w:t xml:space="preserve">RF-27</w:t>
            </w:r>
          </w:p>
        </w:tc>
        <w:tc>
          <w:tcPr>
            <w:tcW w:type="dxa" w:w="72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assistente deve se identificar como inteligência artificial em toda resposta.</w:t>
            </w:r>
          </w:p>
        </w:tc>
        <w:tc>
          <w:tcPr>
            <w:tcW w:type="dxa" w:w="1600"/>
            <w:shd w:fill="F7F3EC"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FFFFF" w:val="clear"/>
            <w:tcMar>
              <w:top w:type="dxa" w:w="100"/>
              <w:left w:type="dxa" w:w="120"/>
              <w:bottom w:type="dxa" w:w="100"/>
              <w:right w:type="dxa" w:w="120"/>
            </w:tcMar>
          </w:tcPr>
          <w:p>
            <w:r>
              <w:rPr>
                <w:rFonts w:ascii="Arial" w:cs="Arial" w:eastAsia="Arial" w:hAnsi="Arial"/>
                <w:b/>
                <w:bCs/>
                <w:color w:val="111313"/>
                <w:sz w:val="19"/>
                <w:szCs w:val="19"/>
              </w:rPr>
              <w:t xml:space="preserve">RF-28</w:t>
            </w:r>
          </w:p>
        </w:tc>
        <w:tc>
          <w:tcPr>
            <w:tcW w:type="dxa" w:w="7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assistente deve indicar as fontes utilizadas em cada resposta, sempre que possível.</w:t>
            </w:r>
          </w:p>
        </w:tc>
        <w:tc>
          <w:tcPr>
            <w:tcW w:type="dxa" w:w="1600"/>
            <w:shd w:fill="FFFFFF"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7F3EC" w:val="clear"/>
            <w:tcMar>
              <w:top w:type="dxa" w:w="100"/>
              <w:left w:type="dxa" w:w="120"/>
              <w:bottom w:type="dxa" w:w="100"/>
              <w:right w:type="dxa" w:w="120"/>
            </w:tcMar>
          </w:tcPr>
          <w:p>
            <w:r>
              <w:rPr>
                <w:rFonts w:ascii="Arial" w:cs="Arial" w:eastAsia="Arial" w:hAnsi="Arial"/>
                <w:b/>
                <w:bCs/>
                <w:color w:val="111313"/>
                <w:sz w:val="19"/>
                <w:szCs w:val="19"/>
              </w:rPr>
              <w:t xml:space="preserve">RF-29</w:t>
            </w:r>
          </w:p>
        </w:tc>
        <w:tc>
          <w:tcPr>
            <w:tcW w:type="dxa" w:w="72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assistente deve distinguir visualmente conteúdo documental, interpretação editorial e síntese produzida pela própria IA.</w:t>
            </w:r>
          </w:p>
        </w:tc>
        <w:tc>
          <w:tcPr>
            <w:tcW w:type="dxa" w:w="1600"/>
            <w:shd w:fill="F7F3EC"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FFFFF" w:val="clear"/>
            <w:tcMar>
              <w:top w:type="dxa" w:w="100"/>
              <w:left w:type="dxa" w:w="120"/>
              <w:bottom w:type="dxa" w:w="100"/>
              <w:right w:type="dxa" w:w="120"/>
            </w:tcMar>
          </w:tcPr>
          <w:p>
            <w:r>
              <w:rPr>
                <w:rFonts w:ascii="Arial" w:cs="Arial" w:eastAsia="Arial" w:hAnsi="Arial"/>
                <w:b/>
                <w:bCs/>
                <w:color w:val="111313"/>
                <w:sz w:val="19"/>
                <w:szCs w:val="19"/>
              </w:rPr>
              <w:t xml:space="preserve">RF-30</w:t>
            </w:r>
          </w:p>
        </w:tc>
        <w:tc>
          <w:tcPr>
            <w:tcW w:type="dxa" w:w="7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Quando tradições diferentes apresentarem respostas distintas para a mesma pergunta, o assistente deve expor essas diferenças sem determinar qual delas é verdadeira.</w:t>
            </w:r>
          </w:p>
        </w:tc>
        <w:tc>
          <w:tcPr>
            <w:tcW w:type="dxa" w:w="1600"/>
            <w:shd w:fill="FFFFFF"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7F3EC" w:val="clear"/>
            <w:tcMar>
              <w:top w:type="dxa" w:w="100"/>
              <w:left w:type="dxa" w:w="120"/>
              <w:bottom w:type="dxa" w:w="100"/>
              <w:right w:type="dxa" w:w="120"/>
            </w:tcMar>
          </w:tcPr>
          <w:p>
            <w:r>
              <w:rPr>
                <w:rFonts w:ascii="Arial" w:cs="Arial" w:eastAsia="Arial" w:hAnsi="Arial"/>
                <w:b/>
                <w:bCs/>
                <w:color w:val="111313"/>
                <w:sz w:val="19"/>
                <w:szCs w:val="19"/>
              </w:rPr>
              <w:t xml:space="preserve">RF-31</w:t>
            </w:r>
          </w:p>
        </w:tc>
        <w:tc>
          <w:tcPr>
            <w:tcW w:type="dxa" w:w="72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assistente não deve assumir o papel de autoridade espiritual, líder religioso ou oráculo — restrição aplicada às instruções de sistema do modelo.</w:t>
            </w:r>
          </w:p>
        </w:tc>
        <w:tc>
          <w:tcPr>
            <w:tcW w:type="dxa" w:w="1600"/>
            <w:shd w:fill="F7F3EC"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bl>
    <w:p>
      <w:pPr>
        <w:pStyle w:val="Heading2"/>
        <w:spacing w:after="150" w:before="300"/>
      </w:pPr>
      <w:r>
        <w:rPr>
          <w:rFonts w:ascii="Arial" w:cs="Arial" w:eastAsia="Arial" w:hAnsi="Arial"/>
          <w:b/>
          <w:bCs/>
          <w:color w:val="111313"/>
          <w:sz w:val="26"/>
          <w:szCs w:val="26"/>
        </w:rPr>
        <w:t xml:space="preserve">5.6 Módulo de Moderação e Comunidade (camada inicial)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7200"/>
        <w:gridCol w:w="1600"/>
      </w:tblGrid>
      <w:tr>
        <w:trPr>
          <w:tblHeader/>
        </w:trPr>
        <w:tc>
          <w:tcPr>
            <w:tcW w:type="dxa" w:w="1200"/>
            <w:shd w:fill="111313" w:val="clear"/>
            <w:tcMar>
              <w:top w:type="dxa" w:w="100"/>
              <w:left w:type="dxa" w:w="120"/>
              <w:bottom w:type="dxa" w:w="100"/>
              <w:right w:type="dxa" w:w="120"/>
            </w:tcMar>
          </w:tcPr>
          <w:p>
            <w:r>
              <w:rPr>
                <w:rFonts w:ascii="Arial" w:cs="Arial" w:eastAsia="Arial" w:hAnsi="Arial"/>
                <w:b/>
                <w:bCs/>
                <w:color w:val="FFFFFF"/>
                <w:sz w:val="19"/>
                <w:szCs w:val="19"/>
              </w:rPr>
              <w:t xml:space="preserve">ID</w:t>
            </w:r>
          </w:p>
        </w:tc>
        <w:tc>
          <w:tcPr>
            <w:tcW w:type="dxa" w:w="7200"/>
            <w:shd w:fill="111313" w:val="clear"/>
            <w:tcMar>
              <w:top w:type="dxa" w:w="100"/>
              <w:left w:type="dxa" w:w="120"/>
              <w:bottom w:type="dxa" w:w="100"/>
              <w:right w:type="dxa" w:w="120"/>
            </w:tcMar>
          </w:tcPr>
          <w:p>
            <w:r>
              <w:rPr>
                <w:rFonts w:ascii="Arial" w:cs="Arial" w:eastAsia="Arial" w:hAnsi="Arial"/>
                <w:b/>
                <w:bCs/>
                <w:color w:val="FFFFFF"/>
                <w:sz w:val="19"/>
                <w:szCs w:val="19"/>
              </w:rPr>
              <w:t xml:space="preserve">Descrição</w:t>
            </w:r>
          </w:p>
        </w:tc>
        <w:tc>
          <w:tcPr>
            <w:tcW w:type="dxa" w:w="1600"/>
            <w:shd w:fill="111313" w:val="clear"/>
            <w:tcMar>
              <w:top w:type="dxa" w:w="100"/>
              <w:left w:type="dxa" w:w="120"/>
              <w:bottom w:type="dxa" w:w="100"/>
              <w:right w:type="dxa" w:w="120"/>
            </w:tcMar>
          </w:tcPr>
          <w:p>
            <w:r>
              <w:rPr>
                <w:rFonts w:ascii="Arial" w:cs="Arial" w:eastAsia="Arial" w:hAnsi="Arial"/>
                <w:b/>
                <w:bCs/>
                <w:color w:val="FFFFFF"/>
                <w:sz w:val="19"/>
                <w:szCs w:val="19"/>
              </w:rPr>
              <w:t xml:space="preserve">Prioridade</w:t>
            </w:r>
          </w:p>
        </w:tc>
      </w:tr>
      <w:tr>
        <w:tc>
          <w:tcPr>
            <w:tcW w:type="dxa" w:w="1200"/>
            <w:shd w:fill="FFFFFF" w:val="clear"/>
            <w:tcMar>
              <w:top w:type="dxa" w:w="100"/>
              <w:left w:type="dxa" w:w="120"/>
              <w:bottom w:type="dxa" w:w="100"/>
              <w:right w:type="dxa" w:w="120"/>
            </w:tcMar>
          </w:tcPr>
          <w:p>
            <w:r>
              <w:rPr>
                <w:rFonts w:ascii="Arial" w:cs="Arial" w:eastAsia="Arial" w:hAnsi="Arial"/>
                <w:b/>
                <w:bCs/>
                <w:color w:val="111313"/>
                <w:sz w:val="19"/>
                <w:szCs w:val="19"/>
              </w:rPr>
              <w:t xml:space="preserve">RF-32</w:t>
            </w:r>
          </w:p>
        </w:tc>
        <w:tc>
          <w:tcPr>
            <w:tcW w:type="dxa" w:w="7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permitir comentários vinculados a conteúdos, como primeira camada de interação comunitária.</w:t>
            </w:r>
          </w:p>
        </w:tc>
        <w:tc>
          <w:tcPr>
            <w:tcW w:type="dxa" w:w="1600"/>
            <w:shd w:fill="FFFFFF" w:val="clear"/>
            <w:tcMar>
              <w:top w:type="dxa" w:w="100"/>
              <w:left w:type="dxa" w:w="120"/>
              <w:bottom w:type="dxa" w:w="100"/>
              <w:right w:type="dxa" w:w="120"/>
            </w:tcMar>
          </w:tcPr>
          <w:p>
            <w:r>
              <w:rPr>
                <w:rFonts w:ascii="Arial" w:cs="Arial" w:eastAsia="Arial" w:hAnsi="Arial"/>
                <w:b/>
                <w:bCs/>
                <w:color w:val="8A6D1A"/>
                <w:sz w:val="19"/>
                <w:szCs w:val="19"/>
              </w:rPr>
              <w:t xml:space="preserve">Média</w:t>
            </w:r>
          </w:p>
        </w:tc>
      </w:tr>
      <w:tr>
        <w:tc>
          <w:tcPr>
            <w:tcW w:type="dxa" w:w="1200"/>
            <w:shd w:fill="F7F3EC" w:val="clear"/>
            <w:tcMar>
              <w:top w:type="dxa" w:w="100"/>
              <w:left w:type="dxa" w:w="120"/>
              <w:bottom w:type="dxa" w:w="100"/>
              <w:right w:type="dxa" w:w="120"/>
            </w:tcMar>
          </w:tcPr>
          <w:p>
            <w:r>
              <w:rPr>
                <w:rFonts w:ascii="Arial" w:cs="Arial" w:eastAsia="Arial" w:hAnsi="Arial"/>
                <w:b/>
                <w:bCs/>
                <w:color w:val="111313"/>
                <w:sz w:val="19"/>
                <w:szCs w:val="19"/>
              </w:rPr>
              <w:t xml:space="preserve">RF-33</w:t>
            </w:r>
          </w:p>
        </w:tc>
        <w:tc>
          <w:tcPr>
            <w:tcW w:type="dxa" w:w="72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aplicar regras de convivência inegociáveis: proibição de ataques pessoais, discurso de ódio, assédio, spam, proselitismo insistente e apresentação deliberada de informação falsa como fato.</w:t>
            </w:r>
          </w:p>
        </w:tc>
        <w:tc>
          <w:tcPr>
            <w:tcW w:type="dxa" w:w="1600"/>
            <w:shd w:fill="F7F3EC"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FFFFF" w:val="clear"/>
            <w:tcMar>
              <w:top w:type="dxa" w:w="100"/>
              <w:left w:type="dxa" w:w="120"/>
              <w:bottom w:type="dxa" w:w="100"/>
              <w:right w:type="dxa" w:w="120"/>
            </w:tcMar>
          </w:tcPr>
          <w:p>
            <w:r>
              <w:rPr>
                <w:rFonts w:ascii="Arial" w:cs="Arial" w:eastAsia="Arial" w:hAnsi="Arial"/>
                <w:b/>
                <w:bCs/>
                <w:color w:val="111313"/>
                <w:sz w:val="19"/>
                <w:szCs w:val="19"/>
              </w:rPr>
              <w:t xml:space="preserve">RF-34</w:t>
            </w:r>
          </w:p>
        </w:tc>
        <w:tc>
          <w:tcPr>
            <w:tcW w:type="dxa" w:w="7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A moderação deve ser combinada: triagem automática de spam e conteúdo potencialmente ofensivo, com decisão humana obrigatória em casos sensíveis ou de contexto religioso.</w:t>
            </w:r>
          </w:p>
        </w:tc>
        <w:tc>
          <w:tcPr>
            <w:tcW w:type="dxa" w:w="1600"/>
            <w:shd w:fill="FFFFFF"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7F3EC" w:val="clear"/>
            <w:tcMar>
              <w:top w:type="dxa" w:w="100"/>
              <w:left w:type="dxa" w:w="120"/>
              <w:bottom w:type="dxa" w:w="100"/>
              <w:right w:type="dxa" w:w="120"/>
            </w:tcMar>
          </w:tcPr>
          <w:p>
            <w:r>
              <w:rPr>
                <w:rFonts w:ascii="Arial" w:cs="Arial" w:eastAsia="Arial" w:hAnsi="Arial"/>
                <w:b/>
                <w:bCs/>
                <w:color w:val="111313"/>
                <w:sz w:val="19"/>
                <w:szCs w:val="19"/>
              </w:rPr>
              <w:t xml:space="preserve">RF-35</w:t>
            </w:r>
          </w:p>
        </w:tc>
        <w:tc>
          <w:tcPr>
            <w:tcW w:type="dxa" w:w="72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aplicar política progressiva de consequência: orientação, advertência, limitação temporária de funcionalidades, suspensão e, em casos graves, encerramento de conta.</w:t>
            </w:r>
          </w:p>
        </w:tc>
        <w:tc>
          <w:tcPr>
            <w:tcW w:type="dxa" w:w="1600"/>
            <w:shd w:fill="F7F3EC" w:val="clear"/>
            <w:tcMar>
              <w:top w:type="dxa" w:w="100"/>
              <w:left w:type="dxa" w:w="120"/>
              <w:bottom w:type="dxa" w:w="100"/>
              <w:right w:type="dxa" w:w="120"/>
            </w:tcMar>
          </w:tcPr>
          <w:p>
            <w:r>
              <w:rPr>
                <w:rFonts w:ascii="Arial" w:cs="Arial" w:eastAsia="Arial" w:hAnsi="Arial"/>
                <w:b/>
                <w:bCs/>
                <w:color w:val="8A6D1A"/>
                <w:sz w:val="19"/>
                <w:szCs w:val="19"/>
              </w:rPr>
              <w:t xml:space="preserve">Média</w:t>
            </w:r>
          </w:p>
        </w:tc>
      </w:tr>
      <w:tr>
        <w:tc>
          <w:tcPr>
            <w:tcW w:type="dxa" w:w="1200"/>
            <w:shd w:fill="FFFFFF" w:val="clear"/>
            <w:tcMar>
              <w:top w:type="dxa" w:w="100"/>
              <w:left w:type="dxa" w:w="120"/>
              <w:bottom w:type="dxa" w:w="100"/>
              <w:right w:type="dxa" w:w="120"/>
            </w:tcMar>
          </w:tcPr>
          <w:p>
            <w:r>
              <w:rPr>
                <w:rFonts w:ascii="Arial" w:cs="Arial" w:eastAsia="Arial" w:hAnsi="Arial"/>
                <w:b/>
                <w:bCs/>
                <w:color w:val="111313"/>
                <w:sz w:val="19"/>
                <w:szCs w:val="19"/>
              </w:rPr>
              <w:t xml:space="preserve">RF-36</w:t>
            </w:r>
          </w:p>
        </w:tc>
        <w:tc>
          <w:tcPr>
            <w:tcW w:type="dxa" w:w="7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usuário deve poder recorrer de uma medida de moderação aplicada à sua conta.</w:t>
            </w:r>
          </w:p>
        </w:tc>
        <w:tc>
          <w:tcPr>
            <w:tcW w:type="dxa" w:w="1600"/>
            <w:shd w:fill="FFFFFF" w:val="clear"/>
            <w:tcMar>
              <w:top w:type="dxa" w:w="100"/>
              <w:left w:type="dxa" w:w="120"/>
              <w:bottom w:type="dxa" w:w="100"/>
              <w:right w:type="dxa" w:w="120"/>
            </w:tcMar>
          </w:tcPr>
          <w:p>
            <w:r>
              <w:rPr>
                <w:rFonts w:ascii="Arial" w:cs="Arial" w:eastAsia="Arial" w:hAnsi="Arial"/>
                <w:b/>
                <w:bCs/>
                <w:color w:val="5B5850"/>
                <w:sz w:val="19"/>
                <w:szCs w:val="19"/>
              </w:rPr>
              <w:t xml:space="preserve">Baixa</w:t>
            </w:r>
          </w:p>
        </w:tc>
      </w:tr>
    </w:tbl>
    <w:p>
      <w:pPr>
        <w:pStyle w:val="Heading2"/>
        <w:spacing w:after="150" w:before="300"/>
      </w:pPr>
      <w:r>
        <w:rPr>
          <w:rFonts w:ascii="Arial" w:cs="Arial" w:eastAsia="Arial" w:hAnsi="Arial"/>
          <w:b/>
          <w:bCs/>
          <w:color w:val="111313"/>
          <w:sz w:val="26"/>
          <w:szCs w:val="26"/>
        </w:rPr>
        <w:t xml:space="preserve">5.7 Módulo Administrativo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7200"/>
        <w:gridCol w:w="1600"/>
      </w:tblGrid>
      <w:tr>
        <w:trPr>
          <w:tblHeader/>
        </w:trPr>
        <w:tc>
          <w:tcPr>
            <w:tcW w:type="dxa" w:w="1200"/>
            <w:shd w:fill="111313" w:val="clear"/>
            <w:tcMar>
              <w:top w:type="dxa" w:w="100"/>
              <w:left w:type="dxa" w:w="120"/>
              <w:bottom w:type="dxa" w:w="100"/>
              <w:right w:type="dxa" w:w="120"/>
            </w:tcMar>
          </w:tcPr>
          <w:p>
            <w:r>
              <w:rPr>
                <w:rFonts w:ascii="Arial" w:cs="Arial" w:eastAsia="Arial" w:hAnsi="Arial"/>
                <w:b/>
                <w:bCs/>
                <w:color w:val="FFFFFF"/>
                <w:sz w:val="19"/>
                <w:szCs w:val="19"/>
              </w:rPr>
              <w:t xml:space="preserve">ID</w:t>
            </w:r>
          </w:p>
        </w:tc>
        <w:tc>
          <w:tcPr>
            <w:tcW w:type="dxa" w:w="7200"/>
            <w:shd w:fill="111313" w:val="clear"/>
            <w:tcMar>
              <w:top w:type="dxa" w:w="100"/>
              <w:left w:type="dxa" w:w="120"/>
              <w:bottom w:type="dxa" w:w="100"/>
              <w:right w:type="dxa" w:w="120"/>
            </w:tcMar>
          </w:tcPr>
          <w:p>
            <w:r>
              <w:rPr>
                <w:rFonts w:ascii="Arial" w:cs="Arial" w:eastAsia="Arial" w:hAnsi="Arial"/>
                <w:b/>
                <w:bCs/>
                <w:color w:val="FFFFFF"/>
                <w:sz w:val="19"/>
                <w:szCs w:val="19"/>
              </w:rPr>
              <w:t xml:space="preserve">Descrição</w:t>
            </w:r>
          </w:p>
        </w:tc>
        <w:tc>
          <w:tcPr>
            <w:tcW w:type="dxa" w:w="1600"/>
            <w:shd w:fill="111313" w:val="clear"/>
            <w:tcMar>
              <w:top w:type="dxa" w:w="100"/>
              <w:left w:type="dxa" w:w="120"/>
              <w:bottom w:type="dxa" w:w="100"/>
              <w:right w:type="dxa" w:w="120"/>
            </w:tcMar>
          </w:tcPr>
          <w:p>
            <w:r>
              <w:rPr>
                <w:rFonts w:ascii="Arial" w:cs="Arial" w:eastAsia="Arial" w:hAnsi="Arial"/>
                <w:b/>
                <w:bCs/>
                <w:color w:val="FFFFFF"/>
                <w:sz w:val="19"/>
                <w:szCs w:val="19"/>
              </w:rPr>
              <w:t xml:space="preserve">Prioridade</w:t>
            </w:r>
          </w:p>
        </w:tc>
      </w:tr>
      <w:tr>
        <w:tc>
          <w:tcPr>
            <w:tcW w:type="dxa" w:w="1200"/>
            <w:shd w:fill="FFFFFF" w:val="clear"/>
            <w:tcMar>
              <w:top w:type="dxa" w:w="100"/>
              <w:left w:type="dxa" w:w="120"/>
              <w:bottom w:type="dxa" w:w="100"/>
              <w:right w:type="dxa" w:w="120"/>
            </w:tcMar>
          </w:tcPr>
          <w:p>
            <w:r>
              <w:rPr>
                <w:rFonts w:ascii="Arial" w:cs="Arial" w:eastAsia="Arial" w:hAnsi="Arial"/>
                <w:b/>
                <w:bCs/>
                <w:color w:val="111313"/>
                <w:sz w:val="19"/>
                <w:szCs w:val="19"/>
              </w:rPr>
              <w:t xml:space="preserve">RF-37</w:t>
            </w:r>
          </w:p>
        </w:tc>
        <w:tc>
          <w:tcPr>
            <w:tcW w:type="dxa" w:w="72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Administrador deve ter painel com visão consolidada de Salas, conteúdos, usuários e métricas agregadas de uso.</w:t>
            </w:r>
          </w:p>
        </w:tc>
        <w:tc>
          <w:tcPr>
            <w:tcW w:type="dxa" w:w="1600"/>
            <w:shd w:fill="FFFFFF" w:val="clear"/>
            <w:tcMar>
              <w:top w:type="dxa" w:w="100"/>
              <w:left w:type="dxa" w:w="120"/>
              <w:bottom w:type="dxa" w:w="100"/>
              <w:right w:type="dxa" w:w="120"/>
            </w:tcMar>
          </w:tcPr>
          <w:p>
            <w:r>
              <w:rPr>
                <w:rFonts w:ascii="Arial" w:cs="Arial" w:eastAsia="Arial" w:hAnsi="Arial"/>
                <w:b/>
                <w:bCs/>
                <w:color w:val="390007"/>
                <w:sz w:val="19"/>
                <w:szCs w:val="19"/>
              </w:rPr>
              <w:t xml:space="preserve">Alta</w:t>
            </w:r>
          </w:p>
        </w:tc>
      </w:tr>
      <w:tr>
        <w:tc>
          <w:tcPr>
            <w:tcW w:type="dxa" w:w="1200"/>
            <w:shd w:fill="F7F3EC" w:val="clear"/>
            <w:tcMar>
              <w:top w:type="dxa" w:w="100"/>
              <w:left w:type="dxa" w:w="120"/>
              <w:bottom w:type="dxa" w:w="100"/>
              <w:right w:type="dxa" w:w="120"/>
            </w:tcMar>
          </w:tcPr>
          <w:p>
            <w:r>
              <w:rPr>
                <w:rFonts w:ascii="Arial" w:cs="Arial" w:eastAsia="Arial" w:hAnsi="Arial"/>
                <w:b/>
                <w:bCs/>
                <w:color w:val="111313"/>
                <w:sz w:val="19"/>
                <w:szCs w:val="19"/>
              </w:rPr>
              <w:t xml:space="preserve">RF-38</w:t>
            </w:r>
          </w:p>
        </w:tc>
        <w:tc>
          <w:tcPr>
            <w:tcW w:type="dxa" w:w="72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Administrador deve poder exportar relatórios básicos de conteúdo e uso agregado em formato CSV.</w:t>
            </w:r>
          </w:p>
        </w:tc>
        <w:tc>
          <w:tcPr>
            <w:tcW w:type="dxa" w:w="1600"/>
            <w:shd w:fill="F7F3EC" w:val="clear"/>
            <w:tcMar>
              <w:top w:type="dxa" w:w="100"/>
              <w:left w:type="dxa" w:w="120"/>
              <w:bottom w:type="dxa" w:w="100"/>
              <w:right w:type="dxa" w:w="120"/>
            </w:tcMar>
          </w:tcPr>
          <w:p>
            <w:r>
              <w:rPr>
                <w:rFonts w:ascii="Arial" w:cs="Arial" w:eastAsia="Arial" w:hAnsi="Arial"/>
                <w:b/>
                <w:bCs/>
                <w:color w:val="5B5850"/>
                <w:sz w:val="19"/>
                <w:szCs w:val="19"/>
              </w:rPr>
              <w:t xml:space="preserve">Baixa</w:t>
            </w:r>
          </w:p>
        </w:tc>
      </w:tr>
    </w:tbl>
    <w:p>
      <w:pPr>
        <w:pStyle w:val="Heading2"/>
        <w:spacing w:after="150" w:before="300"/>
      </w:pPr>
      <w:r>
        <w:rPr>
          <w:rFonts w:ascii="Arial" w:cs="Arial" w:eastAsia="Arial" w:hAnsi="Arial"/>
          <w:b/>
          <w:bCs/>
          <w:color w:val="111313"/>
          <w:sz w:val="26"/>
          <w:szCs w:val="26"/>
        </w:rPr>
        <w:t xml:space="preserve">5.8 Funcionalidades Futuras (Roadmap)</w:t>
      </w:r>
    </w:p>
    <w:p>
      <w:pPr>
        <w:spacing w:after="160"/>
      </w:pPr>
      <w:r>
        <w:rPr>
          <w:rFonts w:ascii="Georgia" w:cs="Georgia" w:eastAsia="Georgia" w:hAnsi="Georgia"/>
          <w:i w:val="false"/>
          <w:iCs w:val="false"/>
          <w:color w:val="111313"/>
          <w:sz w:val="21"/>
          <w:szCs w:val="21"/>
        </w:rPr>
        <w:t xml:space="preserve">As funcionalidades a seguir estão previstas para versões futuras da plataforma e não compõem o escopo do MVP inicial: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11313" w:val="clear"/>
            <w:tcMar>
              <w:top w:type="dxa" w:w="100"/>
              <w:left w:type="dxa" w:w="120"/>
              <w:bottom w:type="dxa" w:w="100"/>
              <w:right w:type="dxa" w:w="120"/>
            </w:tcMar>
          </w:tcPr>
          <w:p>
            <w:r>
              <w:rPr>
                <w:rFonts w:ascii="Arial" w:cs="Arial" w:eastAsia="Arial" w:hAnsi="Arial"/>
                <w:b/>
                <w:bCs/>
                <w:color w:val="FFFFFF"/>
                <w:sz w:val="19"/>
                <w:szCs w:val="19"/>
              </w:rPr>
              <w:t xml:space="preserve">Funcionalidade</w:t>
            </w:r>
          </w:p>
        </w:tc>
        <w:tc>
          <w:tcPr>
            <w:tcW w:type="dxa" w:w="6600"/>
            <w:shd w:fill="111313" w:val="clear"/>
            <w:tcMar>
              <w:top w:type="dxa" w:w="100"/>
              <w:left w:type="dxa" w:w="120"/>
              <w:bottom w:type="dxa" w:w="100"/>
              <w:right w:type="dxa" w:w="120"/>
            </w:tcMar>
          </w:tcPr>
          <w:p>
            <w:r>
              <w:rPr>
                <w:rFonts w:ascii="Arial" w:cs="Arial" w:eastAsia="Arial" w:hAnsi="Arial"/>
                <w:b/>
                <w:bCs/>
                <w:color w:val="FFFFFF"/>
                <w:sz w:val="19"/>
                <w:szCs w:val="19"/>
              </w:rPr>
              <w:t xml:space="preserve">Descrição</w:t>
            </w:r>
          </w:p>
        </w:tc>
      </w:tr>
      <w:tr>
        <w:tc>
          <w:tcPr>
            <w:tcW w:type="dxa" w:w="2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Fóruns e grupos de estudo</w:t>
            </w:r>
          </w:p>
        </w:tc>
        <w:tc>
          <w:tcPr>
            <w:tcW w:type="dxa" w:w="6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Discussões temáticas e grupos de estudo, além dos comentários simples do MVP.</w:t>
            </w:r>
          </w:p>
        </w:tc>
      </w:tr>
      <w:tr>
        <w:tc>
          <w:tcPr>
            <w:tcW w:type="dxa" w:w="26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Perfis públicos e seguidores</w:t>
            </w:r>
          </w:p>
        </w:tc>
        <w:tc>
          <w:tcPr>
            <w:tcW w:type="dxa" w:w="66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Sistema de perfis com seguidores, avaliado somente após consolidação da comunidade.</w:t>
            </w:r>
          </w:p>
        </w:tc>
      </w:tr>
      <w:tr>
        <w:tc>
          <w:tcPr>
            <w:tcW w:type="dxa" w:w="2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Eventos ao vivo</w:t>
            </w:r>
          </w:p>
        </w:tc>
        <w:tc>
          <w:tcPr>
            <w:tcW w:type="dxa" w:w="6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Encontros on-line, transmissões especiais, entrevistas e debates mediados.</w:t>
            </w:r>
          </w:p>
        </w:tc>
      </w:tr>
      <w:tr>
        <w:tc>
          <w:tcPr>
            <w:tcW w:type="dxa" w:w="26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Diário espiritual pessoal</w:t>
            </w:r>
          </w:p>
        </w:tc>
        <w:tc>
          <w:tcPr>
            <w:tcW w:type="dxa" w:w="66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Área privada de anotações completas, tratada à parte pelas implicações de privacidade.</w:t>
            </w:r>
          </w:p>
        </w:tc>
      </w:tr>
      <w:tr>
        <w:tc>
          <w:tcPr>
            <w:tcW w:type="dxa" w:w="2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Aplicativo nativo e leitura offline</w:t>
            </w:r>
          </w:p>
        </w:tc>
        <w:tc>
          <w:tcPr>
            <w:tcW w:type="dxa" w:w="6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Apps para Android e iOS com recursos próprios de notificação e leitura sem internet.</w:t>
            </w:r>
          </w:p>
        </w:tc>
      </w:tr>
      <w:tr>
        <w:tc>
          <w:tcPr>
            <w:tcW w:type="dxa" w:w="26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Internacionalização</w:t>
            </w:r>
          </w:p>
        </w:tc>
        <w:tc>
          <w:tcPr>
            <w:tcW w:type="dxa" w:w="66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Versões em inglês e espanhol, após validação do produto em português.</w:t>
            </w:r>
          </w:p>
        </w:tc>
      </w:tr>
      <w:tr>
        <w:tc>
          <w:tcPr>
            <w:tcW w:type="dxa" w:w="2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Camada freemium</w:t>
            </w:r>
          </w:p>
        </w:tc>
        <w:tc>
          <w:tcPr>
            <w:tcW w:type="dxa" w:w="6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Trilhas avançadas, cursos, e-books e materiais editoriais pagos, preservando o núcleo gratuito.</w:t>
            </w:r>
          </w:p>
        </w:tc>
      </w:tr>
      <w:tr>
        <w:tc>
          <w:tcPr>
            <w:tcW w:type="dxa" w:w="26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Publicidade com curadoria editorial</w:t>
            </w:r>
          </w:p>
        </w:tc>
        <w:tc>
          <w:tcPr>
            <w:tcW w:type="dxa" w:w="66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Anúncios sustentando o projeto, vedada qualquer publicidade de charlatanismo, cura ou manipulação religiosa.</w:t>
            </w:r>
          </w:p>
        </w:tc>
      </w:tr>
      <w:tr>
        <w:tc>
          <w:tcPr>
            <w:tcW w:type="dxa" w:w="2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Anfitriões com Sala própria</w:t>
            </w:r>
          </w:p>
        </w:tc>
        <w:tc>
          <w:tcPr>
            <w:tcW w:type="dxa" w:w="6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Fluxo completo de submissão de conteúdo por especialistas externos identificados.</w:t>
            </w:r>
          </w:p>
        </w:tc>
      </w:tr>
    </w:tbl>
    <w:p>
      <w:pPr>
        <w:pStyle w:val="Heading1"/>
        <w:pBdr>
          <w:bottom w:val="single" w:color="390007" w:sz="8" w:space="4"/>
        </w:pBdr>
        <w:spacing w:after="200" w:before="400"/>
      </w:pPr>
      <w:r>
        <w:rPr>
          <w:rFonts w:ascii="Arial" w:cs="Arial" w:eastAsia="Arial" w:hAnsi="Arial"/>
          <w:b/>
          <w:bCs/>
          <w:color w:val="390007"/>
          <w:sz w:val="32"/>
          <w:szCs w:val="32"/>
        </w:rPr>
        <w:t xml:space="preserve">6. Requisitos Não Funcionais (RNF)</w:t>
      </w:r>
    </w:p>
    <w:p>
      <w:pPr>
        <w:spacing w:after="160"/>
      </w:pPr>
      <w:r>
        <w:rPr>
          <w:rFonts w:ascii="Georgia" w:cs="Georgia" w:eastAsia="Georgia" w:hAnsi="Georgia"/>
          <w:i w:val="false"/>
          <w:iCs w:val="false"/>
          <w:color w:val="111313"/>
          <w:sz w:val="21"/>
          <w:szCs w:val="21"/>
        </w:rPr>
        <w:t xml:space="preserve">Os Requisitos Não Funcionais estabelecem critérios de qualidade que o sistema deve apresentar, definindo "como" ele opera. Estão organizados em subseções temáticas: Desempenho/Segurança/Infraestrutura, Usabilidade, Domínio e Legais.</w:t>
      </w:r>
    </w:p>
    <w:p>
      <w:pPr>
        <w:pStyle w:val="Heading2"/>
        <w:spacing w:after="150" w:before="300"/>
      </w:pPr>
      <w:r>
        <w:rPr>
          <w:rFonts w:ascii="Arial" w:cs="Arial" w:eastAsia="Arial" w:hAnsi="Arial"/>
          <w:b/>
          <w:bCs/>
          <w:color w:val="111313"/>
          <w:sz w:val="26"/>
          <w:szCs w:val="26"/>
        </w:rPr>
        <w:t xml:space="preserve">6.1 Desempenho, Segurança e Infraestrutura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900"/>
      </w:tblGrid>
      <w:tr>
        <w:trPr>
          <w:tblHeader/>
        </w:trPr>
        <w:tc>
          <w:tcPr>
            <w:tcW w:type="dxa" w:w="1300"/>
            <w:shd w:fill="111313" w:val="clear"/>
            <w:tcMar>
              <w:top w:type="dxa" w:w="100"/>
              <w:left w:type="dxa" w:w="120"/>
              <w:bottom w:type="dxa" w:w="100"/>
              <w:right w:type="dxa" w:w="120"/>
            </w:tcMar>
          </w:tcPr>
          <w:p>
            <w:r>
              <w:rPr>
                <w:rFonts w:ascii="Arial" w:cs="Arial" w:eastAsia="Arial" w:hAnsi="Arial"/>
                <w:b/>
                <w:bCs/>
                <w:color w:val="FFFFFF"/>
                <w:sz w:val="19"/>
                <w:szCs w:val="19"/>
              </w:rPr>
              <w:t xml:space="preserve">ID</w:t>
            </w:r>
          </w:p>
        </w:tc>
        <w:tc>
          <w:tcPr>
            <w:tcW w:type="dxa" w:w="2000"/>
            <w:shd w:fill="111313" w:val="clear"/>
            <w:tcMar>
              <w:top w:type="dxa" w:w="100"/>
              <w:left w:type="dxa" w:w="120"/>
              <w:bottom w:type="dxa" w:w="100"/>
              <w:right w:type="dxa" w:w="120"/>
            </w:tcMar>
          </w:tcPr>
          <w:p>
            <w:r>
              <w:rPr>
                <w:rFonts w:ascii="Arial" w:cs="Arial" w:eastAsia="Arial" w:hAnsi="Arial"/>
                <w:b/>
                <w:bCs/>
                <w:color w:val="FFFFFF"/>
                <w:sz w:val="19"/>
                <w:szCs w:val="19"/>
              </w:rPr>
              <w:t xml:space="preserve">Categoria</w:t>
            </w:r>
          </w:p>
        </w:tc>
        <w:tc>
          <w:tcPr>
            <w:tcW w:type="dxa" w:w="5900"/>
            <w:shd w:fill="111313" w:val="clear"/>
            <w:tcMar>
              <w:top w:type="dxa" w:w="100"/>
              <w:left w:type="dxa" w:w="120"/>
              <w:bottom w:type="dxa" w:w="100"/>
              <w:right w:type="dxa" w:w="120"/>
            </w:tcMar>
          </w:tcPr>
          <w:p>
            <w:r>
              <w:rPr>
                <w:rFonts w:ascii="Arial" w:cs="Arial" w:eastAsia="Arial" w:hAnsi="Arial"/>
                <w:b/>
                <w:bCs/>
                <w:color w:val="FFFFFF"/>
                <w:sz w:val="19"/>
                <w:szCs w:val="19"/>
              </w:rPr>
              <w:t xml:space="preserve">Descrição</w:t>
            </w:r>
          </w:p>
        </w:tc>
      </w:tr>
      <w:tr>
        <w:tc>
          <w:tcPr>
            <w:tcW w:type="dxa" w:w="13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RNF-01</w:t>
            </w:r>
          </w:p>
        </w:tc>
        <w:tc>
          <w:tcPr>
            <w:tcW w:type="dxa" w:w="20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Segurança</w:t>
            </w:r>
          </w:p>
        </w:tc>
        <w:tc>
          <w:tcPr>
            <w:tcW w:type="dxa" w:w="59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Todo o tráfego de dados deve ser realizado via HTTPS (TLS 1.2+). Senhas devem ser armazenadas com hash bcrypt. Tokens de autenticação devem utilizar o padrão JWT com expiração configurável.</w:t>
            </w:r>
          </w:p>
        </w:tc>
      </w:tr>
      <w:tr>
        <w:tc>
          <w:tcPr>
            <w:tcW w:type="dxa" w:w="13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RNF-02</w:t>
            </w:r>
          </w:p>
        </w:tc>
        <w:tc>
          <w:tcPr>
            <w:tcW w:type="dxa" w:w="20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Desempenho</w:t>
            </w:r>
          </w:p>
        </w:tc>
        <w:tc>
          <w:tcPr>
            <w:tcW w:type="dxa" w:w="59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tempo de carregamento de páginas deve ser inferior a 3 segundos em conexões padrão (10 Mbps). Processos assíncronos (envio de e-mail, indexação de conteúdo) não devem bloquear a navegação do usuário.</w:t>
            </w:r>
          </w:p>
        </w:tc>
      </w:tr>
      <w:tr>
        <w:tc>
          <w:tcPr>
            <w:tcW w:type="dxa" w:w="13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RNF-03</w:t>
            </w:r>
          </w:p>
        </w:tc>
        <w:tc>
          <w:tcPr>
            <w:tcW w:type="dxa" w:w="20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Disponibilidade</w:t>
            </w:r>
          </w:p>
        </w:tc>
        <w:tc>
          <w:tcPr>
            <w:tcW w:type="dxa" w:w="59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manter disponibilidade estável durante a operação. Janelas de manutenção programada devem ser comunicadas com antecedência mínima de 24 horas. Meta numérica de uptime a definir após lançamento.</w:t>
            </w:r>
          </w:p>
        </w:tc>
      </w:tr>
      <w:tr>
        <w:tc>
          <w:tcPr>
            <w:tcW w:type="dxa" w:w="13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RNF-04</w:t>
            </w:r>
          </w:p>
        </w:tc>
        <w:tc>
          <w:tcPr>
            <w:tcW w:type="dxa" w:w="20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Confiabilidade</w:t>
            </w:r>
          </w:p>
        </w:tc>
        <w:tc>
          <w:tcPr>
            <w:tcW w:type="dxa" w:w="59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manter logs detalhados de ações críticas (publicação e edição de conteúdo, moderação, alteração de proveniência, alteração de perfil) para fins de auditoria e rastreabilidade.</w:t>
            </w:r>
          </w:p>
        </w:tc>
      </w:tr>
      <w:tr>
        <w:tc>
          <w:tcPr>
            <w:tcW w:type="dxa" w:w="13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RNF-05</w:t>
            </w:r>
          </w:p>
        </w:tc>
        <w:tc>
          <w:tcPr>
            <w:tcW w:type="dxa" w:w="20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Armazenamento</w:t>
            </w:r>
          </w:p>
        </w:tc>
        <w:tc>
          <w:tcPr>
            <w:tcW w:type="dxa" w:w="59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Documentos, imagens e demais arquivos devem ser armazenados em serviço de object storage compatível com S3, com controle de acesso por papel e backups automáticos.</w:t>
            </w:r>
          </w:p>
        </w:tc>
      </w:tr>
      <w:tr>
        <w:tc>
          <w:tcPr>
            <w:tcW w:type="dxa" w:w="13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RNF-06</w:t>
            </w:r>
          </w:p>
        </w:tc>
        <w:tc>
          <w:tcPr>
            <w:tcW w:type="dxa" w:w="20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Escalabilidade</w:t>
            </w:r>
          </w:p>
        </w:tc>
        <w:tc>
          <w:tcPr>
            <w:tcW w:type="dxa" w:w="59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A arquitetura deve suportar crescimento horizontal progressivo, sem exigir infraestrutura dimensionada antecipadamente para uma demanda hipotética — coerente com a ausência de projeção confiável de usuários no lançamento.</w:t>
            </w:r>
          </w:p>
        </w:tc>
      </w:tr>
    </w:tbl>
    <w:p>
      <w:pPr>
        <w:pStyle w:val="Heading2"/>
        <w:spacing w:after="150" w:before="300"/>
      </w:pPr>
      <w:r>
        <w:rPr>
          <w:rFonts w:ascii="Arial" w:cs="Arial" w:eastAsia="Arial" w:hAnsi="Arial"/>
          <w:b/>
          <w:bCs/>
          <w:color w:val="111313"/>
          <w:sz w:val="26"/>
          <w:szCs w:val="26"/>
        </w:rPr>
        <w:t xml:space="preserve">6.2 Requisitos de Usabilidade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111313" w:val="clear"/>
            <w:tcMar>
              <w:top w:type="dxa" w:w="100"/>
              <w:left w:type="dxa" w:w="120"/>
              <w:bottom w:type="dxa" w:w="100"/>
              <w:right w:type="dxa" w:w="120"/>
            </w:tcMar>
          </w:tcPr>
          <w:p>
            <w:r>
              <w:rPr>
                <w:rFonts w:ascii="Arial" w:cs="Arial" w:eastAsia="Arial" w:hAnsi="Arial"/>
                <w:b/>
                <w:bCs/>
                <w:color w:val="FFFFFF"/>
                <w:sz w:val="19"/>
                <w:szCs w:val="19"/>
              </w:rPr>
              <w:t xml:space="preserve">ID</w:t>
            </w:r>
          </w:p>
        </w:tc>
        <w:tc>
          <w:tcPr>
            <w:tcW w:type="dxa" w:w="7600"/>
            <w:shd w:fill="111313" w:val="clear"/>
            <w:tcMar>
              <w:top w:type="dxa" w:w="100"/>
              <w:left w:type="dxa" w:w="120"/>
              <w:bottom w:type="dxa" w:w="100"/>
              <w:right w:type="dxa" w:w="120"/>
            </w:tcMar>
          </w:tcPr>
          <w:p>
            <w:r>
              <w:rPr>
                <w:rFonts w:ascii="Arial" w:cs="Arial" w:eastAsia="Arial" w:hAnsi="Arial"/>
                <w:b/>
                <w:bCs/>
                <w:color w:val="FFFFFF"/>
                <w:sz w:val="19"/>
                <w:szCs w:val="19"/>
              </w:rPr>
              <w:t xml:space="preserve">Descrição</w:t>
            </w:r>
          </w:p>
        </w:tc>
      </w:tr>
      <w:tr>
        <w:tc>
          <w:tcPr>
            <w:tcW w:type="dxa" w:w="1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RNF-USA-01</w:t>
            </w:r>
          </w:p>
        </w:tc>
        <w:tc>
          <w:tcPr>
            <w:tcW w:type="dxa" w:w="7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Interface responsiva, intuitiva e alinhada às diretrizes de acessibilidade WCAG 2.1 (nível AA), atendendo a todos os perfis de usuário em dispositivos móveis e desktop.</w:t>
            </w:r>
          </w:p>
        </w:tc>
      </w:tr>
      <w:tr>
        <w:tc>
          <w:tcPr>
            <w:tcW w:type="dxa" w:w="16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RNF-USA-02</w:t>
            </w:r>
          </w:p>
        </w:tc>
        <w:tc>
          <w:tcPr>
            <w:tcW w:type="dxa" w:w="76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Em qualquer operação com duração entre 1 e 10 segundos, o sistema deve exibir indicador de carregamento (spinner ou skeleton). Acima de 10 segundos, deve exibir progresso determinado quando possível.</w:t>
            </w:r>
          </w:p>
        </w:tc>
      </w:tr>
      <w:tr>
        <w:tc>
          <w:tcPr>
            <w:tcW w:type="dxa" w:w="1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RNF-USA-03</w:t>
            </w:r>
          </w:p>
        </w:tc>
        <w:tc>
          <w:tcPr>
            <w:tcW w:type="dxa" w:w="7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A linguagem da interface deve ser acessível a um público adulto amplo — do curioso iniciante ao pesquisador avançado — evitando jargão técnico ou doutrinário desnecessário.</w:t>
            </w:r>
          </w:p>
        </w:tc>
      </w:tr>
      <w:tr>
        <w:tc>
          <w:tcPr>
            <w:tcW w:type="dxa" w:w="16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RNF-USA-04</w:t>
            </w:r>
          </w:p>
        </w:tc>
        <w:tc>
          <w:tcPr>
            <w:tcW w:type="dxa" w:w="76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fornecer feedback visível para toda ação relevante do usuário: resposta do assistente, salvar favorito, progresso em trilha, envio de comentário.</w:t>
            </w:r>
          </w:p>
        </w:tc>
      </w:tr>
    </w:tbl>
    <w:p>
      <w:pPr>
        <w:pStyle w:val="Heading2"/>
        <w:spacing w:after="150" w:before="300"/>
      </w:pPr>
      <w:r>
        <w:rPr>
          <w:rFonts w:ascii="Arial" w:cs="Arial" w:eastAsia="Arial" w:hAnsi="Arial"/>
          <w:b/>
          <w:bCs/>
          <w:color w:val="111313"/>
          <w:sz w:val="26"/>
          <w:szCs w:val="26"/>
        </w:rPr>
        <w:t xml:space="preserve">6.3 Requisitos de Domínio</w:t>
      </w:r>
    </w:p>
    <w:p>
      <w:pPr>
        <w:spacing w:after="160"/>
      </w:pPr>
      <w:r>
        <w:rPr>
          <w:rFonts w:ascii="Arial" w:cs="Arial" w:eastAsia="Arial" w:hAnsi="Arial"/>
          <w:i/>
          <w:iCs/>
          <w:color w:val="5B5850"/>
          <w:sz w:val="19"/>
          <w:szCs w:val="19"/>
        </w:rPr>
        <w:t xml:space="preserve">Reúne regras de negócio do domínio editorial que restringem o comportamento do sistema além da lógica funcional pura.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111313" w:val="clear"/>
            <w:tcMar>
              <w:top w:type="dxa" w:w="100"/>
              <w:left w:type="dxa" w:w="120"/>
              <w:bottom w:type="dxa" w:w="100"/>
              <w:right w:type="dxa" w:w="120"/>
            </w:tcMar>
          </w:tcPr>
          <w:p>
            <w:r>
              <w:rPr>
                <w:rFonts w:ascii="Arial" w:cs="Arial" w:eastAsia="Arial" w:hAnsi="Arial"/>
                <w:b/>
                <w:bCs/>
                <w:color w:val="FFFFFF"/>
                <w:sz w:val="19"/>
                <w:szCs w:val="19"/>
              </w:rPr>
              <w:t xml:space="preserve">ID</w:t>
            </w:r>
          </w:p>
        </w:tc>
        <w:tc>
          <w:tcPr>
            <w:tcW w:type="dxa" w:w="7600"/>
            <w:shd w:fill="111313" w:val="clear"/>
            <w:tcMar>
              <w:top w:type="dxa" w:w="100"/>
              <w:left w:type="dxa" w:w="120"/>
              <w:bottom w:type="dxa" w:w="100"/>
              <w:right w:type="dxa" w:w="120"/>
            </w:tcMar>
          </w:tcPr>
          <w:p>
            <w:r>
              <w:rPr>
                <w:rFonts w:ascii="Arial" w:cs="Arial" w:eastAsia="Arial" w:hAnsi="Arial"/>
                <w:b/>
                <w:bCs/>
                <w:color w:val="FFFFFF"/>
                <w:sz w:val="19"/>
                <w:szCs w:val="19"/>
              </w:rPr>
              <w:t xml:space="preserve">Descrição</w:t>
            </w:r>
          </w:p>
        </w:tc>
      </w:tr>
      <w:tr>
        <w:tc>
          <w:tcPr>
            <w:tcW w:type="dxa" w:w="1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RNF-DOM-01</w:t>
            </w:r>
          </w:p>
        </w:tc>
        <w:tc>
          <w:tcPr>
            <w:tcW w:type="dxa" w:w="7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Todo conteúdo publicado deve ter proveniência classificada (fonte primária, editorial, comunidade, especialista ou IA) antes de ficar visível ao público.</w:t>
            </w:r>
          </w:p>
        </w:tc>
      </w:tr>
      <w:tr>
        <w:tc>
          <w:tcPr>
            <w:tcW w:type="dxa" w:w="16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RNF-DOM-02</w:t>
            </w:r>
          </w:p>
        </w:tc>
        <w:tc>
          <w:tcPr>
            <w:tcW w:type="dxa" w:w="76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assistente de IA não deve produzir uma resposta sem indicar ao menos uma fonte consultada ou uma marcação explícita de síntese própria.</w:t>
            </w:r>
          </w:p>
        </w:tc>
      </w:tr>
      <w:tr>
        <w:tc>
          <w:tcPr>
            <w:tcW w:type="dxa" w:w="1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RNF-DOM-03</w:t>
            </w:r>
          </w:p>
        </w:tc>
        <w:tc>
          <w:tcPr>
            <w:tcW w:type="dxa" w:w="7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Conteúdo sujeito a interpretações divergentes entre tradições deve apresentar essa divergência de forma explícita, nunca apenas uma leitura como se fosse consensual.</w:t>
            </w:r>
          </w:p>
        </w:tc>
      </w:tr>
      <w:tr>
        <w:tc>
          <w:tcPr>
            <w:tcW w:type="dxa" w:w="16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RNF-DOM-04</w:t>
            </w:r>
          </w:p>
        </w:tc>
        <w:tc>
          <w:tcPr>
            <w:tcW w:type="dxa" w:w="76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impedir a publicação de texto protegido por direitos autorais na íntegra sem licença ou cessão registrada pelo titular.</w:t>
            </w:r>
          </w:p>
        </w:tc>
      </w:tr>
      <w:tr>
        <w:tc>
          <w:tcPr>
            <w:tcW w:type="dxa" w:w="1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RNF-DOM-05</w:t>
            </w:r>
          </w:p>
        </w:tc>
        <w:tc>
          <w:tcPr>
            <w:tcW w:type="dxa" w:w="7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não deve exibir ranking público, pontuação comparativa ou qualquer classificação de "evolução espiritual" entre usuários.</w:t>
            </w:r>
          </w:p>
        </w:tc>
      </w:tr>
    </w:tbl>
    <w:p>
      <w:pPr>
        <w:pStyle w:val="Heading2"/>
        <w:spacing w:after="150" w:before="300"/>
      </w:pPr>
      <w:r>
        <w:rPr>
          <w:rFonts w:ascii="Arial" w:cs="Arial" w:eastAsia="Arial" w:hAnsi="Arial"/>
          <w:b/>
          <w:bCs/>
          <w:color w:val="111313"/>
          <w:sz w:val="26"/>
          <w:szCs w:val="26"/>
        </w:rPr>
        <w:t xml:space="preserve">6.4 Requisitos Legais</w:t>
      </w:r>
    </w:p>
    <w:p>
      <w:pPr>
        <w:spacing w:after="160"/>
      </w:pPr>
      <w:r>
        <w:rPr>
          <w:rFonts w:ascii="Arial" w:cs="Arial" w:eastAsia="Arial" w:hAnsi="Arial"/>
          <w:i/>
          <w:iCs/>
          <w:color w:val="5B5850"/>
          <w:sz w:val="19"/>
          <w:szCs w:val="19"/>
        </w:rPr>
        <w:t xml:space="preserve">A convicção religiosa é dado pessoal sensível conforme a Lei Geral de Proteção de Dados (Lei n.º 13.709/2018).</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111313" w:val="clear"/>
            <w:tcMar>
              <w:top w:type="dxa" w:w="100"/>
              <w:left w:type="dxa" w:w="120"/>
              <w:bottom w:type="dxa" w:w="100"/>
              <w:right w:type="dxa" w:w="120"/>
            </w:tcMar>
          </w:tcPr>
          <w:p>
            <w:r>
              <w:rPr>
                <w:rFonts w:ascii="Arial" w:cs="Arial" w:eastAsia="Arial" w:hAnsi="Arial"/>
                <w:b/>
                <w:bCs/>
                <w:color w:val="FFFFFF"/>
                <w:sz w:val="19"/>
                <w:szCs w:val="19"/>
              </w:rPr>
              <w:t xml:space="preserve">ID</w:t>
            </w:r>
          </w:p>
        </w:tc>
        <w:tc>
          <w:tcPr>
            <w:tcW w:type="dxa" w:w="7600"/>
            <w:shd w:fill="111313" w:val="clear"/>
            <w:tcMar>
              <w:top w:type="dxa" w:w="100"/>
              <w:left w:type="dxa" w:w="120"/>
              <w:bottom w:type="dxa" w:w="100"/>
              <w:right w:type="dxa" w:w="120"/>
            </w:tcMar>
          </w:tcPr>
          <w:p>
            <w:r>
              <w:rPr>
                <w:rFonts w:ascii="Arial" w:cs="Arial" w:eastAsia="Arial" w:hAnsi="Arial"/>
                <w:b/>
                <w:bCs/>
                <w:color w:val="FFFFFF"/>
                <w:sz w:val="19"/>
                <w:szCs w:val="19"/>
              </w:rPr>
              <w:t xml:space="preserve">Descrição</w:t>
            </w:r>
          </w:p>
        </w:tc>
      </w:tr>
      <w:tr>
        <w:tc>
          <w:tcPr>
            <w:tcW w:type="dxa" w:w="1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RNF-LEG-01</w:t>
            </w:r>
          </w:p>
        </w:tc>
        <w:tc>
          <w:tcPr>
            <w:tcW w:type="dxa" w:w="7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sistema deve estar em conformidade com a LGPD, garantindo consentimento explícito do usuário para coleta e tratamento de dados pessoais, além de mecanismos de exclusão e portabilidade.</w:t>
            </w:r>
          </w:p>
        </w:tc>
      </w:tr>
      <w:tr>
        <w:tc>
          <w:tcPr>
            <w:tcW w:type="dxa" w:w="16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RNF-LEG-02</w:t>
            </w:r>
          </w:p>
        </w:tc>
        <w:tc>
          <w:tcPr>
            <w:tcW w:type="dxa" w:w="76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A convicção religiosa é dado pessoal sensível (art. 5º, II, LGPD): sua coleta deve ser sempre opcional, privada por padrão e nunca condição de uso da plataforma.</w:t>
            </w:r>
          </w:p>
        </w:tc>
      </w:tr>
      <w:tr>
        <w:tc>
          <w:tcPr>
            <w:tcW w:type="dxa" w:w="1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RNF-LEG-03</w:t>
            </w:r>
          </w:p>
        </w:tc>
        <w:tc>
          <w:tcPr>
            <w:tcW w:type="dxa" w:w="7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O usuário deve poder solicitar acesso, correção ou exclusão de seus dados pessoais a qualquer momento.</w:t>
            </w:r>
          </w:p>
        </w:tc>
      </w:tr>
      <w:tr>
        <w:tc>
          <w:tcPr>
            <w:tcW w:type="dxa" w:w="16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RNF-LEG-04</w:t>
            </w:r>
          </w:p>
        </w:tc>
        <w:tc>
          <w:tcPr>
            <w:tcW w:type="dxa" w:w="7600"/>
            <w:shd w:fill="F7F3EC" w:val="clear"/>
            <w:tcMar>
              <w:top w:type="dxa" w:w="100"/>
              <w:left w:type="dxa" w:w="120"/>
              <w:bottom w:type="dxa" w:w="100"/>
              <w:right w:type="dxa" w:w="120"/>
            </w:tcMar>
          </w:tcPr>
          <w:p>
            <w:r>
              <w:rPr>
                <w:rFonts w:ascii="Arial" w:cs="Arial" w:eastAsia="Arial" w:hAnsi="Arial"/>
                <w:b w:val="false"/>
                <w:bCs w:val="false"/>
                <w:color w:val="111313"/>
                <w:sz w:val="19"/>
                <w:szCs w:val="19"/>
              </w:rPr>
              <w:t xml:space="preserve">A primeira versão do portal deve ser concebida prioritariamente para público adulto; funcionalidades de cadastro, personalização ou coleta de dados envolvendo menores exigem análise jurídica específica antes de implementação.</w:t>
            </w:r>
          </w:p>
        </w:tc>
      </w:tr>
      <w:tr>
        <w:tc>
          <w:tcPr>
            <w:tcW w:type="dxa" w:w="1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RNF-LEG-05</w:t>
            </w:r>
          </w:p>
        </w:tc>
        <w:tc>
          <w:tcPr>
            <w:tcW w:type="dxa" w:w="7600"/>
            <w:shd w:fill="FFFFFF" w:val="clear"/>
            <w:tcMar>
              <w:top w:type="dxa" w:w="100"/>
              <w:left w:type="dxa" w:w="120"/>
              <w:bottom w:type="dxa" w:w="100"/>
              <w:right w:type="dxa" w:w="120"/>
            </w:tcMar>
          </w:tcPr>
          <w:p>
            <w:r>
              <w:rPr>
                <w:rFonts w:ascii="Arial" w:cs="Arial" w:eastAsia="Arial" w:hAnsi="Arial"/>
                <w:b w:val="false"/>
                <w:bCs w:val="false"/>
                <w:color w:val="111313"/>
                <w:sz w:val="19"/>
                <w:szCs w:val="19"/>
              </w:rPr>
              <w:t xml:space="preserve">Os termos de uso e a política de privacidade devem ter versão em linguagem simplificada e acessível.</w:t>
            </w:r>
          </w:p>
        </w:tc>
      </w:tr>
    </w:tbl>
    <w:p>
      <w:pPr>
        <w:pStyle w:val="Heading1"/>
        <w:pBdr>
          <w:bottom w:val="single" w:color="390007" w:sz="8" w:space="4"/>
        </w:pBdr>
        <w:spacing w:after="200" w:before="400"/>
      </w:pPr>
      <w:r>
        <w:rPr>
          <w:rFonts w:ascii="Arial" w:cs="Arial" w:eastAsia="Arial" w:hAnsi="Arial"/>
          <w:b/>
          <w:bCs/>
          <w:color w:val="390007"/>
          <w:sz w:val="32"/>
          <w:szCs w:val="32"/>
        </w:rPr>
        <w:t xml:space="preserve">7. Diagramas Técnicos</w:t>
      </w:r>
    </w:p>
    <w:p>
      <w:pPr>
        <w:spacing w:after="160"/>
      </w:pPr>
      <w:r>
        <w:rPr>
          <w:rFonts w:ascii="Georgia" w:cs="Georgia" w:eastAsia="Georgia" w:hAnsi="Georgia"/>
          <w:i w:val="false"/>
          <w:iCs w:val="false"/>
          <w:color w:val="111313"/>
          <w:sz w:val="21"/>
          <w:szCs w:val="21"/>
        </w:rPr>
        <w:t xml:space="preserve">Os diagramas a seguir modelam a arquitetura geral do sistema e o fluxo principal de uso da plataforma, comunicando de forma textual as principais decisões de arquitetura e os relacionamentos entre componentes.</w:t>
      </w:r>
    </w:p>
    <w:p>
      <w:pPr>
        <w:pStyle w:val="Heading2"/>
        <w:spacing w:after="150" w:before="300"/>
      </w:pPr>
      <w:r>
        <w:rPr>
          <w:rFonts w:ascii="Arial" w:cs="Arial" w:eastAsia="Arial" w:hAnsi="Arial"/>
          <w:b/>
          <w:bCs/>
          <w:color w:val="111313"/>
          <w:sz w:val="26"/>
          <w:szCs w:val="26"/>
        </w:rPr>
        <w:t xml:space="preserve">7.1 Diagrama Geral do Sistema (Visão Arquitetural)</w:t>
      </w:r>
    </w:p>
    <w:p>
      <w:pPr>
        <w:spacing w:after="160"/>
      </w:pPr>
      <w:r>
        <w:rPr>
          <w:rFonts w:ascii="Georgia" w:cs="Georgia" w:eastAsia="Georgia" w:hAnsi="Georgia"/>
          <w:i w:val="false"/>
          <w:iCs w:val="false"/>
          <w:color w:val="111313"/>
          <w:sz w:val="21"/>
          <w:szCs w:val="21"/>
        </w:rPr>
        <w:t xml:space="preserve">Stack proposta, respeitando o critério do levantamento de requisitos (segurança, escalabilidade, portabilidade, sem dependência desnecessária de tecnologia proprietária):</w:t>
      </w:r>
    </w:p>
    <w:p>
      <w:pPr>
        <w:pStyle w:val="ListParagraph"/>
        <w:numPr>
          <w:ilvl w:val="0"/>
          <w:numId w:val="1"/>
        </w:numPr>
        <w:spacing w:after="80"/>
      </w:pPr>
      <w:r>
        <w:rPr>
          <w:rFonts w:ascii="Georgia" w:cs="Georgia" w:eastAsia="Georgia" w:hAnsi="Georgia"/>
          <w:color w:val="111313"/>
          <w:sz w:val="21"/>
          <w:szCs w:val="21"/>
        </w:rPr>
        <w:t xml:space="preserve">Frontend SPA (React + TypeScript) — interfaces de Visitante, Membro e Administrador, responsivas para desktop, tablet e celular.</w:t>
      </w:r>
    </w:p>
    <w:p>
      <w:pPr>
        <w:pStyle w:val="ListParagraph"/>
        <w:numPr>
          <w:ilvl w:val="0"/>
          <w:numId w:val="1"/>
        </w:numPr>
        <w:spacing w:after="80"/>
      </w:pPr>
      <w:r>
        <w:rPr>
          <w:rFonts w:ascii="Georgia" w:cs="Georgia" w:eastAsia="Georgia" w:hAnsi="Georgia"/>
          <w:color w:val="111313"/>
          <w:sz w:val="21"/>
          <w:szCs w:val="21"/>
        </w:rPr>
        <w:t xml:space="preserve">API Gateway — ponto de entrada único para requisições REST.</w:t>
      </w:r>
    </w:p>
    <w:p>
      <w:pPr>
        <w:pStyle w:val="ListParagraph"/>
        <w:numPr>
          <w:ilvl w:val="0"/>
          <w:numId w:val="1"/>
        </w:numPr>
        <w:spacing w:after="80"/>
      </w:pPr>
      <w:r>
        <w:rPr>
          <w:rFonts w:ascii="Georgia" w:cs="Georgia" w:eastAsia="Georgia" w:hAnsi="Georgia"/>
          <w:color w:val="111313"/>
          <w:sz w:val="21"/>
          <w:szCs w:val="21"/>
        </w:rPr>
        <w:t xml:space="preserve">Backend API (Node.js/TypeScript) — lógica de negócio, orquestração de conteúdo, moderação e regras de domínio.</w:t>
      </w:r>
    </w:p>
    <w:p>
      <w:pPr>
        <w:pStyle w:val="ListParagraph"/>
        <w:numPr>
          <w:ilvl w:val="0"/>
          <w:numId w:val="1"/>
        </w:numPr>
        <w:spacing w:after="80"/>
      </w:pPr>
      <w:r>
        <w:rPr>
          <w:rFonts w:ascii="Georgia" w:cs="Georgia" w:eastAsia="Georgia" w:hAnsi="Georgia"/>
          <w:color w:val="111313"/>
          <w:sz w:val="21"/>
          <w:szCs w:val="21"/>
        </w:rPr>
        <w:t xml:space="preserve">Camada de IA (RAG) — indexação semântica do acervo e orquestração de modelo de linguagem, sempre condicionada à citação de fonte (RNF-DOM-02).</w:t>
      </w:r>
    </w:p>
    <w:p>
      <w:pPr>
        <w:pStyle w:val="ListParagraph"/>
        <w:numPr>
          <w:ilvl w:val="0"/>
          <w:numId w:val="1"/>
        </w:numPr>
        <w:spacing w:after="80"/>
      </w:pPr>
      <w:r>
        <w:rPr>
          <w:rFonts w:ascii="Georgia" w:cs="Georgia" w:eastAsia="Georgia" w:hAnsi="Georgia"/>
          <w:color w:val="111313"/>
          <w:sz w:val="21"/>
          <w:szCs w:val="21"/>
        </w:rPr>
        <w:t xml:space="preserve">Banco de Dados Relacional (PostgreSQL) — Salas, conteúdos, metadados, usuários e proveniência.</w:t>
      </w:r>
    </w:p>
    <w:p>
      <w:pPr>
        <w:pStyle w:val="ListParagraph"/>
        <w:numPr>
          <w:ilvl w:val="0"/>
          <w:numId w:val="1"/>
        </w:numPr>
        <w:spacing w:after="80"/>
      </w:pPr>
      <w:r>
        <w:rPr>
          <w:rFonts w:ascii="Georgia" w:cs="Georgia" w:eastAsia="Georgia" w:hAnsi="Georgia"/>
          <w:color w:val="111313"/>
          <w:sz w:val="21"/>
          <w:szCs w:val="21"/>
        </w:rPr>
        <w:t xml:space="preserve">Motor de busca/indexação (OpenSearch ou pgvector) — busca por tema e comparação transversal entre Salas.</w:t>
      </w:r>
    </w:p>
    <w:p>
      <w:pPr>
        <w:pStyle w:val="ListParagraph"/>
        <w:numPr>
          <w:ilvl w:val="0"/>
          <w:numId w:val="1"/>
        </w:numPr>
        <w:spacing w:after="80"/>
      </w:pPr>
      <w:r>
        <w:rPr>
          <w:rFonts w:ascii="Georgia" w:cs="Georgia" w:eastAsia="Georgia" w:hAnsi="Georgia"/>
          <w:color w:val="111313"/>
          <w:sz w:val="21"/>
          <w:szCs w:val="21"/>
        </w:rPr>
        <w:t xml:space="preserve">Object Storage compatível com S3 — documentos, imagens e demais mídias do acervo.</w:t>
      </w:r>
    </w:p>
    <w:p>
      <w:pPr>
        <w:pStyle w:val="ListParagraph"/>
        <w:numPr>
          <w:ilvl w:val="0"/>
          <w:numId w:val="1"/>
        </w:numPr>
        <w:spacing w:after="80"/>
      </w:pPr>
      <w:r>
        <w:rPr>
          <w:rFonts w:ascii="Georgia" w:cs="Georgia" w:eastAsia="Georgia" w:hAnsi="Georgia"/>
          <w:color w:val="111313"/>
          <w:sz w:val="21"/>
          <w:szCs w:val="21"/>
        </w:rPr>
        <w:t xml:space="preserve">Serviço de e-mail — notificações transacionais (recuperação de senha, avisos de moderação).</w:t>
      </w:r>
    </w:p>
    <w:p>
      <w:pPr>
        <w:pStyle w:val="ListParagraph"/>
        <w:numPr>
          <w:ilvl w:val="0"/>
          <w:numId w:val="1"/>
        </w:numPr>
        <w:spacing w:after="80"/>
      </w:pPr>
      <w:r>
        <w:rPr>
          <w:rFonts w:ascii="Georgia" w:cs="Georgia" w:eastAsia="Georgia" w:hAnsi="Georgia"/>
          <w:color w:val="111313"/>
          <w:sz w:val="21"/>
          <w:szCs w:val="21"/>
        </w:rPr>
        <w:t xml:space="preserve">Worker assíncrono — indexação de conteúdo, processamento de mídia e triagem automática de moderação.</w:t>
      </w:r>
    </w:p>
    <w:p>
      <w:pPr>
        <w:pStyle w:val="Heading2"/>
        <w:spacing w:after="150" w:before="300"/>
      </w:pPr>
      <w:r>
        <w:rPr>
          <w:rFonts w:ascii="Arial" w:cs="Arial" w:eastAsia="Arial" w:hAnsi="Arial"/>
          <w:b/>
          <w:bCs/>
          <w:color w:val="111313"/>
          <w:sz w:val="26"/>
          <w:szCs w:val="26"/>
        </w:rPr>
        <w:t xml:space="preserve">7.2 Diagrama de Fluxo Principal — Jornada do Buscador</w:t>
      </w:r>
    </w:p>
    <w:p>
      <w:pPr>
        <w:spacing w:after="160"/>
      </w:pPr>
      <w:r>
        <w:rPr>
          <w:rFonts w:ascii="Georgia" w:cs="Georgia" w:eastAsia="Georgia" w:hAnsi="Georgia"/>
          <w:i w:val="false"/>
          <w:iCs w:val="false"/>
          <w:color w:val="111313"/>
          <w:sz w:val="21"/>
          <w:szCs w:val="21"/>
        </w:rPr>
        <w:t xml:space="preserve">Detalha o fluxo de valor central da plataforma: da chegada do visitante à exploração comparativa entre Salas.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Borders>
              <w:left w:val="single" w:color="390007" w:sz="24"/>
            </w:tcBorders>
            <w:shd w:fill="F7F3EC" w:val="clear"/>
            <w:tcMar>
              <w:top w:type="dxa" w:w="160"/>
              <w:left w:type="dxa" w:w="200"/>
              <w:bottom w:type="dxa" w:w="160"/>
              <w:right w:type="dxa" w:w="200"/>
            </w:tcMar>
          </w:tcPr>
          <w:p>
            <w:r>
              <w:rPr>
                <w:rFonts w:ascii="Georgia" w:cs="Georgia" w:eastAsia="Georgia" w:hAnsi="Georgia"/>
                <w:i/>
                <w:iCs/>
                <w:color w:val="111313"/>
                <w:sz w:val="21"/>
                <w:szCs w:val="21"/>
              </w:rPr>
              <w:t xml:space="preserve">Visitante acessa → Explora uma Sala ou busca por tema → Lê conteúdo com fonte indicada → Usa a busca comparativa entre Salas → Consulta o assistente de IA (com fontes citadas) → [Cadastro opcional] → Membro salva favoritos e acompanha trilha de estudo → Retorna e aprofunda em novas Salas.</w:t>
            </w:r>
          </w:p>
        </w:tc>
      </w:tr>
    </w:tbl>
    <w:p>
      <w:pPr>
        <w:pStyle w:val="Heading1"/>
        <w:pBdr>
          <w:bottom w:val="single" w:color="390007" w:sz="8" w:space="4"/>
        </w:pBdr>
        <w:spacing w:after="200" w:before="400"/>
      </w:pPr>
      <w:r>
        <w:rPr>
          <w:rFonts w:ascii="Arial" w:cs="Arial" w:eastAsia="Arial" w:hAnsi="Arial"/>
          <w:b/>
          <w:bCs/>
          <w:color w:val="390007"/>
          <w:sz w:val="32"/>
          <w:szCs w:val="32"/>
        </w:rPr>
        <w:t xml:space="preserve">8. Issues e Milestones</w:t>
      </w:r>
    </w:p>
    <w:p>
      <w:pPr>
        <w:spacing w:after="160"/>
      </w:pPr>
      <w:r>
        <w:rPr>
          <w:rFonts w:ascii="Georgia" w:cs="Georgia" w:eastAsia="Georgia" w:hAnsi="Georgia"/>
          <w:i w:val="false"/>
          <w:iCs w:val="false"/>
          <w:color w:val="111313"/>
          <w:sz w:val="21"/>
          <w:szCs w:val="21"/>
        </w:rPr>
        <w:t xml:space="preserve">Milestones são marcos estratégicos que agrupam issues relacionadas a um objetivo de módulo. A estrutura abaixo apresenta a sequência lógica de entrega — sem cronograma de datas, a ser definido em uma etapa posterior de planejamento com a equipe técnica.</w:t>
      </w:r>
    </w:p>
    <w:p>
      <w:pPr>
        <w:pStyle w:val="Heading2"/>
        <w:spacing w:after="150" w:before="300"/>
      </w:pPr>
      <w:r>
        <w:rPr>
          <w:rFonts w:ascii="Arial" w:cs="Arial" w:eastAsia="Arial" w:hAnsi="Arial"/>
          <w:b/>
          <w:bCs/>
          <w:color w:val="111313"/>
          <w:sz w:val="26"/>
          <w:szCs w:val="26"/>
        </w:rPr>
        <w:t xml:space="preserve">Milestone 1 — Fundação</w:t>
      </w:r>
    </w:p>
    <w:p>
      <w:pPr>
        <w:pStyle w:val="ListParagraph"/>
        <w:numPr>
          <w:ilvl w:val="0"/>
          <w:numId w:val="1"/>
        </w:numPr>
        <w:spacing w:after="80"/>
      </w:pPr>
      <w:r>
        <w:rPr>
          <w:rFonts w:ascii="Georgia" w:cs="Georgia" w:eastAsia="Georgia" w:hAnsi="Georgia"/>
          <w:color w:val="111313"/>
          <w:sz w:val="21"/>
          <w:szCs w:val="21"/>
        </w:rPr>
        <w:t xml:space="preserve">Definir stack tecnológica (frontend, backend, banco de dados, IA, cloud).</w:t>
      </w:r>
    </w:p>
    <w:p>
      <w:pPr>
        <w:pStyle w:val="ListParagraph"/>
        <w:numPr>
          <w:ilvl w:val="0"/>
          <w:numId w:val="1"/>
        </w:numPr>
        <w:spacing w:after="80"/>
      </w:pPr>
      <w:r>
        <w:rPr>
          <w:rFonts w:ascii="Georgia" w:cs="Georgia" w:eastAsia="Georgia" w:hAnsi="Georgia"/>
          <w:color w:val="111313"/>
          <w:sz w:val="21"/>
          <w:szCs w:val="21"/>
        </w:rPr>
        <w:t xml:space="preserve">Especificar modelos de dados: Sala, Conteúdo, Fonte, Usuário, Trilha, Comentário.</w:t>
      </w:r>
    </w:p>
    <w:p>
      <w:pPr>
        <w:pStyle w:val="ListParagraph"/>
        <w:numPr>
          <w:ilvl w:val="0"/>
          <w:numId w:val="1"/>
        </w:numPr>
        <w:spacing w:after="80"/>
      </w:pPr>
      <w:r>
        <w:rPr>
          <w:rFonts w:ascii="Georgia" w:cs="Georgia" w:eastAsia="Georgia" w:hAnsi="Georgia"/>
          <w:color w:val="111313"/>
          <w:sz w:val="21"/>
          <w:szCs w:val="21"/>
        </w:rPr>
        <w:t xml:space="preserve">Definir contratos de API (endpoints REST, payloads e retornos).</w:t>
      </w:r>
    </w:p>
    <w:p>
      <w:pPr>
        <w:pStyle w:val="ListParagraph"/>
        <w:numPr>
          <w:ilvl w:val="0"/>
          <w:numId w:val="1"/>
        </w:numPr>
        <w:spacing w:after="80"/>
      </w:pPr>
      <w:r>
        <w:rPr>
          <w:rFonts w:ascii="Georgia" w:cs="Georgia" w:eastAsia="Georgia" w:hAnsi="Georgia"/>
          <w:color w:val="111313"/>
          <w:sz w:val="21"/>
          <w:szCs w:val="21"/>
        </w:rPr>
        <w:t xml:space="preserve">Criar wireframes de baixa fidelidade para todos os módulos, a partir da biblioteca de componentes já definida.</w:t>
      </w:r>
    </w:p>
    <w:p>
      <w:pPr>
        <w:pStyle w:val="ListParagraph"/>
        <w:numPr>
          <w:ilvl w:val="0"/>
          <w:numId w:val="1"/>
        </w:numPr>
        <w:spacing w:after="80"/>
      </w:pPr>
      <w:r>
        <w:rPr>
          <w:rFonts w:ascii="Georgia" w:cs="Georgia" w:eastAsia="Georgia" w:hAnsi="Georgia"/>
          <w:color w:val="111313"/>
          <w:sz w:val="21"/>
          <w:szCs w:val="21"/>
        </w:rPr>
        <w:t xml:space="preserve">Configurar repositório, CI/CD básico e ambientes (dev, staging, produção).</w:t>
      </w:r>
    </w:p>
    <w:p>
      <w:pPr>
        <w:pStyle w:val="Heading2"/>
        <w:spacing w:after="150" w:before="300"/>
      </w:pPr>
      <w:r>
        <w:rPr>
          <w:rFonts w:ascii="Arial" w:cs="Arial" w:eastAsia="Arial" w:hAnsi="Arial"/>
          <w:b/>
          <w:bCs/>
          <w:color w:val="111313"/>
          <w:sz w:val="26"/>
          <w:szCs w:val="26"/>
        </w:rPr>
        <w:t xml:space="preserve">Milestone 2 — Autenticação e Perfis</w:t>
      </w:r>
    </w:p>
    <w:p>
      <w:pPr>
        <w:pStyle w:val="ListParagraph"/>
        <w:numPr>
          <w:ilvl w:val="0"/>
          <w:numId w:val="1"/>
        </w:numPr>
        <w:spacing w:after="80"/>
      </w:pPr>
      <w:r>
        <w:rPr>
          <w:rFonts w:ascii="Georgia" w:cs="Georgia" w:eastAsia="Georgia" w:hAnsi="Georgia"/>
          <w:color w:val="111313"/>
          <w:sz w:val="21"/>
          <w:szCs w:val="21"/>
        </w:rPr>
        <w:t xml:space="preserve">Implementar cadastro opcional, login e recuperação de senha (JWT).</w:t>
      </w:r>
    </w:p>
    <w:p>
      <w:pPr>
        <w:pStyle w:val="ListParagraph"/>
        <w:numPr>
          <w:ilvl w:val="0"/>
          <w:numId w:val="1"/>
        </w:numPr>
        <w:spacing w:after="80"/>
      </w:pPr>
      <w:r>
        <w:rPr>
          <w:rFonts w:ascii="Georgia" w:cs="Georgia" w:eastAsia="Georgia" w:hAnsi="Georgia"/>
          <w:color w:val="111313"/>
          <w:sz w:val="21"/>
          <w:szCs w:val="21"/>
        </w:rPr>
        <w:t xml:space="preserve">Implementar uso de pseudônimo como identidade pública.</w:t>
      </w:r>
    </w:p>
    <w:p>
      <w:pPr>
        <w:pStyle w:val="ListParagraph"/>
        <w:numPr>
          <w:ilvl w:val="0"/>
          <w:numId w:val="1"/>
        </w:numPr>
        <w:spacing w:after="80"/>
      </w:pPr>
      <w:r>
        <w:rPr>
          <w:rFonts w:ascii="Georgia" w:cs="Georgia" w:eastAsia="Georgia" w:hAnsi="Georgia"/>
          <w:color w:val="111313"/>
          <w:sz w:val="21"/>
          <w:szCs w:val="21"/>
        </w:rPr>
        <w:t xml:space="preserve">Criar página de perfil com edição de dados pessoais e campo opcional de tradição de interesse.</w:t>
      </w:r>
    </w:p>
    <w:p>
      <w:pPr>
        <w:pStyle w:val="ListParagraph"/>
        <w:numPr>
          <w:ilvl w:val="0"/>
          <w:numId w:val="1"/>
        </w:numPr>
        <w:spacing w:after="80"/>
      </w:pPr>
      <w:r>
        <w:rPr>
          <w:rFonts w:ascii="Georgia" w:cs="Georgia" w:eastAsia="Georgia" w:hAnsi="Georgia"/>
          <w:color w:val="111313"/>
          <w:sz w:val="21"/>
          <w:szCs w:val="21"/>
        </w:rPr>
        <w:t xml:space="preserve">Implementar papéis básicos de acesso (visitante, membro, administrador).</w:t>
      </w:r>
    </w:p>
    <w:p>
      <w:pPr>
        <w:pStyle w:val="Heading2"/>
        <w:spacing w:after="150" w:before="300"/>
      </w:pPr>
      <w:r>
        <w:rPr>
          <w:rFonts w:ascii="Arial" w:cs="Arial" w:eastAsia="Arial" w:hAnsi="Arial"/>
          <w:b/>
          <w:bCs/>
          <w:color w:val="111313"/>
          <w:sz w:val="26"/>
          <w:szCs w:val="26"/>
        </w:rPr>
        <w:t xml:space="preserve">Milestone 3 — Acervo em Salas</w:t>
      </w:r>
    </w:p>
    <w:p>
      <w:pPr>
        <w:pStyle w:val="ListParagraph"/>
        <w:numPr>
          <w:ilvl w:val="0"/>
          <w:numId w:val="1"/>
        </w:numPr>
        <w:spacing w:after="80"/>
      </w:pPr>
      <w:r>
        <w:rPr>
          <w:rFonts w:ascii="Georgia" w:cs="Georgia" w:eastAsia="Georgia" w:hAnsi="Georgia"/>
          <w:color w:val="111313"/>
          <w:sz w:val="21"/>
          <w:szCs w:val="21"/>
        </w:rPr>
        <w:t xml:space="preserve">CRUD de Salas e conteúdos no painel administrativo, com metadados cruzados.</w:t>
      </w:r>
    </w:p>
    <w:p>
      <w:pPr>
        <w:pStyle w:val="ListParagraph"/>
        <w:numPr>
          <w:ilvl w:val="0"/>
          <w:numId w:val="1"/>
        </w:numPr>
        <w:spacing w:after="80"/>
      </w:pPr>
      <w:r>
        <w:rPr>
          <w:rFonts w:ascii="Georgia" w:cs="Georgia" w:eastAsia="Georgia" w:hAnsi="Georgia"/>
          <w:color w:val="111313"/>
          <w:sz w:val="21"/>
          <w:szCs w:val="21"/>
        </w:rPr>
        <w:t xml:space="preserve">Implementar classificação de proveniência do conteúdo (fonte primária, editorial, comunidade, especialista, IA).</w:t>
      </w:r>
    </w:p>
    <w:p>
      <w:pPr>
        <w:pStyle w:val="ListParagraph"/>
        <w:numPr>
          <w:ilvl w:val="0"/>
          <w:numId w:val="1"/>
        </w:numPr>
        <w:spacing w:after="80"/>
      </w:pPr>
      <w:r>
        <w:rPr>
          <w:rFonts w:ascii="Georgia" w:cs="Georgia" w:eastAsia="Georgia" w:hAnsi="Georgia"/>
          <w:color w:val="111313"/>
          <w:sz w:val="21"/>
          <w:szCs w:val="21"/>
        </w:rPr>
        <w:t xml:space="preserve">Criar glossário em formato de verbete expansível.</w:t>
      </w:r>
    </w:p>
    <w:p>
      <w:pPr>
        <w:pStyle w:val="ListParagraph"/>
        <w:numPr>
          <w:ilvl w:val="0"/>
          <w:numId w:val="1"/>
        </w:numPr>
        <w:spacing w:after="80"/>
      </w:pPr>
      <w:r>
        <w:rPr>
          <w:rFonts w:ascii="Georgia" w:cs="Georgia" w:eastAsia="Georgia" w:hAnsi="Georgia"/>
          <w:color w:val="111313"/>
          <w:sz w:val="21"/>
          <w:szCs w:val="21"/>
        </w:rPr>
        <w:t xml:space="preserve">Integrar cards de vídeo do YouTube vinculados a Salas e temas.</w:t>
      </w:r>
    </w:p>
    <w:p>
      <w:pPr>
        <w:pStyle w:val="Heading2"/>
        <w:spacing w:after="150" w:before="300"/>
      </w:pPr>
      <w:r>
        <w:rPr>
          <w:rFonts w:ascii="Arial" w:cs="Arial" w:eastAsia="Arial" w:hAnsi="Arial"/>
          <w:b/>
          <w:bCs/>
          <w:color w:val="111313"/>
          <w:sz w:val="26"/>
          <w:szCs w:val="26"/>
        </w:rPr>
        <w:t xml:space="preserve">Milestone 4 — Busca e Comparação Transversal</w:t>
      </w:r>
    </w:p>
    <w:p>
      <w:pPr>
        <w:pStyle w:val="ListParagraph"/>
        <w:numPr>
          <w:ilvl w:val="0"/>
          <w:numId w:val="1"/>
        </w:numPr>
        <w:spacing w:after="80"/>
      </w:pPr>
      <w:r>
        <w:rPr>
          <w:rFonts w:ascii="Georgia" w:cs="Georgia" w:eastAsia="Georgia" w:hAnsi="Georgia"/>
          <w:color w:val="111313"/>
          <w:sz w:val="21"/>
          <w:szCs w:val="21"/>
        </w:rPr>
        <w:t xml:space="preserve">Implementar busca por Sala/tradição e por tema/pergunta.</w:t>
      </w:r>
    </w:p>
    <w:p>
      <w:pPr>
        <w:pStyle w:val="ListParagraph"/>
        <w:numPr>
          <w:ilvl w:val="0"/>
          <w:numId w:val="1"/>
        </w:numPr>
        <w:spacing w:after="80"/>
      </w:pPr>
      <w:r>
        <w:rPr>
          <w:rFonts w:ascii="Georgia" w:cs="Georgia" w:eastAsia="Georgia" w:hAnsi="Georgia"/>
          <w:color w:val="111313"/>
          <w:sz w:val="21"/>
          <w:szCs w:val="21"/>
        </w:rPr>
        <w:t xml:space="preserve">Criar grade comparativa entre Salas para uma mesma pergunta.</w:t>
      </w:r>
    </w:p>
    <w:p>
      <w:pPr>
        <w:pStyle w:val="ListParagraph"/>
        <w:numPr>
          <w:ilvl w:val="0"/>
          <w:numId w:val="1"/>
        </w:numPr>
        <w:spacing w:after="80"/>
      </w:pPr>
      <w:r>
        <w:rPr>
          <w:rFonts w:ascii="Georgia" w:cs="Georgia" w:eastAsia="Georgia" w:hAnsi="Georgia"/>
          <w:color w:val="111313"/>
          <w:sz w:val="21"/>
          <w:szCs w:val="21"/>
        </w:rPr>
        <w:t xml:space="preserve">Implementar filtros de busca (Sala, tema, nível, formato) e chips de tema transversal.</w:t>
      </w:r>
    </w:p>
    <w:p>
      <w:pPr>
        <w:pStyle w:val="Heading2"/>
        <w:spacing w:after="150" w:before="300"/>
      </w:pPr>
      <w:r>
        <w:rPr>
          <w:rFonts w:ascii="Arial" w:cs="Arial" w:eastAsia="Arial" w:hAnsi="Arial"/>
          <w:b/>
          <w:bCs/>
          <w:color w:val="111313"/>
          <w:sz w:val="26"/>
          <w:szCs w:val="26"/>
        </w:rPr>
        <w:t xml:space="preserve">Milestone 5 — Assistente de Inteligência Artificial</w:t>
      </w:r>
    </w:p>
    <w:p>
      <w:pPr>
        <w:pStyle w:val="ListParagraph"/>
        <w:numPr>
          <w:ilvl w:val="0"/>
          <w:numId w:val="1"/>
        </w:numPr>
        <w:spacing w:after="80"/>
      </w:pPr>
      <w:r>
        <w:rPr>
          <w:rFonts w:ascii="Georgia" w:cs="Georgia" w:eastAsia="Georgia" w:hAnsi="Georgia"/>
          <w:color w:val="111313"/>
          <w:sz w:val="21"/>
          <w:szCs w:val="21"/>
        </w:rPr>
        <w:t xml:space="preserve">Implementar indexação semântica (RAG) sobre o acervo cadastrado.</w:t>
      </w:r>
    </w:p>
    <w:p>
      <w:pPr>
        <w:pStyle w:val="ListParagraph"/>
        <w:numPr>
          <w:ilvl w:val="0"/>
          <w:numId w:val="1"/>
        </w:numPr>
        <w:spacing w:after="80"/>
      </w:pPr>
      <w:r>
        <w:rPr>
          <w:rFonts w:ascii="Georgia" w:cs="Georgia" w:eastAsia="Georgia" w:hAnsi="Georgia"/>
          <w:color w:val="111313"/>
          <w:sz w:val="21"/>
          <w:szCs w:val="21"/>
        </w:rPr>
        <w:t xml:space="preserve">Implementar geração de resposta com citação obrigatória de fonte.</w:t>
      </w:r>
    </w:p>
    <w:p>
      <w:pPr>
        <w:pStyle w:val="ListParagraph"/>
        <w:numPr>
          <w:ilvl w:val="0"/>
          <w:numId w:val="1"/>
        </w:numPr>
        <w:spacing w:after="80"/>
      </w:pPr>
      <w:r>
        <w:rPr>
          <w:rFonts w:ascii="Georgia" w:cs="Georgia" w:eastAsia="Georgia" w:hAnsi="Georgia"/>
          <w:color w:val="111313"/>
          <w:sz w:val="21"/>
          <w:szCs w:val="21"/>
        </w:rPr>
        <w:t xml:space="preserve">Implementar distinção visual entre fonte documental, interpretação editorial e síntese de IA.</w:t>
      </w:r>
    </w:p>
    <w:p>
      <w:pPr>
        <w:pStyle w:val="ListParagraph"/>
        <w:numPr>
          <w:ilvl w:val="0"/>
          <w:numId w:val="1"/>
        </w:numPr>
        <w:spacing w:after="80"/>
      </w:pPr>
      <w:r>
        <w:rPr>
          <w:rFonts w:ascii="Georgia" w:cs="Georgia" w:eastAsia="Georgia" w:hAnsi="Georgia"/>
          <w:color w:val="111313"/>
          <w:sz w:val="21"/>
          <w:szCs w:val="21"/>
        </w:rPr>
        <w:t xml:space="preserve">Validar, por teste manual, que o assistente nunca assume autoridade espiritual (RF-31).</w:t>
      </w:r>
    </w:p>
    <w:p>
      <w:pPr>
        <w:pStyle w:val="Heading2"/>
        <w:spacing w:after="150" w:before="300"/>
      </w:pPr>
      <w:r>
        <w:rPr>
          <w:rFonts w:ascii="Arial" w:cs="Arial" w:eastAsia="Arial" w:hAnsi="Arial"/>
          <w:b/>
          <w:bCs/>
          <w:color w:val="111313"/>
          <w:sz w:val="26"/>
          <w:szCs w:val="26"/>
        </w:rPr>
        <w:t xml:space="preserve">Milestone 6 — Trilhas e Comunidade Inicial</w:t>
      </w:r>
    </w:p>
    <w:p>
      <w:pPr>
        <w:pStyle w:val="ListParagraph"/>
        <w:numPr>
          <w:ilvl w:val="0"/>
          <w:numId w:val="1"/>
        </w:numPr>
        <w:spacing w:after="80"/>
      </w:pPr>
      <w:r>
        <w:rPr>
          <w:rFonts w:ascii="Georgia" w:cs="Georgia" w:eastAsia="Georgia" w:hAnsi="Georgia"/>
          <w:color w:val="111313"/>
          <w:sz w:val="21"/>
          <w:szCs w:val="21"/>
        </w:rPr>
        <w:t xml:space="preserve">Implementar trilhas de estudo com níveis progressivos e indicação visual de progresso.</w:t>
      </w:r>
    </w:p>
    <w:p>
      <w:pPr>
        <w:pStyle w:val="ListParagraph"/>
        <w:numPr>
          <w:ilvl w:val="0"/>
          <w:numId w:val="1"/>
        </w:numPr>
        <w:spacing w:after="80"/>
      </w:pPr>
      <w:r>
        <w:rPr>
          <w:rFonts w:ascii="Georgia" w:cs="Georgia" w:eastAsia="Georgia" w:hAnsi="Georgia"/>
          <w:color w:val="111313"/>
          <w:sz w:val="21"/>
          <w:szCs w:val="21"/>
        </w:rPr>
        <w:t xml:space="preserve">Implementar comentários vinculados a conteúdo, com regras de convivência.</w:t>
      </w:r>
    </w:p>
    <w:p>
      <w:pPr>
        <w:pStyle w:val="ListParagraph"/>
        <w:numPr>
          <w:ilvl w:val="0"/>
          <w:numId w:val="1"/>
        </w:numPr>
        <w:spacing w:after="80"/>
      </w:pPr>
      <w:r>
        <w:rPr>
          <w:rFonts w:ascii="Georgia" w:cs="Georgia" w:eastAsia="Georgia" w:hAnsi="Georgia"/>
          <w:color w:val="111313"/>
          <w:sz w:val="21"/>
          <w:szCs w:val="21"/>
        </w:rPr>
        <w:t xml:space="preserve">Implementar triagem automática de spam/conteúdo ofensivo com fila de revisão humana.</w:t>
      </w:r>
    </w:p>
    <w:p>
      <w:pPr>
        <w:pStyle w:val="Heading2"/>
        <w:spacing w:after="150" w:before="300"/>
      </w:pPr>
      <w:r>
        <w:rPr>
          <w:rFonts w:ascii="Arial" w:cs="Arial" w:eastAsia="Arial" w:hAnsi="Arial"/>
          <w:b/>
          <w:bCs/>
          <w:color w:val="111313"/>
          <w:sz w:val="26"/>
          <w:szCs w:val="26"/>
        </w:rPr>
        <w:t xml:space="preserve">Milestone 7 — Segurança, Testes e Deploy</w:t>
      </w:r>
    </w:p>
    <w:p>
      <w:pPr>
        <w:pStyle w:val="ListParagraph"/>
        <w:numPr>
          <w:ilvl w:val="0"/>
          <w:numId w:val="1"/>
        </w:numPr>
        <w:spacing w:after="80"/>
      </w:pPr>
      <w:r>
        <w:rPr>
          <w:rFonts w:ascii="Georgia" w:cs="Georgia" w:eastAsia="Georgia" w:hAnsi="Georgia"/>
          <w:color w:val="111313"/>
          <w:sz w:val="21"/>
          <w:szCs w:val="21"/>
        </w:rPr>
        <w:t xml:space="preserve">Implementar conformidade com LGPD: consentimento, exclusão e portabilidade de dados.</w:t>
      </w:r>
    </w:p>
    <w:p>
      <w:pPr>
        <w:pStyle w:val="ListParagraph"/>
        <w:numPr>
          <w:ilvl w:val="0"/>
          <w:numId w:val="1"/>
        </w:numPr>
        <w:spacing w:after="80"/>
      </w:pPr>
      <w:r>
        <w:rPr>
          <w:rFonts w:ascii="Georgia" w:cs="Georgia" w:eastAsia="Georgia" w:hAnsi="Georgia"/>
          <w:color w:val="111313"/>
          <w:sz w:val="21"/>
          <w:szCs w:val="21"/>
        </w:rPr>
        <w:t xml:space="preserve">Realizar auditoria de acessibilidade (WCAG 2.1 AA).</w:t>
      </w:r>
    </w:p>
    <w:p>
      <w:pPr>
        <w:pStyle w:val="ListParagraph"/>
        <w:numPr>
          <w:ilvl w:val="0"/>
          <w:numId w:val="1"/>
        </w:numPr>
        <w:spacing w:after="80"/>
      </w:pPr>
      <w:r>
        <w:rPr>
          <w:rFonts w:ascii="Georgia" w:cs="Georgia" w:eastAsia="Georgia" w:hAnsi="Georgia"/>
          <w:color w:val="111313"/>
          <w:sz w:val="21"/>
          <w:szCs w:val="21"/>
        </w:rPr>
        <w:t xml:space="preserve">Executar testes E2E do fluxo completo do buscador.</w:t>
      </w:r>
    </w:p>
    <w:p>
      <w:pPr>
        <w:pStyle w:val="ListParagraph"/>
        <w:numPr>
          <w:ilvl w:val="0"/>
          <w:numId w:val="1"/>
        </w:numPr>
        <w:spacing w:after="80"/>
      </w:pPr>
      <w:r>
        <w:rPr>
          <w:rFonts w:ascii="Georgia" w:cs="Georgia" w:eastAsia="Georgia" w:hAnsi="Georgia"/>
          <w:color w:val="111313"/>
          <w:sz w:val="21"/>
          <w:szCs w:val="21"/>
        </w:rPr>
        <w:t xml:space="preserve">Deploy em ambiente de homologação e testes de usabilidade com usuários reais.</w:t>
      </w:r>
    </w:p>
    <w:p>
      <w:pPr>
        <w:pStyle w:val="Heading1"/>
        <w:pBdr>
          <w:bottom w:val="single" w:color="390007" w:sz="8" w:space="4"/>
        </w:pBdr>
        <w:spacing w:after="200" w:before="400"/>
      </w:pPr>
      <w:r>
        <w:rPr>
          <w:rFonts w:ascii="Arial" w:cs="Arial" w:eastAsia="Arial" w:hAnsi="Arial"/>
          <w:b/>
          <w:bCs/>
          <w:color w:val="390007"/>
          <w:sz w:val="32"/>
          <w:szCs w:val="32"/>
        </w:rPr>
        <w:t xml:space="preserve">9. Conclusão e Próximos Passos</w:t>
      </w:r>
    </w:p>
    <w:p>
      <w:pPr>
        <w:pStyle w:val="Heading2"/>
        <w:spacing w:after="150" w:before="300"/>
      </w:pPr>
      <w:r>
        <w:rPr>
          <w:rFonts w:ascii="Arial" w:cs="Arial" w:eastAsia="Arial" w:hAnsi="Arial"/>
          <w:b/>
          <w:bCs/>
          <w:color w:val="111313"/>
          <w:sz w:val="26"/>
          <w:szCs w:val="26"/>
        </w:rPr>
        <w:t xml:space="preserve">Próximos Passos</w:t>
      </w:r>
    </w:p>
    <w:p>
      <w:pPr>
        <w:pStyle w:val="ListParagraph"/>
        <w:numPr>
          <w:ilvl w:val="0"/>
          <w:numId w:val="1"/>
        </w:numPr>
        <w:spacing w:after="80"/>
      </w:pPr>
      <w:r>
        <w:rPr>
          <w:rFonts w:ascii="Georgia" w:cs="Georgia" w:eastAsia="Georgia" w:hAnsi="Georgia"/>
          <w:color w:val="111313"/>
          <w:sz w:val="21"/>
          <w:szCs w:val="21"/>
        </w:rPr>
        <w:t xml:space="preserve">Validar este documento com base no levantamento de requisitos (questionário de 46 perguntas) e no Branding Book / DNA Criativo já existentes.</w:t>
      </w:r>
    </w:p>
    <w:p>
      <w:pPr>
        <w:pStyle w:val="ListParagraph"/>
        <w:numPr>
          <w:ilvl w:val="0"/>
          <w:numId w:val="1"/>
        </w:numPr>
        <w:spacing w:after="80"/>
      </w:pPr>
      <w:r>
        <w:rPr>
          <w:rFonts w:ascii="Georgia" w:cs="Georgia" w:eastAsia="Georgia" w:hAnsi="Georgia"/>
          <w:color w:val="111313"/>
          <w:sz w:val="21"/>
          <w:szCs w:val="21"/>
        </w:rPr>
        <w:t xml:space="preserve">Detalhar contratos de API e modelos de dados por módulo, a partir da Milestone 1.</w:t>
      </w:r>
    </w:p>
    <w:p>
      <w:pPr>
        <w:pStyle w:val="ListParagraph"/>
        <w:numPr>
          <w:ilvl w:val="0"/>
          <w:numId w:val="1"/>
        </w:numPr>
        <w:spacing w:after="80"/>
      </w:pPr>
      <w:r>
        <w:rPr>
          <w:rFonts w:ascii="Georgia" w:cs="Georgia" w:eastAsia="Georgia" w:hAnsi="Georgia"/>
          <w:color w:val="111313"/>
          <w:sz w:val="21"/>
          <w:szCs w:val="21"/>
        </w:rPr>
        <w:t xml:space="preserve">Prototipar as telas do portal reutilizando a biblioteca de componentes já definida para A Sala dos Buscadores.</w:t>
      </w:r>
    </w:p>
    <w:p>
      <w:pPr>
        <w:pStyle w:val="ListParagraph"/>
        <w:numPr>
          <w:ilvl w:val="0"/>
          <w:numId w:val="1"/>
        </w:numPr>
        <w:spacing w:after="80"/>
      </w:pPr>
      <w:r>
        <w:rPr>
          <w:rFonts w:ascii="Georgia" w:cs="Georgia" w:eastAsia="Georgia" w:hAnsi="Georgia"/>
          <w:color w:val="111313"/>
          <w:sz w:val="21"/>
          <w:szCs w:val="21"/>
        </w:rPr>
        <w:t xml:space="preserve">Definir assessoria jurídica específica para revisão de LGPD e tratamento de dado sensível (convicção religiosa) antes do lançamento.</w:t>
      </w:r>
    </w:p>
    <w:p>
      <w:pPr>
        <w:pStyle w:val="ListParagraph"/>
        <w:numPr>
          <w:ilvl w:val="0"/>
          <w:numId w:val="1"/>
        </w:numPr>
        <w:spacing w:after="80"/>
      </w:pPr>
      <w:r>
        <w:rPr>
          <w:rFonts w:ascii="Georgia" w:cs="Georgia" w:eastAsia="Georgia" w:hAnsi="Georgia"/>
          <w:color w:val="111313"/>
          <w:sz w:val="21"/>
          <w:szCs w:val="21"/>
        </w:rPr>
        <w:t xml:space="preserve">Estabelecer baseline de métricas após os primeiros meses de operação, para então definir metas numéricas de North Star Metric e métricas de suporte.</w:t>
      </w:r>
    </w:p>
    <w:p>
      <w:pPr>
        <w:pStyle w:val="ListParagraph"/>
        <w:numPr>
          <w:ilvl w:val="0"/>
          <w:numId w:val="1"/>
        </w:numPr>
        <w:spacing w:after="80"/>
      </w:pPr>
      <w:r>
        <w:rPr>
          <w:rFonts w:ascii="Georgia" w:cs="Georgia" w:eastAsia="Georgia" w:hAnsi="Georgia"/>
          <w:color w:val="111313"/>
          <w:sz w:val="21"/>
          <w:szCs w:val="21"/>
        </w:rPr>
        <w:t xml:space="preserve">Planejar cronograma de desenvolvimento com a equipe técnica responsável, em etapa posterior a este documento.</w:t>
      </w:r>
    </w:p>
    <w:p>
      <w:pPr>
        <w:pBdr>
          <w:top w:val="single" w:color="390007" w:sz="8" w:space="8"/>
        </w:pBdr>
        <w:spacing w:before="600"/>
        <w:jc w:val="center"/>
      </w:pPr>
      <w:r>
        <w:rPr>
          <w:rFonts w:ascii="Arial" w:cs="Arial" w:eastAsia="Arial" w:hAnsi="Arial"/>
          <w:i/>
          <w:iCs/>
          <w:color w:val="5B5850"/>
          <w:sz w:val="20"/>
          <w:szCs w:val="20"/>
        </w:rPr>
        <w:t xml:space="preserve">A Sala dos Buscadores  ·  Curador de museu, não pregador</w:t>
      </w:r>
    </w:p>
    <w:p>
      <w:pPr>
        <w:jc w:val="center"/>
      </w:pPr>
      <w:r>
        <w:rPr>
          <w:rFonts w:ascii="Arial" w:cs="Arial" w:eastAsia="Arial" w:hAnsi="Arial"/>
          <w:color w:val="5B5850"/>
          <w:sz w:val="18"/>
          <w:szCs w:val="18"/>
        </w:rPr>
        <w:t xml:space="preserve">Documento de Requisitos de Sistema  ·  Versão 1.0  ·  2026</w:t>
      </w:r>
    </w:p>
    <w:sectPr>
      <w:headerReference w:type="default" r:id="rId6"/>
      <w:footerReference w:type="default" r:id="rId7"/>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5850"/>
        <w:sz w:val="16"/>
        <w:szCs w:val="16"/>
      </w:rPr>
      <w:t xml:space="preserve">A Sala dos Buscadores — Confidencial,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C759" w:sz="6" w:space="4"/>
      </w:pBdr>
      <w:tabs>
        <w:tab w:val="right" w:pos="9500"/>
      </w:tabs>
    </w:pPr>
    <w:r>
      <w:rPr>
        <w:rFonts w:ascii="Arial" w:cs="Arial" w:eastAsia="Arial" w:hAnsi="Arial"/>
        <w:b/>
        <w:bCs/>
        <w:color w:val="390007"/>
        <w:sz w:val="18"/>
        <w:szCs w:val="18"/>
      </w:rPr>
      <w:t xml:space="preserve">A Sala dos Buscadores</w:t>
    </w:r>
    <w:r>
      <w:rPr>
        <w:rFonts w:ascii="Arial" w:cs="Arial" w:eastAsia="Arial" w:hAnsi="Arial"/>
        <w:color w:val="5B5850"/>
        <w:sz w:val="16"/>
        <w:szCs w:val="16"/>
      </w:rPr>
      <w:t xml:space="preserve">	Documento de Requisitos de Sistema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31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2026-09-28T14:40:40.478Z</dcterms:created>
  <dcterms:modified xsi:type="dcterms:W3CDTF">2026-09-28T14:40:40.480Z</dcterms:modified>
</cp:coreProperties>
</file>

<file path=docProps/custom.xml><?xml version="1.0" encoding="utf-8"?>
<Properties xmlns="http://schemas.openxmlformats.org/officeDocument/2006/custom-properties" xmlns:vt="http://schemas.openxmlformats.org/officeDocument/2006/docPropsVTypes"/>
</file>