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A Hybrid Physics–Machine-Learning System for Short-Lead Urban Flood Nowcasting</w:t>
      </w:r>
    </w:p>
    <w:p>
      <w:pPr>
        <w:jc w:val="center"/>
      </w:pPr>
      <w:r>
        <w:rPr>
          <w:i/>
          <w:color w:val="555555"/>
          <w:sz w:val="24"/>
        </w:rPr>
        <w:t>Methodology, Results and Discussion — Case study: South C, Nairobi (rain gauge TA00026)</w:t>
      </w:r>
    </w:p>
    <w:p/>
    <w:p>
      <w:pPr>
        <w:pStyle w:val="Heading1"/>
      </w:pPr>
      <w:r>
        <w:t>Abstract</w:t>
      </w:r>
    </w:p>
    <w:p>
      <w:pPr>
        <w:spacing w:after="120"/>
      </w:pPr>
      <w:r>
        <w:rPr>
          <w:i w:val="0"/>
        </w:rPr>
        <w:t>Urban pluvial (rainfall-driven) flooding in rapidly growing African cities is frequent, highly localised and poorly served by conventional hydrological warning systems. This report presents FloodCast, a prototype hybrid forecasting system that combines a lumped physically-based runoff–capacity model (the Generalized Runoff Capacity, GRC, surrogate) with an uncertainty-aware machine-learning (ML) residual learner to produce probabilistic 1–6 hour flood nowcasts for the South C area of Nairobi. Because no observed inundation record exists for the study area, model skill is demonstrated against a physically-based synthetic reference driven by the real observed rainfall. On a chronologically held-out test set, the hybrid model reduces the 1-hour flood-depth RMSE from 2.19 mm (physics only) to 0.73 mm — a 67% reduction — achieves a flood-event discrimination score of AUC = 0.871 and a well-calibrated 90% predictive interval (empirical coverage 0.888). A cost–loss decision analysis shows the forecast delivers positive economic value over climatology at short lead times (best relative economic value 0.582 at 1 h). The results establish the method — not validated operational skill — and provide a template for deployment once real inundation observations become available.</w:t>
      </w:r>
    </w:p>
    <w:p>
      <w:pPr>
        <w:pStyle w:val="Heading1"/>
      </w:pPr>
      <w:r>
        <w:t>1. Introduction</w:t>
      </w:r>
    </w:p>
    <w:p>
      <w:pPr>
        <w:pStyle w:val="Heading2"/>
      </w:pPr>
      <w:r>
        <w:t>1.1 Problem context</w:t>
      </w:r>
    </w:p>
    <w:p>
      <w:pPr>
        <w:spacing w:after="120"/>
      </w:pPr>
      <w:r>
        <w:rPr>
          <w:i w:val="0"/>
        </w:rPr>
        <w:t>Nairobi's South C neighbourhood experiences recurrent flash flooding during the March–May long rains and October–December short rains. Flooding is driven by short, intense convective rainfall bursts interacting with undersized and frequently blocked drainage infrastructure, producing localised ponding at a small number of hydraulic chokepoints (culverts, outfalls, low-lying junctions). Two properties make this problem difficult for classical methods:</w:t>
      </w:r>
    </w:p>
    <w:p>
      <w:pPr>
        <w:pStyle w:val="ListNumber"/>
        <w:spacing w:after="40"/>
      </w:pPr>
      <w:r>
        <w:t>Rarity and class imbalance. Damaging flooding occupies a tiny fraction of the record (here a base rate of 0.32% of hours), so naïve models are biased toward “no flood”.</w:t>
      </w:r>
    </w:p>
    <w:p>
      <w:pPr>
        <w:pStyle w:val="ListNumber"/>
        <w:spacing w:after="40"/>
      </w:pPr>
      <w:r>
        <w:t>Spatial heterogeneity. Flood response varies sharply between chokepoints, which a single lumped conceptual model cannot represent.</w:t>
      </w:r>
    </w:p>
    <w:p>
      <w:pPr>
        <w:pStyle w:val="Heading2"/>
      </w:pPr>
      <w:r>
        <w:t>1.2 Rationale for a hybrid approach</w:t>
      </w:r>
    </w:p>
    <w:p>
      <w:pPr>
        <w:spacing w:after="120"/>
      </w:pPr>
      <w:r>
        <w:rPr>
          <w:i w:val="0"/>
        </w:rPr>
        <w:t>Purely physical (conceptual/hydrodynamic) models encode mass balance and capacity constraints but are structurally too simple (when lumped) or too data-hungry and slow (when fully distributed) for real-time neighbourhood nowcasting. Purely data-driven models can capture complex nonlinear patterns but ignore physical constraints, extrapolate poorly and are opaque. We therefore adopt a residual (delta) learning design: a fast physical surrogate provides a physically-consistent first guess, and an ML model learns the systematic residual between that surrogate and reality, while also quantifying predictive uncertainty. This preserves physical plausibility, concentrates the learning problem on what the physics misses, and yields calibrated probabilities suitable for risk-based decision-making.</w:t>
      </w:r>
    </w:p>
    <w:p>
      <w:pPr>
        <w:pStyle w:val="Heading2"/>
      </w:pPr>
      <w:r>
        <w:t>1.3 Objectives</w:t>
      </w:r>
    </w:p>
    <w:p>
      <w:pPr>
        <w:pStyle w:val="ListBullet"/>
        <w:spacing w:after="40"/>
      </w:pPr>
      <w:r>
        <w:t>Develop a reproducible pipeline that forecasts flood depth and flood probability at lead times of 1–6 hours.</w:t>
      </w:r>
    </w:p>
    <w:p>
      <w:pPr>
        <w:pStyle w:val="ListBullet"/>
        <w:spacing w:after="40"/>
      </w:pPr>
      <w:r>
        <w:t>Quantify predictive uncertainty and decompose it into interpretable components (aleatory vs epistemic).</w:t>
      </w:r>
    </w:p>
    <w:p>
      <w:pPr>
        <w:pStyle w:val="ListBullet"/>
        <w:spacing w:after="40"/>
      </w:pPr>
      <w:r>
        <w:t>Evaluate not only statistical skill but decision value through a cost–loss framework.</w:t>
      </w:r>
    </w:p>
    <w:p>
      <w:pPr>
        <w:pStyle w:val="ListBullet"/>
        <w:spacing w:after="40"/>
      </w:pPr>
      <w:r>
        <w:t>Deliver the results through an operational-style dashboard (alerts, spatial risk map, printable bulletin).</w:t>
      </w:r>
    </w:p>
    <w:p>
      <w:pPr>
        <w:pStyle w:val="Heading1"/>
      </w:pPr>
      <w:r>
        <w:t>2. Data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Source</w:t>
            </w:r>
          </w:p>
        </w:tc>
        <w:tc>
          <w:tcPr>
            <w:tcW w:type="dxa" w:w="2160"/>
          </w:tcPr>
          <w:p>
            <w:r/>
            <w:r>
              <w:rPr>
                <w:b/>
                <w:sz w:val="19"/>
              </w:rPr>
              <w:t>Variable</w:t>
            </w:r>
          </w:p>
        </w:tc>
        <w:tc>
          <w:tcPr>
            <w:tcW w:type="dxa" w:w="2160"/>
          </w:tcPr>
          <w:p>
            <w:r/>
            <w:r>
              <w:rPr>
                <w:b/>
                <w:sz w:val="19"/>
              </w:rPr>
              <w:t>Resolution</w:t>
            </w:r>
          </w:p>
        </w:tc>
        <w:tc>
          <w:tcPr>
            <w:tcW w:type="dxa" w:w="2160"/>
          </w:tcPr>
          <w:p>
            <w:r/>
            <w:r>
              <w:rPr>
                <w:b/>
                <w:sz w:val="19"/>
              </w:rPr>
              <w:t>Role</w:t>
            </w:r>
          </w:p>
        </w:tc>
      </w:tr>
      <w:tr>
        <w:tc>
          <w:tcPr>
            <w:tcW w:type="dxa" w:w="2160"/>
          </w:tcPr>
          <w:p>
            <w:r/>
            <w:r>
              <w:rPr>
                <w:sz w:val="19"/>
              </w:rPr>
              <w:t>Gauge TA00026</w:t>
            </w:r>
          </w:p>
        </w:tc>
        <w:tc>
          <w:tcPr>
            <w:tcW w:type="dxa" w:w="2160"/>
          </w:tcPr>
          <w:p>
            <w:r/>
            <w:r>
              <w:rPr>
                <w:sz w:val="19"/>
              </w:rPr>
              <w:t>Precipitation</w:t>
            </w:r>
          </w:p>
        </w:tc>
        <w:tc>
          <w:tcPr>
            <w:tcW w:type="dxa" w:w="2160"/>
          </w:tcPr>
          <w:p>
            <w:r/>
            <w:r>
              <w:rPr>
                <w:sz w:val="19"/>
              </w:rPr>
              <w:t>Hourly</w:t>
            </w:r>
          </w:p>
        </w:tc>
        <w:tc>
          <w:tcPr>
            <w:tcW w:type="dxa" w:w="2160"/>
          </w:tcPr>
          <w:p>
            <w:r/>
            <w:r>
              <w:rPr>
                <w:sz w:val="19"/>
              </w:rPr>
              <w:t>Primary model forcing</w:t>
            </w:r>
          </w:p>
        </w:tc>
      </w:tr>
      <w:tr>
        <w:tc>
          <w:tcPr>
            <w:tcW w:type="dxa" w:w="2160"/>
          </w:tcPr>
          <w:p>
            <w:r/>
            <w:r>
              <w:rPr>
                <w:sz w:val="19"/>
              </w:rPr>
              <w:t>CHIRPS satellite</w:t>
            </w:r>
          </w:p>
        </w:tc>
        <w:tc>
          <w:tcPr>
            <w:tcW w:type="dxa" w:w="2160"/>
          </w:tcPr>
          <w:p>
            <w:r/>
            <w:r>
              <w:rPr>
                <w:sz w:val="19"/>
              </w:rPr>
              <w:t>Precipitation</w:t>
            </w:r>
          </w:p>
        </w:tc>
        <w:tc>
          <w:tcPr>
            <w:tcW w:type="dxa" w:w="2160"/>
          </w:tcPr>
          <w:p>
            <w:r/>
            <w:r>
              <w:rPr>
                <w:sz w:val="19"/>
              </w:rPr>
              <w:t>Daily</w:t>
            </w:r>
          </w:p>
        </w:tc>
        <w:tc>
          <w:tcPr>
            <w:tcW w:type="dxa" w:w="2160"/>
          </w:tcPr>
          <w:p>
            <w:r/>
            <w:r>
              <w:rPr>
                <w:sz w:val="19"/>
              </w:rPr>
              <w:t>Regional-wetness context</w:t>
            </w:r>
          </w:p>
        </w:tc>
      </w:tr>
      <w:tr>
        <w:tc>
          <w:tcPr>
            <w:tcW w:type="dxa" w:w="2160"/>
          </w:tcPr>
          <w:p>
            <w:r/>
            <w:r>
              <w:rPr>
                <w:sz w:val="19"/>
              </w:rPr>
              <w:t>MAF metadata</w:t>
            </w:r>
          </w:p>
        </w:tc>
        <w:tc>
          <w:tcPr>
            <w:tcW w:type="dxa" w:w="2160"/>
          </w:tcPr>
          <w:p>
            <w:r/>
            <w:r>
              <w:rPr>
                <w:sz w:val="19"/>
              </w:rPr>
              <w:t>—</w:t>
            </w:r>
          </w:p>
        </w:tc>
        <w:tc>
          <w:tcPr>
            <w:tcW w:type="dxa" w:w="2160"/>
          </w:tcPr>
          <w:p>
            <w:r/>
            <w:r>
              <w:rPr>
                <w:sz w:val="19"/>
              </w:rPr>
              <w:t>—</w:t>
            </w:r>
          </w:p>
        </w:tc>
        <w:tc>
          <w:tcPr>
            <w:tcW w:type="dxa" w:w="2160"/>
          </w:tcPr>
          <w:p>
            <w:r/>
            <w:r>
              <w:rPr>
                <w:sz w:val="19"/>
              </w:rPr>
              <w:t>Station reference</w:t>
            </w:r>
          </w:p>
        </w:tc>
      </w:tr>
    </w:tbl>
    <w:p>
      <w:pPr>
        <w:spacing w:after="40"/>
      </w:pPr>
    </w:p>
    <w:p>
      <w:pPr>
        <w:spacing w:after="120"/>
      </w:pPr>
      <w:r>
        <w:rPr>
          <w:i w:val="0"/>
        </w:rPr>
        <w:t>The cleaned hourly gauge series spans 88,080 hours (~10.1 years), with 8,368.5 mm of total rainfall over 12,191 wet hours and a peak intensity of 112.3 mm/h. Data preparation enforces a continuous, gap-free hourly index (missing hours set to zero rainfall and clipped to be non-negative), and repairs corrupted day-of-year–style dates in the CHIRPS spreadsheet (e.g. 2026-05-149) by reconstructing the calendar date from the stated year and day-of-year. CHIRPS daily totals are broadcast to each hour of the corresponding day and used only as a low-frequency wetness context feature, never as the sub-hourly signal.</w:t>
      </w:r>
    </w:p>
    <w:p>
      <w:pPr>
        <w:pStyle w:val="Heading1"/>
      </w:pPr>
      <w:r>
        <w:t>3. Methodology</w:t>
      </w:r>
    </w:p>
    <w:p>
      <w:pPr>
        <w:spacing w:after="120"/>
      </w:pPr>
      <w:r>
        <w:rPr>
          <w:i w:val="0"/>
        </w:rPr>
        <w:t>The pipeline has five stages: (i) a synthetic physically-based reference; (ii) a GRC physical surrogate; (iii) feature engineering; (iv) an uncertainty-aware ML residual learner; and (v) ensemble forecasting with decision analysis.</w:t>
      </w:r>
    </w:p>
    <w:p>
      <w:pPr>
        <w:spacing w:after="120"/>
      </w:pPr>
      <w:r>
        <w:rPr>
          <w:i/>
          <w:color w:val="555555"/>
        </w:rPr>
        <w:t>Pipeline: Observed hourly rainfall → {Synthetic reference (6 chokepoint reservoirs); GRC surrogate (lumped reservoir); Feature engineering}. Residual targets = (truth − GRC) at leads 1–6 h → ML residual ensemble (+ variance heads) → physical projection (flood = GRC + residual) → ensemble &amp; uncertainty decomposition → decision analysis (alerts, cost–loss, spatial map).</w:t>
      </w:r>
    </w:p>
    <w:p>
      <w:pPr>
        <w:pStyle w:val="Heading2"/>
      </w:pPr>
      <w:r>
        <w:t>3.1 Synthetic reference (“reality”)</w:t>
      </w:r>
    </w:p>
    <w:p>
      <w:pPr>
        <w:spacing w:after="120"/>
      </w:pPr>
      <w:r>
        <w:rPr>
          <w:i w:val="0"/>
        </w:rPr>
        <w:t>In the absence of observed inundation data, a heterogeneous synthetic truth is generated from the real rainfall. The catchment is represented as six sub-catchment storage–overflow reservoirs (“chokepoints”), each with independently sampled parameters: runoff coefficient, infiltration loss, conveyance (pipe) capacity, storage capacity and a travel-time lag. For each sub-catchment j the effective runoff includes a mild nonlinear intensity boost,</w:t>
      </w:r>
    </w:p>
    <w:p>
      <w:pPr>
        <w:spacing w:before="80" w:after="160"/>
        <w:jc w:val="center"/>
      </w:pPr>
      <w:r>
        <w:rPr>
          <w:rFonts w:ascii="Cambria Math" w:hAnsi="Cambria Math"/>
          <w:i/>
          <w:sz w:val="22"/>
        </w:rPr>
        <w:t>e(j,t) = max( c_r,j · R_lag(j,t) · (1 + 0.02·R_lag(j,t)) − f_j , 0 )</w:t>
      </w:r>
    </w:p>
    <w:p>
      <w:pPr>
        <w:spacing w:after="120"/>
      </w:pPr>
      <w:r>
        <w:rPr>
          <w:i w:val="0"/>
        </w:rPr>
        <w:t>and the reservoir evolves with capacity-limited conveyance, with surface flooding equal to the overflow above storage capacity S_cap,j:</w:t>
      </w:r>
    </w:p>
    <w:p>
      <w:pPr>
        <w:spacing w:before="80" w:after="160"/>
        <w:jc w:val="center"/>
      </w:pPr>
      <w:r>
        <w:rPr>
          <w:rFonts w:ascii="Cambria Math" w:hAnsi="Cambria Math"/>
          <w:i/>
          <w:sz w:val="22"/>
        </w:rPr>
        <w:t>S(j,t) = S(j,t−1) + e(j,t) − min(C_j, S(j,t−1)+e(j,t));   d(j,t) = max(0, S(j,t) − S_cap,j)</w:t>
      </w:r>
    </w:p>
    <w:p>
      <w:pPr>
        <w:spacing w:after="120"/>
      </w:pPr>
      <w:r>
        <w:rPr>
          <w:i w:val="0"/>
        </w:rPr>
        <w:t>The hourly flood signal emphasises the worst-affected locations by averaging the two deepest chokepoints per hour, and a heteroskedastic observation noise (variance increasing with flood magnitude) is added:</w:t>
      </w:r>
    </w:p>
    <w:p>
      <w:pPr>
        <w:spacing w:before="80" w:after="160"/>
        <w:jc w:val="center"/>
      </w:pPr>
      <w:r>
        <w:rPr>
          <w:rFonts w:ascii="Cambria Math" w:hAnsi="Cambria Math"/>
          <w:i/>
          <w:sz w:val="22"/>
        </w:rPr>
        <w:t>y(t) = max(0, mean_top2(d(·,t)) + ε(t));   ε(t) ~ N(0, σ0·(0.3 + flood(t)))</w:t>
      </w:r>
    </w:p>
    <w:p>
      <w:pPr>
        <w:spacing w:after="120"/>
      </w:pPr>
      <w:r>
        <w:rPr>
          <w:i w:val="0"/>
        </w:rPr>
        <w:t>A binary flood event is defined by a depth threshold of 2.0 mm. This richer, noisy, spatially heterogeneous process is deliberately more complex than the lumped surrogate can represent, leaving a structured residual for the ML learner to recover. All reported skill is relative to this synthetic reference and therefore demonstrates method behaviour, not validated real-world performance.</w:t>
      </w:r>
    </w:p>
    <w:p>
      <w:pPr>
        <w:pStyle w:val="Heading2"/>
      </w:pPr>
      <w:r>
        <w:t>3.2 GRC physical surrogate</w:t>
      </w:r>
    </w:p>
    <w:p>
      <w:pPr>
        <w:spacing w:after="120"/>
      </w:pPr>
      <w:r>
        <w:rPr>
          <w:i w:val="0"/>
        </w:rPr>
        <w:t>The Generalized Runoff Capacity model is a single lumped reservoir integrating a physically-plausible mass balance with an infiltration loss and a routing lag:</w:t>
      </w:r>
    </w:p>
    <w:p>
      <w:pPr>
        <w:spacing w:before="80" w:after="160"/>
        <w:jc w:val="center"/>
      </w:pPr>
      <w:r>
        <w:rPr>
          <w:rFonts w:ascii="Cambria Math" w:hAnsi="Cambria Math"/>
          <w:i/>
          <w:sz w:val="22"/>
        </w:rPr>
        <w:t>S(t) = S(t−1) + max(c_r·R_lag(t) − f, 0) − Q(t);   Q(t) = min(min(C_g, C_p), S(t));   flood(t) = max(0, S(t) − S_cap)</w:t>
      </w:r>
    </w:p>
    <w:p>
      <w:pPr>
        <w:spacing w:after="120"/>
      </w:pPr>
      <w:r>
        <w:rPr>
          <w:i w:val="0"/>
        </w:rPr>
        <w:t>By construction the per-step mass-balance residual is ~0 (verified numerically), and the model exposes internal states (storage, discharge, flood) that serve as physics priors for the ML stage. Being lumped, it cannot capture the multi-chokepoint heterogeneity of the reference — the intended source of the learnable residual.</w:t>
      </w:r>
    </w:p>
    <w:p>
      <w:pPr>
        <w:pStyle w:val="Heading2"/>
      </w:pPr>
      <w:r>
        <w:t>3.3 Feature engineering</w:t>
      </w:r>
    </w:p>
    <w:p>
      <w:pPr>
        <w:spacing w:after="120"/>
      </w:pPr>
      <w:r>
        <w:rPr>
          <w:i w:val="0"/>
        </w:rPr>
        <w:t>Features (~20 predictors) combine rainfall history and hydrologic state:</w:t>
      </w:r>
    </w:p>
    <w:p>
      <w:pPr>
        <w:pStyle w:val="ListBullet"/>
        <w:spacing w:after="40"/>
      </w:pPr>
      <w:r>
        <w:t>Rolling accumulations over windows of 1, 2, 3, 6, 12, 24 h.</w:t>
      </w:r>
    </w:p>
    <w:p>
      <w:pPr>
        <w:pStyle w:val="ListBullet"/>
        <w:spacing w:after="40"/>
      </w:pPr>
      <w:r>
        <w:t>Burst intensity (rolling maxima over 3, 6, 12 h).</w:t>
      </w:r>
    </w:p>
    <w:p>
      <w:pPr>
        <w:pStyle w:val="ListBullet"/>
        <w:spacing w:after="40"/>
      </w:pPr>
      <w:r>
        <w:t>Antecedent Precipitation Index (exponential wetness memory, decay k = 0.9).</w:t>
      </w:r>
    </w:p>
    <w:p>
      <w:pPr>
        <w:pStyle w:val="ListBullet"/>
        <w:spacing w:after="40"/>
      </w:pPr>
      <w:r>
        <w:t>Dry-spell length (hours since last rain, capped at 168 h).</w:t>
      </w:r>
    </w:p>
    <w:p>
      <w:pPr>
        <w:pStyle w:val="ListBullet"/>
        <w:spacing w:after="40"/>
      </w:pPr>
      <w:r>
        <w:t>CHIRPS regional-wetness context.</w:t>
      </w:r>
    </w:p>
    <w:p>
      <w:pPr>
        <w:pStyle w:val="ListBullet"/>
        <w:spacing w:after="40"/>
      </w:pPr>
      <w:r>
        <w:t>GRC internal state (flood, storage, discharge) — the physics prior.</w:t>
      </w:r>
    </w:p>
    <w:p>
      <w:pPr>
        <w:pStyle w:val="ListBullet"/>
        <w:spacing w:after="40"/>
      </w:pPr>
      <w:r>
        <w:t>Seasonality/diurnality harmonics (sin/cos of hour-of-day and day-of-year).</w:t>
      </w:r>
    </w:p>
    <w:p>
      <w:pPr>
        <w:spacing w:after="120"/>
      </w:pPr>
      <w:r>
        <w:rPr>
          <w:i w:val="0"/>
        </w:rPr>
        <w:t>The prediction target at lead h is the residual between the reference and the GRC flood, shifted forward: r(t+h) = y(t+h) − flood_GRC(t+h), for h in {1,…,6} h.</w:t>
      </w:r>
    </w:p>
    <w:p>
      <w:pPr>
        <w:pStyle w:val="Heading2"/>
      </w:pPr>
      <w:r>
        <w:t>3.4 Uncertainty-aware ML residual learner</w:t>
      </w:r>
    </w:p>
    <w:p>
      <w:pPr>
        <w:spacing w:after="120"/>
      </w:pPr>
      <w:r>
        <w:rPr>
          <w:i w:val="0"/>
        </w:rPr>
        <w:t>The residual is learned by a deep-ensemble style estimator, one per lead time. It comprises:</w:t>
      </w:r>
    </w:p>
    <w:p>
      <w:pPr>
        <w:pStyle w:val="ListBullet"/>
        <w:spacing w:after="40"/>
      </w:pPr>
      <w:r>
        <w:t>M = 8 gradient-boosted members (HistGradientBoostingRegressor; max_depth = 6, max_iter = 250, learning_rate = 0.06, l2_regularization = 1.0), each trained on an independent bootstrap resample with a distinct random seed. The spread of member means provides the epistemic (model/parameter) variance.</w:t>
      </w:r>
    </w:p>
    <w:p>
      <w:pPr>
        <w:pStyle w:val="ListBullet"/>
        <w:spacing w:after="40"/>
      </w:pPr>
      <w:r>
        <w:t>An aleatory-variance head: a separate regressor trained on the log of the squared ensemble-mean error, giving a heteroskedastic (input-dependent) data-noise variance.</w:t>
      </w:r>
    </w:p>
    <w:p>
      <w:pPr>
        <w:spacing w:after="120"/>
      </w:pPr>
      <w:r>
        <w:rPr>
          <w:i w:val="0"/>
        </w:rPr>
        <w:t>Predictive moments follow the law of total variance:</w:t>
      </w:r>
    </w:p>
    <w:p>
      <w:pPr>
        <w:spacing w:before="80" w:after="160"/>
        <w:jc w:val="center"/>
      </w:pPr>
      <w:r>
        <w:rPr>
          <w:rFonts w:ascii="Cambria Math" w:hAnsi="Cambria Math"/>
          <w:i/>
          <w:sz w:val="22"/>
        </w:rPr>
        <w:t>μ = (1/M) Σ_m μ_m;   σ²_total = (1/M) Σ_m σ²_m  [aleatory]  +  Var_m(μ_m)  [epistemic]</w:t>
      </w:r>
    </w:p>
    <w:p>
      <w:pPr>
        <w:spacing w:after="120"/>
      </w:pPr>
      <w:r>
        <w:rPr>
          <w:i w:val="0"/>
        </w:rPr>
        <w:t>The residual mean is added back to the GRC flood and projected onto the feasible set (non-negativity, a soft realisation of the physical mass-balance/capacity constraints): ŷ = max(0, flood_GRC + μ). The flood-exceedance probability is obtained analytically from the Gaussian predictive distribution, P(ŷ &gt; τ) = 1 − Φ((τ − μ)/σ).</w:t>
      </w:r>
    </w:p>
    <w:p>
      <w:pPr>
        <w:pStyle w:val="Heading2"/>
      </w:pPr>
      <w:r>
        <w:t>3.5 Ensemble forecasting and uncertainty decomposition</w:t>
      </w:r>
    </w:p>
    <w:p>
      <w:pPr>
        <w:spacing w:after="120"/>
      </w:pPr>
      <w:r>
        <w:rPr>
          <w:i w:val="0"/>
        </w:rPr>
        <w:t>For a single forecast instance, a full Monte-Carlo ensemble propagates three uncertainty sources:</w:t>
      </w:r>
    </w:p>
    <w:p>
      <w:pPr>
        <w:pStyle w:val="ListNumber"/>
        <w:spacing w:after="40"/>
      </w:pPr>
      <w:r>
        <w:t>Forcing uncertainty — 25 multiplicative lognormal rainfall perturbations (coefficient of variation 0.35);</w:t>
      </w:r>
    </w:p>
    <w:p>
      <w:pPr>
        <w:pStyle w:val="ListNumber"/>
        <w:spacing w:after="40"/>
      </w:pPr>
      <w:r>
        <w:t>Parameter/epistemic uncertainty — 25 GRC parameter draws (runoff coefficient, pipe capacity, storage capacity);</w:t>
      </w:r>
    </w:p>
    <w:p>
      <w:pPr>
        <w:pStyle w:val="ListNumber"/>
        <w:spacing w:after="40"/>
      </w:pPr>
      <w:r>
        <w:t>Model epistemic uncertainty — the 8 ML ensemble members;</w:t>
      </w:r>
    </w:p>
    <w:p>
      <w:pPr>
        <w:spacing w:after="120"/>
      </w:pPr>
      <w:r>
        <w:rPr>
          <w:i w:val="0"/>
        </w:rPr>
        <w:t>yielding 25 × 25 × 8 = 5,000 predictive draws, whose histogram and exceedance probability are surfaced in the dashboard.</w:t>
      </w:r>
    </w:p>
    <w:p>
      <w:pPr>
        <w:pStyle w:val="Heading2"/>
      </w:pPr>
      <w:r>
        <w:t>3.6 Evaluation protocol</w:t>
      </w:r>
    </w:p>
    <w:p>
      <w:pPr>
        <w:spacing w:after="120"/>
      </w:pPr>
      <w:r>
        <w:rPr>
          <w:i w:val="0"/>
        </w:rPr>
        <w:t>Models are trained on the first 80% of the record and evaluated on the final 20% (a strict chronological hold-out to avoid look-ahead leakage; seed fixed at 42 for reproducibility). Skill is assessed with:</w:t>
      </w:r>
    </w:p>
    <w:p>
      <w:pPr>
        <w:pStyle w:val="ListBullet"/>
        <w:spacing w:after="40"/>
      </w:pPr>
      <w:r>
        <w:t>Deterministic: MAE, RMSE, bias.</w:t>
      </w:r>
    </w:p>
    <w:p>
      <w:pPr>
        <w:pStyle w:val="ListBullet"/>
        <w:spacing w:after="40"/>
      </w:pPr>
      <w:r>
        <w:t>Probabilistic: CRPS (closed-form Gaussian), 90% interval coverage, Brier score, ROC-AUC for event discrimination.</w:t>
      </w:r>
    </w:p>
    <w:p>
      <w:pPr>
        <w:pStyle w:val="ListBullet"/>
        <w:spacing w:after="40"/>
      </w:pPr>
      <w:r>
        <w:t>Decision value: the relative economic value (REV) from a cost–loss model. With loss normalised to L = 1 and cost C, the optimal action rule is “act when p &gt; p* = C/L”, and</w:t>
      </w:r>
    </w:p>
    <w:p>
      <w:pPr>
        <w:spacing w:before="80" w:after="160"/>
        <w:jc w:val="center"/>
      </w:pPr>
      <w:r>
        <w:rPr>
          <w:rFonts w:ascii="Cambria Math" w:hAnsi="Cambria Math"/>
          <w:i/>
          <w:sz w:val="22"/>
        </w:rPr>
        <w:t>REV = (E_clim − E_forecast) / (E_clim − E_perfect)</w:t>
      </w:r>
    </w:p>
    <w:p>
      <w:pPr>
        <w:spacing w:after="120"/>
      </w:pPr>
      <w:r>
        <w:rPr>
          <w:i w:val="0"/>
        </w:rPr>
        <w:t>evaluated across cost–loss ratios {0.02, 0.05, 0.1, 0.2, 0.3, 0.5, 0.7}.</w:t>
      </w:r>
    </w:p>
    <w:p>
      <w:pPr>
        <w:pStyle w:val="Heading1"/>
      </w:pPr>
      <w:r>
        <w:t>4. Results</w:t>
      </w:r>
    </w:p>
    <w:p>
      <w:pPr>
        <w:pStyle w:val="Heading2"/>
      </w:pPr>
      <w:r>
        <w:t>4.1 Headline skill (1-hour lead)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Metric</w:t>
            </w:r>
          </w:p>
        </w:tc>
        <w:tc>
          <w:tcPr>
            <w:tcW w:type="dxa" w:w="2160"/>
          </w:tcPr>
          <w:p>
            <w:r/>
            <w:r>
              <w:rPr>
                <w:b/>
                <w:sz w:val="19"/>
              </w:rPr>
              <w:t>Physics only (GRC)</w:t>
            </w:r>
          </w:p>
        </w:tc>
        <w:tc>
          <w:tcPr>
            <w:tcW w:type="dxa" w:w="2160"/>
          </w:tcPr>
          <w:p>
            <w:r/>
            <w:r>
              <w:rPr>
                <w:b/>
                <w:sz w:val="19"/>
              </w:rPr>
              <w:t>Hybrid (GRC + ML)</w:t>
            </w:r>
          </w:p>
        </w:tc>
        <w:tc>
          <w:tcPr>
            <w:tcW w:type="dxa" w:w="2160"/>
          </w:tcPr>
          <w:p>
            <w:r/>
            <w:r>
              <w:rPr>
                <w:b/>
                <w:sz w:val="19"/>
              </w:rPr>
              <w:t>Change</w:t>
            </w:r>
          </w:p>
        </w:tc>
      </w:tr>
      <w:tr>
        <w:tc>
          <w:tcPr>
            <w:tcW w:type="dxa" w:w="2160"/>
          </w:tcPr>
          <w:p>
            <w:r/>
            <w:r>
              <w:rPr>
                <w:sz w:val="19"/>
              </w:rPr>
              <w:t>Flood-depth RMSE (mm)</w:t>
            </w:r>
          </w:p>
        </w:tc>
        <w:tc>
          <w:tcPr>
            <w:tcW w:type="dxa" w:w="2160"/>
          </w:tcPr>
          <w:p>
            <w:r/>
            <w:r>
              <w:rPr>
                <w:sz w:val="19"/>
              </w:rPr>
              <w:t>2.188</w:t>
            </w:r>
          </w:p>
        </w:tc>
        <w:tc>
          <w:tcPr>
            <w:tcW w:type="dxa" w:w="2160"/>
          </w:tcPr>
          <w:p>
            <w:r/>
            <w:r>
              <w:rPr>
                <w:sz w:val="19"/>
              </w:rPr>
              <w:t>0.730</w:t>
            </w:r>
          </w:p>
        </w:tc>
        <w:tc>
          <w:tcPr>
            <w:tcW w:type="dxa" w:w="2160"/>
          </w:tcPr>
          <w:p>
            <w:r/>
            <w:r>
              <w:rPr>
                <w:sz w:val="19"/>
              </w:rPr>
              <w:t>−67%</w:t>
            </w:r>
          </w:p>
        </w:tc>
      </w:tr>
      <w:tr>
        <w:tc>
          <w:tcPr>
            <w:tcW w:type="dxa" w:w="2160"/>
          </w:tcPr>
          <w:p>
            <w:r/>
            <w:r>
              <w:rPr>
                <w:sz w:val="19"/>
              </w:rPr>
              <w:t>Event discrimination (AUC)</w:t>
            </w:r>
          </w:p>
        </w:tc>
        <w:tc>
          <w:tcPr>
            <w:tcW w:type="dxa" w:w="2160"/>
          </w:tcPr>
          <w:p>
            <w:r/>
            <w:r>
              <w:rPr>
                <w:sz w:val="19"/>
              </w:rPr>
              <w:t>—</w:t>
            </w:r>
          </w:p>
        </w:tc>
        <w:tc>
          <w:tcPr>
            <w:tcW w:type="dxa" w:w="2160"/>
          </w:tcPr>
          <w:p>
            <w:r/>
            <w:r>
              <w:rPr>
                <w:sz w:val="19"/>
              </w:rPr>
              <w:t>0.871</w:t>
            </w:r>
          </w:p>
        </w:tc>
        <w:tc>
          <w:tcPr>
            <w:tcW w:type="dxa" w:w="2160"/>
          </w:tcPr>
          <w:p>
            <w:r/>
            <w:r>
              <w:rPr>
                <w:sz w:val="19"/>
              </w:rPr>
              <w:t>—</w:t>
            </w:r>
          </w:p>
        </w:tc>
      </w:tr>
      <w:tr>
        <w:tc>
          <w:tcPr>
            <w:tcW w:type="dxa" w:w="2160"/>
          </w:tcPr>
          <w:p>
            <w:r/>
            <w:r>
              <w:rPr>
                <w:sz w:val="19"/>
              </w:rPr>
              <w:t>90% interval coverage</w:t>
            </w:r>
          </w:p>
        </w:tc>
        <w:tc>
          <w:tcPr>
            <w:tcW w:type="dxa" w:w="2160"/>
          </w:tcPr>
          <w:p>
            <w:r/>
            <w:r>
              <w:rPr>
                <w:sz w:val="19"/>
              </w:rPr>
              <w:t>—</w:t>
            </w:r>
          </w:p>
        </w:tc>
        <w:tc>
          <w:tcPr>
            <w:tcW w:type="dxa" w:w="2160"/>
          </w:tcPr>
          <w:p>
            <w:r/>
            <w:r>
              <w:rPr>
                <w:sz w:val="19"/>
              </w:rPr>
              <w:t>0.888</w:t>
            </w:r>
          </w:p>
        </w:tc>
        <w:tc>
          <w:tcPr>
            <w:tcW w:type="dxa" w:w="2160"/>
          </w:tcPr>
          <w:p>
            <w:r/>
            <w:r>
              <w:rPr>
                <w:sz w:val="19"/>
              </w:rPr>
              <w:t>≈ nominal</w:t>
            </w:r>
          </w:p>
        </w:tc>
      </w:tr>
      <w:tr>
        <w:tc>
          <w:tcPr>
            <w:tcW w:type="dxa" w:w="2160"/>
          </w:tcPr>
          <w:p>
            <w:r/>
            <w:r>
              <w:rPr>
                <w:sz w:val="19"/>
              </w:rPr>
              <w:t>Best relative economic value</w:t>
            </w:r>
          </w:p>
        </w:tc>
        <w:tc>
          <w:tcPr>
            <w:tcW w:type="dxa" w:w="2160"/>
          </w:tcPr>
          <w:p>
            <w:r/>
            <w:r>
              <w:rPr>
                <w:sz w:val="19"/>
              </w:rPr>
              <w:t>—</w:t>
            </w:r>
          </w:p>
        </w:tc>
        <w:tc>
          <w:tcPr>
            <w:tcW w:type="dxa" w:w="2160"/>
          </w:tcPr>
          <w:p>
            <w:r/>
            <w:r>
              <w:rPr>
                <w:sz w:val="19"/>
              </w:rPr>
              <w:t>0.582</w:t>
            </w:r>
          </w:p>
        </w:tc>
        <w:tc>
          <w:tcPr>
            <w:tcW w:type="dxa" w:w="2160"/>
          </w:tcPr>
          <w:p>
            <w:r/>
            <w:r>
              <w:rPr>
                <w:sz w:val="19"/>
              </w:rPr>
              <w:t>vs climatology</w:t>
            </w:r>
          </w:p>
        </w:tc>
      </w:tr>
    </w:tbl>
    <w:p>
      <w:pPr>
        <w:spacing w:after="40"/>
      </w:pPr>
    </w:p>
    <w:p>
      <w:pPr>
        <w:spacing w:after="120"/>
      </w:pPr>
      <w:r>
        <w:rPr>
          <w:i w:val="0"/>
        </w:rPr>
        <w:t>The residual learner removes roughly two-thirds of the physics-only error, indicating that a large, systematic (learnable) component of the reference response is missed by the lumped surrogate and successfully recovered by the ML stage. The near-nominal 90% coverage (0.888) shows the predictive intervals are well calibrated — neither over- nor under-confident.</w:t>
      </w:r>
    </w:p>
    <w:p>
      <w:pPr>
        <w:pStyle w:val="Heading2"/>
      </w:pPr>
      <w:r>
        <w:t>4.2 Skill as a function of lead time</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9"/>
              </w:rPr>
              <w:t>Lead (h)</w:t>
            </w:r>
          </w:p>
        </w:tc>
        <w:tc>
          <w:tcPr>
            <w:tcW w:type="dxa" w:w="1234"/>
          </w:tcPr>
          <w:p>
            <w:r/>
            <w:r>
              <w:rPr>
                <w:b/>
                <w:sz w:val="19"/>
              </w:rPr>
              <w:t>RMSE (mm)</w:t>
            </w:r>
          </w:p>
        </w:tc>
        <w:tc>
          <w:tcPr>
            <w:tcW w:type="dxa" w:w="1234"/>
          </w:tcPr>
          <w:p>
            <w:r/>
            <w:r>
              <w:rPr>
                <w:b/>
                <w:sz w:val="19"/>
              </w:rPr>
              <w:t>CRPS</w:t>
            </w:r>
          </w:p>
        </w:tc>
        <w:tc>
          <w:tcPr>
            <w:tcW w:type="dxa" w:w="1234"/>
          </w:tcPr>
          <w:p>
            <w:r/>
            <w:r>
              <w:rPr>
                <w:b/>
                <w:sz w:val="19"/>
              </w:rPr>
              <w:t>AUC</w:t>
            </w:r>
          </w:p>
        </w:tc>
        <w:tc>
          <w:tcPr>
            <w:tcW w:type="dxa" w:w="1234"/>
          </w:tcPr>
          <w:p>
            <w:r/>
            <w:r>
              <w:rPr>
                <w:b/>
                <w:sz w:val="19"/>
              </w:rPr>
              <w:t>Brier</w:t>
            </w:r>
          </w:p>
        </w:tc>
        <w:tc>
          <w:tcPr>
            <w:tcW w:type="dxa" w:w="1234"/>
          </w:tcPr>
          <w:p>
            <w:r/>
            <w:r>
              <w:rPr>
                <w:b/>
                <w:sz w:val="19"/>
              </w:rPr>
              <w:t>Coverage90</w:t>
            </w:r>
          </w:p>
        </w:tc>
        <w:tc>
          <w:tcPr>
            <w:tcW w:type="dxa" w:w="1234"/>
          </w:tcPr>
          <w:p>
            <w:r/>
            <w:r>
              <w:rPr>
                <w:b/>
                <w:sz w:val="19"/>
              </w:rPr>
              <w:t>Best REV</w:t>
            </w:r>
          </w:p>
        </w:tc>
      </w:tr>
      <w:tr>
        <w:tc>
          <w:tcPr>
            <w:tcW w:type="dxa" w:w="1234"/>
          </w:tcPr>
          <w:p>
            <w:r/>
            <w:r>
              <w:rPr>
                <w:sz w:val="19"/>
              </w:rPr>
              <w:t>1</w:t>
            </w:r>
          </w:p>
        </w:tc>
        <w:tc>
          <w:tcPr>
            <w:tcW w:type="dxa" w:w="1234"/>
          </w:tcPr>
          <w:p>
            <w:r/>
            <w:r>
              <w:rPr>
                <w:sz w:val="19"/>
              </w:rPr>
              <w:t>0.730</w:t>
            </w:r>
          </w:p>
        </w:tc>
        <w:tc>
          <w:tcPr>
            <w:tcW w:type="dxa" w:w="1234"/>
          </w:tcPr>
          <w:p>
            <w:r/>
            <w:r>
              <w:rPr>
                <w:sz w:val="19"/>
              </w:rPr>
              <w:t>0.087</w:t>
            </w:r>
          </w:p>
        </w:tc>
        <w:tc>
          <w:tcPr>
            <w:tcW w:type="dxa" w:w="1234"/>
          </w:tcPr>
          <w:p>
            <w:r/>
            <w:r>
              <w:rPr>
                <w:sz w:val="19"/>
              </w:rPr>
              <w:t>0.871</w:t>
            </w:r>
          </w:p>
        </w:tc>
        <w:tc>
          <w:tcPr>
            <w:tcW w:type="dxa" w:w="1234"/>
          </w:tcPr>
          <w:p>
            <w:r/>
            <w:r>
              <w:rPr>
                <w:sz w:val="19"/>
              </w:rPr>
              <w:t>0.0030</w:t>
            </w:r>
          </w:p>
        </w:tc>
        <w:tc>
          <w:tcPr>
            <w:tcW w:type="dxa" w:w="1234"/>
          </w:tcPr>
          <w:p>
            <w:r/>
            <w:r>
              <w:rPr>
                <w:sz w:val="19"/>
              </w:rPr>
              <w:t>0.888</w:t>
            </w:r>
          </w:p>
        </w:tc>
        <w:tc>
          <w:tcPr>
            <w:tcW w:type="dxa" w:w="1234"/>
          </w:tcPr>
          <w:p>
            <w:r/>
            <w:r>
              <w:rPr>
                <w:sz w:val="19"/>
              </w:rPr>
              <w:t>0.582</w:t>
            </w:r>
          </w:p>
        </w:tc>
      </w:tr>
      <w:tr>
        <w:tc>
          <w:tcPr>
            <w:tcW w:type="dxa" w:w="1234"/>
          </w:tcPr>
          <w:p>
            <w:r/>
            <w:r>
              <w:rPr>
                <w:sz w:val="19"/>
              </w:rPr>
              <w:t>2</w:t>
            </w:r>
          </w:p>
        </w:tc>
        <w:tc>
          <w:tcPr>
            <w:tcW w:type="dxa" w:w="1234"/>
          </w:tcPr>
          <w:p>
            <w:r/>
            <w:r>
              <w:rPr>
                <w:sz w:val="19"/>
              </w:rPr>
              <w:t>0.746</w:t>
            </w:r>
          </w:p>
        </w:tc>
        <w:tc>
          <w:tcPr>
            <w:tcW w:type="dxa" w:w="1234"/>
          </w:tcPr>
          <w:p>
            <w:r/>
            <w:r>
              <w:rPr>
                <w:sz w:val="19"/>
              </w:rPr>
              <w:t>0.092</w:t>
            </w:r>
          </w:p>
        </w:tc>
        <w:tc>
          <w:tcPr>
            <w:tcW w:type="dxa" w:w="1234"/>
          </w:tcPr>
          <w:p>
            <w:r/>
            <w:r>
              <w:rPr>
                <w:sz w:val="19"/>
              </w:rPr>
              <w:t>0.767</w:t>
            </w:r>
          </w:p>
        </w:tc>
        <w:tc>
          <w:tcPr>
            <w:tcW w:type="dxa" w:w="1234"/>
          </w:tcPr>
          <w:p>
            <w:r/>
            <w:r>
              <w:rPr>
                <w:sz w:val="19"/>
              </w:rPr>
              <w:t>0.0029</w:t>
            </w:r>
          </w:p>
        </w:tc>
        <w:tc>
          <w:tcPr>
            <w:tcW w:type="dxa" w:w="1234"/>
          </w:tcPr>
          <w:p>
            <w:r/>
            <w:r>
              <w:rPr>
                <w:sz w:val="19"/>
              </w:rPr>
              <w:t>0.900</w:t>
            </w:r>
          </w:p>
        </w:tc>
        <w:tc>
          <w:tcPr>
            <w:tcW w:type="dxa" w:w="1234"/>
          </w:tcPr>
          <w:p>
            <w:r/>
            <w:r>
              <w:rPr>
                <w:sz w:val="19"/>
              </w:rPr>
              <w:t>0.443</w:t>
            </w:r>
          </w:p>
        </w:tc>
      </w:tr>
      <w:tr>
        <w:tc>
          <w:tcPr>
            <w:tcW w:type="dxa" w:w="1234"/>
          </w:tcPr>
          <w:p>
            <w:r/>
            <w:r>
              <w:rPr>
                <w:sz w:val="19"/>
              </w:rPr>
              <w:t>3</w:t>
            </w:r>
          </w:p>
        </w:tc>
        <w:tc>
          <w:tcPr>
            <w:tcW w:type="dxa" w:w="1234"/>
          </w:tcPr>
          <w:p>
            <w:r/>
            <w:r>
              <w:rPr>
                <w:sz w:val="19"/>
              </w:rPr>
              <w:t>0.818</w:t>
            </w:r>
          </w:p>
        </w:tc>
        <w:tc>
          <w:tcPr>
            <w:tcW w:type="dxa" w:w="1234"/>
          </w:tcPr>
          <w:p>
            <w:r/>
            <w:r>
              <w:rPr>
                <w:sz w:val="19"/>
              </w:rPr>
              <w:t>0.104</w:t>
            </w:r>
          </w:p>
        </w:tc>
        <w:tc>
          <w:tcPr>
            <w:tcW w:type="dxa" w:w="1234"/>
          </w:tcPr>
          <w:p>
            <w:r/>
            <w:r>
              <w:rPr>
                <w:sz w:val="19"/>
              </w:rPr>
              <w:t>0.711</w:t>
            </w:r>
          </w:p>
        </w:tc>
        <w:tc>
          <w:tcPr>
            <w:tcW w:type="dxa" w:w="1234"/>
          </w:tcPr>
          <w:p>
            <w:r/>
            <w:r>
              <w:rPr>
                <w:sz w:val="19"/>
              </w:rPr>
              <w:t>0.0044</w:t>
            </w:r>
          </w:p>
        </w:tc>
        <w:tc>
          <w:tcPr>
            <w:tcW w:type="dxa" w:w="1234"/>
          </w:tcPr>
          <w:p>
            <w:r/>
            <w:r>
              <w:rPr>
                <w:sz w:val="19"/>
              </w:rPr>
              <w:t>0.906</w:t>
            </w:r>
          </w:p>
        </w:tc>
        <w:tc>
          <w:tcPr>
            <w:tcW w:type="dxa" w:w="1234"/>
          </w:tcPr>
          <w:p>
            <w:r/>
            <w:r>
              <w:rPr>
                <w:sz w:val="19"/>
              </w:rPr>
              <w:t>0.138</w:t>
            </w:r>
          </w:p>
        </w:tc>
      </w:tr>
      <w:tr>
        <w:tc>
          <w:tcPr>
            <w:tcW w:type="dxa" w:w="1234"/>
          </w:tcPr>
          <w:p>
            <w:r/>
            <w:r>
              <w:rPr>
                <w:sz w:val="19"/>
              </w:rPr>
              <w:t>4</w:t>
            </w:r>
          </w:p>
        </w:tc>
        <w:tc>
          <w:tcPr>
            <w:tcW w:type="dxa" w:w="1234"/>
          </w:tcPr>
          <w:p>
            <w:r/>
            <w:r>
              <w:rPr>
                <w:sz w:val="19"/>
              </w:rPr>
              <w:t>0.840</w:t>
            </w:r>
          </w:p>
        </w:tc>
        <w:tc>
          <w:tcPr>
            <w:tcW w:type="dxa" w:w="1234"/>
          </w:tcPr>
          <w:p>
            <w:r/>
            <w:r>
              <w:rPr>
                <w:sz w:val="19"/>
              </w:rPr>
              <w:t>0.114</w:t>
            </w:r>
          </w:p>
        </w:tc>
        <w:tc>
          <w:tcPr>
            <w:tcW w:type="dxa" w:w="1234"/>
          </w:tcPr>
          <w:p>
            <w:r/>
            <w:r>
              <w:rPr>
                <w:sz w:val="19"/>
              </w:rPr>
              <w:t>0.652</w:t>
            </w:r>
          </w:p>
        </w:tc>
        <w:tc>
          <w:tcPr>
            <w:tcW w:type="dxa" w:w="1234"/>
          </w:tcPr>
          <w:p>
            <w:r/>
            <w:r>
              <w:rPr>
                <w:sz w:val="19"/>
              </w:rPr>
              <w:t>0.0054</w:t>
            </w:r>
          </w:p>
        </w:tc>
        <w:tc>
          <w:tcPr>
            <w:tcW w:type="dxa" w:w="1234"/>
          </w:tcPr>
          <w:p>
            <w:r/>
            <w:r>
              <w:rPr>
                <w:sz w:val="19"/>
              </w:rPr>
              <w:t>0.915</w:t>
            </w:r>
          </w:p>
        </w:tc>
        <w:tc>
          <w:tcPr>
            <w:tcW w:type="dxa" w:w="1234"/>
          </w:tcPr>
          <w:p>
            <w:r/>
            <w:r>
              <w:rPr>
                <w:sz w:val="19"/>
              </w:rPr>
              <w:t>−0.049</w:t>
            </w:r>
          </w:p>
        </w:tc>
      </w:tr>
      <w:tr>
        <w:tc>
          <w:tcPr>
            <w:tcW w:type="dxa" w:w="1234"/>
          </w:tcPr>
          <w:p>
            <w:r/>
            <w:r>
              <w:rPr>
                <w:sz w:val="19"/>
              </w:rPr>
              <w:t>5</w:t>
            </w:r>
          </w:p>
        </w:tc>
        <w:tc>
          <w:tcPr>
            <w:tcW w:type="dxa" w:w="1234"/>
          </w:tcPr>
          <w:p>
            <w:r/>
            <w:r>
              <w:rPr>
                <w:sz w:val="19"/>
              </w:rPr>
              <w:t>0.873</w:t>
            </w:r>
          </w:p>
        </w:tc>
        <w:tc>
          <w:tcPr>
            <w:tcW w:type="dxa" w:w="1234"/>
          </w:tcPr>
          <w:p>
            <w:r/>
            <w:r>
              <w:rPr>
                <w:sz w:val="19"/>
              </w:rPr>
              <w:t>0.119</w:t>
            </w:r>
          </w:p>
        </w:tc>
        <w:tc>
          <w:tcPr>
            <w:tcW w:type="dxa" w:w="1234"/>
          </w:tcPr>
          <w:p>
            <w:r/>
            <w:r>
              <w:rPr>
                <w:sz w:val="19"/>
              </w:rPr>
              <w:t>0.645</w:t>
            </w:r>
          </w:p>
        </w:tc>
        <w:tc>
          <w:tcPr>
            <w:tcW w:type="dxa" w:w="1234"/>
          </w:tcPr>
          <w:p>
            <w:r/>
            <w:r>
              <w:rPr>
                <w:sz w:val="19"/>
              </w:rPr>
              <w:t>0.0060</w:t>
            </w:r>
          </w:p>
        </w:tc>
        <w:tc>
          <w:tcPr>
            <w:tcW w:type="dxa" w:w="1234"/>
          </w:tcPr>
          <w:p>
            <w:r/>
            <w:r>
              <w:rPr>
                <w:sz w:val="19"/>
              </w:rPr>
              <w:t>0.910</w:t>
            </w:r>
          </w:p>
        </w:tc>
        <w:tc>
          <w:tcPr>
            <w:tcW w:type="dxa" w:w="1234"/>
          </w:tcPr>
          <w:p>
            <w:r/>
            <w:r>
              <w:rPr>
                <w:sz w:val="19"/>
              </w:rPr>
              <w:t>−0.072</w:t>
            </w:r>
          </w:p>
        </w:tc>
      </w:tr>
      <w:tr>
        <w:tc>
          <w:tcPr>
            <w:tcW w:type="dxa" w:w="1234"/>
          </w:tcPr>
          <w:p>
            <w:r/>
            <w:r>
              <w:rPr>
                <w:sz w:val="19"/>
              </w:rPr>
              <w:t>6</w:t>
            </w:r>
          </w:p>
        </w:tc>
        <w:tc>
          <w:tcPr>
            <w:tcW w:type="dxa" w:w="1234"/>
          </w:tcPr>
          <w:p>
            <w:r/>
            <w:r>
              <w:rPr>
                <w:sz w:val="19"/>
              </w:rPr>
              <w:t>0.927</w:t>
            </w:r>
          </w:p>
        </w:tc>
        <w:tc>
          <w:tcPr>
            <w:tcW w:type="dxa" w:w="1234"/>
          </w:tcPr>
          <w:p>
            <w:r/>
            <w:r>
              <w:rPr>
                <w:sz w:val="19"/>
              </w:rPr>
              <w:t>0.123</w:t>
            </w:r>
          </w:p>
        </w:tc>
        <w:tc>
          <w:tcPr>
            <w:tcW w:type="dxa" w:w="1234"/>
          </w:tcPr>
          <w:p>
            <w:r/>
            <w:r>
              <w:rPr>
                <w:sz w:val="19"/>
              </w:rPr>
              <w:t>0.644</w:t>
            </w:r>
          </w:p>
        </w:tc>
        <w:tc>
          <w:tcPr>
            <w:tcW w:type="dxa" w:w="1234"/>
          </w:tcPr>
          <w:p>
            <w:r/>
            <w:r>
              <w:rPr>
                <w:sz w:val="19"/>
              </w:rPr>
              <w:t>0.0066</w:t>
            </w:r>
          </w:p>
        </w:tc>
        <w:tc>
          <w:tcPr>
            <w:tcW w:type="dxa" w:w="1234"/>
          </w:tcPr>
          <w:p>
            <w:r/>
            <w:r>
              <w:rPr>
                <w:sz w:val="19"/>
              </w:rPr>
              <w:t>0.907</w:t>
            </w:r>
          </w:p>
        </w:tc>
        <w:tc>
          <w:tcPr>
            <w:tcW w:type="dxa" w:w="1234"/>
          </w:tcPr>
          <w:p>
            <w:r/>
            <w:r>
              <w:rPr>
                <w:sz w:val="19"/>
              </w:rPr>
              <w:t>−0.055</w:t>
            </w:r>
          </w:p>
        </w:tc>
      </w:tr>
    </w:tbl>
    <w:p>
      <w:pPr>
        <w:spacing w:after="40"/>
      </w:pPr>
    </w:p>
    <w:p>
      <w:pPr>
        <w:spacing w:after="120"/>
      </w:pPr>
      <w:r>
        <w:rPr>
          <w:i w:val="0"/>
        </w:rPr>
        <w:t>Skill degrades monotonically with horizon, as expected: RMSE and CRPS rise while AUC falls from 0.871 (1 h) to ~0.64 (6 h). Crucially, positive decision value is confined to the 1–3 h window (REV &gt; 0), beyond which the forecast no longer beats climatology at any cost–loss ratio for this synthetic reference. Calibration (coverage ≈ 0.89–0.92) remains stable across all leads.</w:t>
      </w:r>
    </w:p>
    <w:p>
      <w:pPr>
        <w:pStyle w:val="Heading2"/>
      </w:pPr>
      <w:r>
        <w:t>4.3 Uncertainty decomposition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Lead (h)</w:t>
            </w:r>
          </w:p>
        </w:tc>
        <w:tc>
          <w:tcPr>
            <w:tcW w:type="dxa" w:w="2160"/>
          </w:tcPr>
          <w:p>
            <w:r/>
            <w:r>
              <w:rPr>
                <w:b/>
                <w:sz w:val="19"/>
              </w:rPr>
              <w:t>Aleatory (mm²)</w:t>
            </w:r>
          </w:p>
        </w:tc>
        <w:tc>
          <w:tcPr>
            <w:tcW w:type="dxa" w:w="2160"/>
          </w:tcPr>
          <w:p>
            <w:r/>
            <w:r>
              <w:rPr>
                <w:b/>
                <w:sz w:val="19"/>
              </w:rPr>
              <w:t>Epistemic (mm²)</w:t>
            </w:r>
          </w:p>
        </w:tc>
        <w:tc>
          <w:tcPr>
            <w:tcW w:type="dxa" w:w="2160"/>
          </w:tcPr>
          <w:p>
            <w:r/>
            <w:r>
              <w:rPr>
                <w:b/>
                <w:sz w:val="19"/>
              </w:rPr>
              <w:t>Epistemic share</w:t>
            </w:r>
          </w:p>
        </w:tc>
      </w:tr>
      <w:tr>
        <w:tc>
          <w:tcPr>
            <w:tcW w:type="dxa" w:w="2160"/>
          </w:tcPr>
          <w:p>
            <w:r/>
            <w:r>
              <w:rPr>
                <w:sz w:val="19"/>
              </w:rPr>
              <w:t>1</w:t>
            </w:r>
          </w:p>
        </w:tc>
        <w:tc>
          <w:tcPr>
            <w:tcW w:type="dxa" w:w="2160"/>
          </w:tcPr>
          <w:p>
            <w:r/>
            <w:r>
              <w:rPr>
                <w:sz w:val="19"/>
              </w:rPr>
              <w:t>0.055</w:t>
            </w:r>
          </w:p>
        </w:tc>
        <w:tc>
          <w:tcPr>
            <w:tcW w:type="dxa" w:w="2160"/>
          </w:tcPr>
          <w:p>
            <w:r/>
            <w:r>
              <w:rPr>
                <w:sz w:val="19"/>
              </w:rPr>
              <w:t>0.080</w:t>
            </w:r>
          </w:p>
        </w:tc>
        <w:tc>
          <w:tcPr>
            <w:tcW w:type="dxa" w:w="2160"/>
          </w:tcPr>
          <w:p>
            <w:r/>
            <w:r>
              <w:rPr>
                <w:sz w:val="19"/>
              </w:rPr>
              <w:t>59%</w:t>
            </w:r>
          </w:p>
        </w:tc>
      </w:tr>
      <w:tr>
        <w:tc>
          <w:tcPr>
            <w:tcW w:type="dxa" w:w="2160"/>
          </w:tcPr>
          <w:p>
            <w:r/>
            <w:r>
              <w:rPr>
                <w:sz w:val="19"/>
              </w:rPr>
              <w:t>2</w:t>
            </w:r>
          </w:p>
        </w:tc>
        <w:tc>
          <w:tcPr>
            <w:tcW w:type="dxa" w:w="2160"/>
          </w:tcPr>
          <w:p>
            <w:r/>
            <w:r>
              <w:rPr>
                <w:sz w:val="19"/>
              </w:rPr>
              <w:t>0.073</w:t>
            </w:r>
          </w:p>
        </w:tc>
        <w:tc>
          <w:tcPr>
            <w:tcW w:type="dxa" w:w="2160"/>
          </w:tcPr>
          <w:p>
            <w:r/>
            <w:r>
              <w:rPr>
                <w:sz w:val="19"/>
              </w:rPr>
              <w:t>0.168</w:t>
            </w:r>
          </w:p>
        </w:tc>
        <w:tc>
          <w:tcPr>
            <w:tcW w:type="dxa" w:w="2160"/>
          </w:tcPr>
          <w:p>
            <w:r/>
            <w:r>
              <w:rPr>
                <w:sz w:val="19"/>
              </w:rPr>
              <w:t>70%</w:t>
            </w:r>
          </w:p>
        </w:tc>
      </w:tr>
      <w:tr>
        <w:tc>
          <w:tcPr>
            <w:tcW w:type="dxa" w:w="2160"/>
          </w:tcPr>
          <w:p>
            <w:r/>
            <w:r>
              <w:rPr>
                <w:sz w:val="19"/>
              </w:rPr>
              <w:t>3</w:t>
            </w:r>
          </w:p>
        </w:tc>
        <w:tc>
          <w:tcPr>
            <w:tcW w:type="dxa" w:w="2160"/>
          </w:tcPr>
          <w:p>
            <w:r/>
            <w:r>
              <w:rPr>
                <w:sz w:val="19"/>
              </w:rPr>
              <w:t>0.040</w:t>
            </w:r>
          </w:p>
        </w:tc>
        <w:tc>
          <w:tcPr>
            <w:tcW w:type="dxa" w:w="2160"/>
          </w:tcPr>
          <w:p>
            <w:r/>
            <w:r>
              <w:rPr>
                <w:sz w:val="19"/>
              </w:rPr>
              <w:t>0.048</w:t>
            </w:r>
          </w:p>
        </w:tc>
        <w:tc>
          <w:tcPr>
            <w:tcW w:type="dxa" w:w="2160"/>
          </w:tcPr>
          <w:p>
            <w:r/>
            <w:r>
              <w:rPr>
                <w:sz w:val="19"/>
              </w:rPr>
              <w:t>55%</w:t>
            </w:r>
          </w:p>
        </w:tc>
      </w:tr>
      <w:tr>
        <w:tc>
          <w:tcPr>
            <w:tcW w:type="dxa" w:w="2160"/>
          </w:tcPr>
          <w:p>
            <w:r/>
            <w:r>
              <w:rPr>
                <w:sz w:val="19"/>
              </w:rPr>
              <w:t>4</w:t>
            </w:r>
          </w:p>
        </w:tc>
        <w:tc>
          <w:tcPr>
            <w:tcW w:type="dxa" w:w="2160"/>
          </w:tcPr>
          <w:p>
            <w:r/>
            <w:r>
              <w:rPr>
                <w:sz w:val="19"/>
              </w:rPr>
              <w:t>0.023</w:t>
            </w:r>
          </w:p>
        </w:tc>
        <w:tc>
          <w:tcPr>
            <w:tcW w:type="dxa" w:w="2160"/>
          </w:tcPr>
          <w:p>
            <w:r/>
            <w:r>
              <w:rPr>
                <w:sz w:val="19"/>
              </w:rPr>
              <w:t>0.187</w:t>
            </w:r>
          </w:p>
        </w:tc>
        <w:tc>
          <w:tcPr>
            <w:tcW w:type="dxa" w:w="2160"/>
          </w:tcPr>
          <w:p>
            <w:r/>
            <w:r>
              <w:rPr>
                <w:sz w:val="19"/>
              </w:rPr>
              <w:t>89%</w:t>
            </w:r>
          </w:p>
        </w:tc>
      </w:tr>
      <w:tr>
        <w:tc>
          <w:tcPr>
            <w:tcW w:type="dxa" w:w="2160"/>
          </w:tcPr>
          <w:p>
            <w:r/>
            <w:r>
              <w:rPr>
                <w:sz w:val="19"/>
              </w:rPr>
              <w:t>5</w:t>
            </w:r>
          </w:p>
        </w:tc>
        <w:tc>
          <w:tcPr>
            <w:tcW w:type="dxa" w:w="2160"/>
          </w:tcPr>
          <w:p>
            <w:r/>
            <w:r>
              <w:rPr>
                <w:sz w:val="19"/>
              </w:rPr>
              <w:t>0.040</w:t>
            </w:r>
          </w:p>
        </w:tc>
        <w:tc>
          <w:tcPr>
            <w:tcW w:type="dxa" w:w="2160"/>
          </w:tcPr>
          <w:p>
            <w:r/>
            <w:r>
              <w:rPr>
                <w:sz w:val="19"/>
              </w:rPr>
              <w:t>0.228</w:t>
            </w:r>
          </w:p>
        </w:tc>
        <w:tc>
          <w:tcPr>
            <w:tcW w:type="dxa" w:w="2160"/>
          </w:tcPr>
          <w:p>
            <w:r/>
            <w:r>
              <w:rPr>
                <w:sz w:val="19"/>
              </w:rPr>
              <w:t>85%</w:t>
            </w:r>
          </w:p>
        </w:tc>
      </w:tr>
      <w:tr>
        <w:tc>
          <w:tcPr>
            <w:tcW w:type="dxa" w:w="2160"/>
          </w:tcPr>
          <w:p>
            <w:r/>
            <w:r>
              <w:rPr>
                <w:sz w:val="19"/>
              </w:rPr>
              <w:t>6</w:t>
            </w:r>
          </w:p>
        </w:tc>
        <w:tc>
          <w:tcPr>
            <w:tcW w:type="dxa" w:w="2160"/>
          </w:tcPr>
          <w:p>
            <w:r/>
            <w:r>
              <w:rPr>
                <w:sz w:val="19"/>
              </w:rPr>
              <w:t>0.048</w:t>
            </w:r>
          </w:p>
        </w:tc>
        <w:tc>
          <w:tcPr>
            <w:tcW w:type="dxa" w:w="2160"/>
          </w:tcPr>
          <w:p>
            <w:r/>
            <w:r>
              <w:rPr>
                <w:sz w:val="19"/>
              </w:rPr>
              <w:t>0.281</w:t>
            </w:r>
          </w:p>
        </w:tc>
        <w:tc>
          <w:tcPr>
            <w:tcW w:type="dxa" w:w="2160"/>
          </w:tcPr>
          <w:p>
            <w:r/>
            <w:r>
              <w:rPr>
                <w:sz w:val="19"/>
              </w:rPr>
              <w:t>85%</w:t>
            </w:r>
          </w:p>
        </w:tc>
      </w:tr>
    </w:tbl>
    <w:p>
      <w:pPr>
        <w:spacing w:after="40"/>
      </w:pPr>
    </w:p>
    <w:p>
      <w:pPr>
        <w:spacing w:after="120"/>
      </w:pPr>
      <w:r>
        <w:rPr>
          <w:i w:val="0"/>
        </w:rPr>
        <w:t>Epistemic (model/parameter) uncertainty dominates and grows with lead time, while aleatory (irreducible data-noise) uncertainty stays comparatively flat. This is diagnostically useful: it implies that longer-lead skill is limited mainly by reducible model uncertainty and could be improved with more/better training data, richer features or a larger ensemble — rather than by an irreducible noise floor.</w:t>
      </w:r>
    </w:p>
    <w:p>
      <w:pPr>
        <w:pStyle w:val="Heading2"/>
      </w:pPr>
      <w:r>
        <w:t>4.4 Operational outputs</w:t>
      </w:r>
    </w:p>
    <w:p>
      <w:pPr>
        <w:spacing w:after="120"/>
      </w:pPr>
      <w:r>
        <w:rPr>
          <w:i w:val="0"/>
        </w:rPr>
        <w:t>The dashboard translates the statistical forecast into operational products: a four-tier alert scheme (All-clear / Watch / Warning / Emergency) keyed to exceedance probability; a per-chokepoint spatial risk map over the six South C nodes (weighted by climatological susceptibility); a lead-time risk profile; and an auto-generated, printable alert bulletin summarising status, most-exposed chokepoints, recommended actions and hold-out verification statistics.</w:t>
      </w:r>
    </w:p>
    <w:p>
      <w:pPr>
        <w:pStyle w:val="Heading1"/>
      </w:pPr>
      <w:r>
        <w:t>5. Discussion</w:t>
      </w:r>
    </w:p>
    <w:p>
      <w:pPr>
        <w:pStyle w:val="Heading2"/>
      </w:pPr>
      <w:r>
        <w:t>5.1 Interpretation</w:t>
      </w:r>
    </w:p>
    <w:p>
      <w:pPr>
        <w:spacing w:after="120"/>
      </w:pPr>
      <w:r>
        <w:rPr>
          <w:i w:val="0"/>
        </w:rPr>
        <w:t>The central finding is that residual hybridisation is highly effective: a deliberately simple physical model, corrected by an uncertainty-aware ML learner, reduces error by two-thirds and produces calibrated probabilities. The physics supplies structure, feasibility and interpretable state variables (which also serve as informative features), while the ML captures the nonlinear, heterogeneous chokepoint behaviour the lumped model omits. Retaining the GRC prior and projecting predictions onto physically feasible values guards against the unphysical extrapolation typical of unconstrained ML.</w:t>
      </w:r>
    </w:p>
    <w:p>
      <w:pPr>
        <w:spacing w:after="120"/>
      </w:pPr>
      <w:r>
        <w:rPr>
          <w:i w:val="0"/>
        </w:rPr>
        <w:t>The uncertainty decomposition adds practical value beyond a single accuracy number: separating aleatory from epistemic variance tells an operator why confidence is low at a given lead and points to the most effective route to improvement (here, reducing epistemic uncertainty at longer leads).</w:t>
      </w:r>
    </w:p>
    <w:p>
      <w:pPr>
        <w:spacing w:after="120"/>
      </w:pPr>
      <w:r>
        <w:rPr>
          <w:i w:val="0"/>
        </w:rPr>
        <w:t>The decision-oriented evaluation is arguably the most policy-relevant result. Statistical skill and usefulness are not the same thing under severe class imbalance; the cost–loss/REV analysis shows precisely where the forecast is worth acting on (1–3 h) and where it is not (≥ 4 h). This directly informs how far ahead warnings should be issued.</w:t>
      </w:r>
    </w:p>
    <w:p>
      <w:pPr>
        <w:pStyle w:val="Heading2"/>
      </w:pPr>
      <w:r>
        <w:t>5.2 Comparison with conventional approaches</w:t>
      </w:r>
    </w:p>
    <w:p>
      <w:pPr>
        <w:spacing w:after="120"/>
      </w:pPr>
      <w:r>
        <w:rPr>
          <w:i w:val="0"/>
        </w:rPr>
        <w:t>Relative to a lumped conceptual model alone, the hybrid adds accuracy, calibrated uncertainty and event-discrimination skill. Relative to a black-box ML model, it adds physical consistency, interpretable intermediate states and robustness to extrapolation. The architecture is also computationally light: once trained, per-hour forecasts are closed-form, and the pretrained model state is serialised so the deployed service starts in seconds without retraining.</w:t>
      </w:r>
    </w:p>
    <w:p>
      <w:pPr>
        <w:pStyle w:val="Heading2"/>
      </w:pPr>
      <w:r>
        <w:t>5.3 Limitations</w:t>
      </w:r>
    </w:p>
    <w:p>
      <w:pPr>
        <w:pStyle w:val="ListNumber"/>
        <w:spacing w:after="40"/>
      </w:pPr>
      <w:r>
        <w:t>Synthetic ground truth. The most important caveat: skill is measured against a physically-based synthetic reference, not observed inundation. The numbers validate the methodology and calibration, not operational accuracy.</w:t>
      </w:r>
    </w:p>
    <w:p>
      <w:pPr>
        <w:pStyle w:val="ListNumber"/>
        <w:spacing w:after="40"/>
      </w:pPr>
      <w:r>
        <w:t>Single gauge forcing. One rain gauge cannot resolve the strong spatial variability of convective storms; the spatial map is an informed disaggregation, not an independently observed field.</w:t>
      </w:r>
    </w:p>
    <w:p>
      <w:pPr>
        <w:pStyle w:val="ListNumber"/>
        <w:spacing w:after="40"/>
      </w:pPr>
      <w:r>
        <w:t>Idealised chokepoints. Locations and susceptibilities are representative and for demonstration; real drainage geometry, blockages and backwater effects are not explicitly modelled.</w:t>
      </w:r>
    </w:p>
    <w:p>
      <w:pPr>
        <w:pStyle w:val="ListNumber"/>
        <w:spacing w:after="40"/>
      </w:pPr>
      <w:r>
        <w:t>Stationarity assumptions. Chronological hold-out mitigates leakage but the model assumes the rainfall–flood relationship is stationary, which urbanisation and climate change may violate.</w:t>
      </w:r>
    </w:p>
    <w:p>
      <w:pPr>
        <w:pStyle w:val="ListNumber"/>
        <w:spacing w:after="40"/>
      </w:pPr>
      <w:r>
        <w:t>Short useful horizon. Positive decision value currently extends only to ~3 h, limiting lead time for some response actions.</w:t>
      </w:r>
    </w:p>
    <w:p>
      <w:pPr>
        <w:pStyle w:val="Heading2"/>
      </w:pPr>
      <w:r>
        <w:t>5.4 Future work</w:t>
      </w:r>
    </w:p>
    <w:p>
      <w:pPr>
        <w:pStyle w:val="ListBullet"/>
        <w:spacing w:after="40"/>
      </w:pPr>
      <w:r>
        <w:t>Real observations: integrate crowd-sourced/CCTV/IoT depth reports or SWMM hydrodynamic output to replace the synthetic target and enable genuine validation.</w:t>
      </w:r>
    </w:p>
    <w:p>
      <w:pPr>
        <w:pStyle w:val="ListBullet"/>
        <w:spacing w:after="40"/>
      </w:pPr>
      <w:r>
        <w:t>Spatial forcing: assimilate radar or satellite QPE and multiple gauges for a truly distributed nowcast.</w:t>
      </w:r>
    </w:p>
    <w:p>
      <w:pPr>
        <w:pStyle w:val="ListBullet"/>
        <w:spacing w:after="40"/>
      </w:pPr>
      <w:r>
        <w:t>Extended lead time: couple with numerical weather prediction / rainfall nowcasting to push useful horizons beyond 3 h.</w:t>
      </w:r>
    </w:p>
    <w:p>
      <w:pPr>
        <w:pStyle w:val="ListBullet"/>
        <w:spacing w:after="40"/>
      </w:pPr>
      <w:r>
        <w:t>Richer learners: temporal deep models (e.g. sequence models) and probabilistic calibration refinements.</w:t>
      </w:r>
    </w:p>
    <w:p>
      <w:pPr>
        <w:pStyle w:val="ListBullet"/>
        <w:spacing w:after="40"/>
      </w:pPr>
      <w:r>
        <w:t>Field trial: pilot the alerting workflow with the responsible drainage/disaster-management authority and measure realised decision value.</w:t>
      </w:r>
    </w:p>
    <w:p>
      <w:pPr>
        <w:pStyle w:val="Heading1"/>
      </w:pPr>
      <w:r>
        <w:t>6. Conclusion</w:t>
      </w:r>
    </w:p>
    <w:p>
      <w:pPr>
        <w:spacing w:after="120"/>
      </w:pPr>
      <w:r>
        <w:rPr>
          <w:i w:val="0"/>
        </w:rPr>
        <w:t>This work demonstrates a reproducible, uncertainty-aware hybrid physics–ML nowcasting system for short-lead urban pluvial flooding in South C, Nairobi. By learning the residual of a lightweight physical runoff–capacity surrogate, the system cuts 1-hour flood-depth RMSE by 67% (2.19 → 0.73 mm), discriminates flood events well (AUC 0.871), produces well-calibrated 90% predictive intervals (coverage 0.888), and — through a cost–loss analysis — delivers positive economic value over climatology at 1–3 h lead (best REV 0.582). The explicit aleatory/epistemic uncertainty decomposition and the decision-focused evaluation make the outputs both interpretable and operationally actionable via an alerting dashboard, spatial risk map and printable bulletin. While the present skill is established against a synthetic reference and must be revalidated on real inundation data, the methodology provides a practical, physically-grounded and computationally efficient blueprint for operational urban flood early-warning in data-scarce cities.</w:t>
      </w:r>
    </w:p>
    <w:p>
      <w:pPr>
        <w:pStyle w:val="Heading2"/>
      </w:pPr>
      <w:r>
        <w:t>Reproducibility</w:t>
      </w:r>
    </w:p>
    <w:p>
      <w:pPr>
        <w:spacing w:after="120"/>
      </w:pPr>
      <w:r>
        <w:rPr>
          <w:i w:val="0"/>
        </w:rPr>
        <w:t>The full pipeline, pretrained model artifact and dashboard are available in the project repository. All results in this report were produced with the committed model state (random seed 42, 80/20 chronological split). To regenerate the model artifact after any model or data change, run “python -m app.service” from the prototype folder and commit the updated file.</w:t>
      </w:r>
    </w:p>
    <w:p>
      <w:r>
        <w:rPr>
          <w:i/>
          <w:color w:val="555555"/>
          <w:sz w:val="19"/>
        </w:rPr>
        <w:t>Disclaimer. Flood targets are SWMM-style synthetic values. Results demonstrate method and calibration, not validated real-world skill, and the system is a research prototype — not an official flood warning.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