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Congressional 5107 — Political Program Plan</w:t>
      </w:r>
    </w:p>
    <w:p>
      <w:pPr>
        <w:pStyle w:val="Heading2"/>
      </w:pPr>
      <w:r>
        <w:t>Executive Summary</w:t>
      </w:r>
    </w:p>
    <w:p>
      <w:r>
        <w:rPr>
          <w:b w:val="0"/>
        </w:rPr>
        <w:t>In the 2026 race for Virginia's 7th Congressional District, we have a unique opportunity to engage and mobilize young voters, particularly young men, who have shown increasing interest in economic policies that resonate with their aspirations. Our strategy focuses on presenting a compelling working-class economic agenda while addressing cultural issues with openness and inclusivity. By leveraging a multi-channel outreach program that includes canvassing, phone banking, and digital engagement, we aim to build sustained voter contact and drive turnout among this pivotal demographic.</w:t>
      </w:r>
    </w:p>
    <w:p>
      <w:r>
        <w:rPr>
          <w:b w:val="0"/>
        </w:rPr>
        <w:t>The district presents a competitive landscape with no clear historical partisan lean, offering a chance to sway undecided voters. Our approach will emphasize job opportunities for non-college workers and foster cultural inclusivity, positioning our candidate as a champion for economic justice and civil discourse. By executing a well-coordinated campaign that integrates early and sustained outreach efforts, we aim to secure a decisive victory in 2026.</w:t>
      </w:r>
    </w:p>
    <w:p>
      <w:pPr>
        <w:pStyle w:val="Heading2"/>
      </w:pPr>
      <w:r>
        <w:t>District Background</w:t>
      </w:r>
    </w:p>
    <w:p>
      <w:r>
        <w:rPr>
          <w:b w:val="0"/>
        </w:rPr>
        <w:t>Virginia's 7th Congressional District is a diverse and dynamic area that encompasses a mix of suburban and rural communities. Historically, the district has not shown a consistent partisan preference, making it a battleground for both major parties. The district's demographics include a significant proportion of young voters, particularly young men, who are crucial to our campaign strategy. The political context is shaped by cultural and economic issues, with voters expressing concerns about job opportunities, education, and inclusivity.</w:t>
      </w:r>
    </w:p>
    <w:p>
      <w:pPr>
        <w:pStyle w:val="Heading2"/>
      </w:pPr>
      <w:r>
        <w:t>Target Universe and Demographics</w:t>
      </w:r>
    </w:p>
    <w:p>
      <w:r>
        <w:rPr>
          <w:b w:val="0"/>
        </w:rPr>
        <w:t>Our target universe focuses on precincts with high concentrations of young voters aged 18-29. These precincts exhibit diverse racial and ethnic compositions, with a notable presence of Black and Hispanic communities. The Citizen Voting Age Population (CVAP) in these areas shows a trend towards increased voter registration and engagement, particularly among young men who are seeking economic opportunities and cultural representation. This demographic pattern is critical as we aim to mobilize these voters through tailored messaging and outreach efforts.</w:t>
      </w:r>
    </w:p>
    <w:p>
      <w:pPr>
        <w:pStyle w:val="Heading2"/>
      </w:pPr>
      <w:r>
        <w:t>Geographic Targeting</w:t>
      </w:r>
    </w:p>
    <w:p>
      <w:r>
        <w:rPr>
          <w:b w:val="0"/>
        </w:rPr>
        <w:t>The selection of target precincts is based on their high youth voter population and potential for increased turnout. Precincts such as Trevvett and Tucker have been identified for their significant youth voter presence. By concentrating our efforts in these areas, we aim to maximize voter contact efficiency and meet our win-number goal. This geographic focus allows us to deploy resources strategically, ensuring that our message reaches the most receptive audiences.</w:t>
      </w:r>
    </w:p>
    <w:p>
      <w:pPr>
        <w:pStyle w:val="Heading3"/>
      </w:pPr>
      <w:r>
        <w:t>Top 20 Target Precincts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Precinct</w:t>
            </w:r>
          </w:p>
        </w:tc>
        <w:tc>
          <w:tcPr>
            <w:tcW w:type="dxa" w:w="2880"/>
          </w:tcPr>
          <w:p>
            <w:r>
              <w:rPr>
                <w:b/>
              </w:rPr>
              <w:t>Youth Vap</w:t>
            </w:r>
          </w:p>
        </w:tc>
        <w:tc>
          <w:tcPr>
            <w:tcW w:type="dxa" w:w="2880"/>
          </w:tcPr>
          <w:p>
            <w:r>
              <w:rPr>
                <w:b/>
              </w:rPr>
              <w:t>College Enrolled</w:t>
            </w:r>
          </w:p>
        </w:tc>
      </w:tr>
      <w:tr>
        <w:tc>
          <w:tcPr>
            <w:tcW w:type="dxa" w:w="2880"/>
          </w:tcPr>
          <w:p>
            <w:r>
              <w:t>Trevvett</w:t>
            </w:r>
          </w:p>
        </w:tc>
        <w:tc>
          <w:tcPr>
            <w:tcW w:type="dxa" w:w="2880"/>
          </w:tcPr>
          <w:p>
            <w:r>
              <w:t>1,943</w:t>
            </w:r>
          </w:p>
        </w:tc>
        <w:tc>
          <w:tcPr>
            <w:tcW w:type="dxa" w:w="2880"/>
          </w:tcPr>
          <w:p>
            <w:r>
              <w:t>0</w:t>
            </w:r>
          </w:p>
        </w:tc>
      </w:tr>
      <w:tr>
        <w:tc>
          <w:tcPr>
            <w:tcW w:type="dxa" w:w="2880"/>
          </w:tcPr>
          <w:p>
            <w:r>
              <w:t>51087-315-Tucker</w:t>
            </w:r>
          </w:p>
        </w:tc>
        <w:tc>
          <w:tcPr>
            <w:tcW w:type="dxa" w:w="2880"/>
          </w:tcPr>
          <w:p>
            <w:r>
              <w:t>1,914</w:t>
            </w:r>
          </w:p>
        </w:tc>
        <w:tc>
          <w:tcPr>
            <w:tcW w:type="dxa" w:w="2880"/>
          </w:tcPr>
          <w:p>
            <w:r>
              <w:t>0</w:t>
            </w:r>
          </w:p>
        </w:tc>
      </w:tr>
      <w:tr>
        <w:tc>
          <w:tcPr>
            <w:tcW w:type="dxa" w:w="2880"/>
          </w:tcPr>
          <w:p>
            <w:r>
              <w:t>51041-105-DrewrysBluff</w:t>
            </w:r>
          </w:p>
        </w:tc>
        <w:tc>
          <w:tcPr>
            <w:tcW w:type="dxa" w:w="2880"/>
          </w:tcPr>
          <w:p>
            <w:r>
              <w:t>1,826</w:t>
            </w:r>
          </w:p>
        </w:tc>
        <w:tc>
          <w:tcPr>
            <w:tcW w:type="dxa" w:w="2880"/>
          </w:tcPr>
          <w:p>
            <w:r>
              <w:t>0</w:t>
            </w:r>
          </w:p>
        </w:tc>
      </w:tr>
      <w:tr>
        <w:tc>
          <w:tcPr>
            <w:tcW w:type="dxa" w:w="2880"/>
          </w:tcPr>
          <w:p>
            <w:r>
              <w:t>51041-210-FiveForks</w:t>
            </w:r>
          </w:p>
        </w:tc>
        <w:tc>
          <w:tcPr>
            <w:tcW w:type="dxa" w:w="2880"/>
          </w:tcPr>
          <w:p>
            <w:r>
              <w:t>1,749</w:t>
            </w:r>
          </w:p>
        </w:tc>
        <w:tc>
          <w:tcPr>
            <w:tcW w:type="dxa" w:w="2880"/>
          </w:tcPr>
          <w:p>
            <w:r>
              <w:t>0</w:t>
            </w:r>
          </w:p>
        </w:tc>
      </w:tr>
      <w:tr>
        <w:tc>
          <w:tcPr>
            <w:tcW w:type="dxa" w:w="2880"/>
          </w:tcPr>
          <w:p>
            <w:r>
              <w:t>51087-201-Azalea</w:t>
            </w:r>
          </w:p>
        </w:tc>
        <w:tc>
          <w:tcPr>
            <w:tcW w:type="dxa" w:w="2880"/>
          </w:tcPr>
          <w:p>
            <w:r>
              <w:t>1,704</w:t>
            </w:r>
          </w:p>
        </w:tc>
        <w:tc>
          <w:tcPr>
            <w:tcW w:type="dxa" w:w="2880"/>
          </w:tcPr>
          <w:p>
            <w:r>
              <w:t>0</w:t>
            </w:r>
          </w:p>
        </w:tc>
      </w:tr>
      <w:tr>
        <w:tc>
          <w:tcPr>
            <w:tcW w:type="dxa" w:w="2880"/>
          </w:tcPr>
          <w:p>
            <w:r>
              <w:t>51087-105-Hermitage</w:t>
            </w:r>
          </w:p>
        </w:tc>
        <w:tc>
          <w:tcPr>
            <w:tcW w:type="dxa" w:w="2880"/>
          </w:tcPr>
          <w:p>
            <w:r>
              <w:t>1,647</w:t>
            </w:r>
          </w:p>
        </w:tc>
        <w:tc>
          <w:tcPr>
            <w:tcW w:type="dxa" w:w="2880"/>
          </w:tcPr>
          <w:p>
            <w:r>
              <w:t>0</w:t>
            </w:r>
          </w:p>
        </w:tc>
      </w:tr>
      <w:tr>
        <w:tc>
          <w:tcPr>
            <w:tcW w:type="dxa" w:w="2880"/>
          </w:tcPr>
          <w:p>
            <w:r>
              <w:t>51087-110-Longan</w:t>
            </w:r>
          </w:p>
        </w:tc>
        <w:tc>
          <w:tcPr>
            <w:tcW w:type="dxa" w:w="2880"/>
          </w:tcPr>
          <w:p>
            <w:r>
              <w:t>1,554</w:t>
            </w:r>
          </w:p>
        </w:tc>
        <w:tc>
          <w:tcPr>
            <w:tcW w:type="dxa" w:w="2880"/>
          </w:tcPr>
          <w:p>
            <w:r>
              <w:t>0</w:t>
            </w:r>
          </w:p>
        </w:tc>
      </w:tr>
      <w:tr>
        <w:tc>
          <w:tcPr>
            <w:tcW w:type="dxa" w:w="2880"/>
          </w:tcPr>
          <w:p>
            <w:r>
              <w:t>51041-207-Chippenham</w:t>
            </w:r>
          </w:p>
        </w:tc>
        <w:tc>
          <w:tcPr>
            <w:tcW w:type="dxa" w:w="2880"/>
          </w:tcPr>
          <w:p>
            <w:r>
              <w:t>1,465</w:t>
            </w:r>
          </w:p>
        </w:tc>
        <w:tc>
          <w:tcPr>
            <w:tcW w:type="dxa" w:w="2880"/>
          </w:tcPr>
          <w:p>
            <w:r>
              <w:t>0</w:t>
            </w:r>
          </w:p>
        </w:tc>
      </w:tr>
      <w:tr>
        <w:tc>
          <w:tcPr>
            <w:tcW w:type="dxa" w:w="2880"/>
          </w:tcPr>
          <w:p>
            <w:r>
              <w:t>- JOHN J. WRIGHT</w:t>
            </w:r>
          </w:p>
        </w:tc>
        <w:tc>
          <w:tcPr>
            <w:tcW w:type="dxa" w:w="2880"/>
          </w:tcPr>
          <w:p>
            <w:r>
              <w:t>1,457</w:t>
            </w:r>
          </w:p>
        </w:tc>
        <w:tc>
          <w:tcPr>
            <w:tcW w:type="dxa" w:w="2880"/>
          </w:tcPr>
          <w:p>
            <w:r>
              <w:t>0</w:t>
            </w:r>
          </w:p>
        </w:tc>
      </w:tr>
      <w:tr>
        <w:tc>
          <w:tcPr>
            <w:tcW w:type="dxa" w:w="2880"/>
          </w:tcPr>
          <w:p>
            <w:r>
              <w:t>51041-412-CloverHill</w:t>
            </w:r>
          </w:p>
        </w:tc>
        <w:tc>
          <w:tcPr>
            <w:tcW w:type="dxa" w:w="2880"/>
          </w:tcPr>
          <w:p>
            <w:r>
              <w:t>1,295</w:t>
            </w:r>
          </w:p>
        </w:tc>
        <w:tc>
          <w:tcPr>
            <w:tcW w:type="dxa" w:w="2880"/>
          </w:tcPr>
          <w:p>
            <w:r>
              <w:t>0</w:t>
            </w:r>
          </w:p>
        </w:tc>
      </w:tr>
      <w:tr>
        <w:tc>
          <w:tcPr>
            <w:tcW w:type="dxa" w:w="2880"/>
          </w:tcPr>
          <w:p>
            <w:r>
              <w:t>51041-205-FallingCreek</w:t>
            </w:r>
          </w:p>
        </w:tc>
        <w:tc>
          <w:tcPr>
            <w:tcW w:type="dxa" w:w="2880"/>
          </w:tcPr>
          <w:p>
            <w:r>
              <w:t>1,266</w:t>
            </w:r>
          </w:p>
        </w:tc>
        <w:tc>
          <w:tcPr>
            <w:tcW w:type="dxa" w:w="2880"/>
          </w:tcPr>
          <w:p>
            <w:r>
              <w:t>0</w:t>
            </w:r>
          </w:p>
        </w:tc>
      </w:tr>
      <w:tr>
        <w:tc>
          <w:tcPr>
            <w:tcW w:type="dxa" w:w="2880"/>
          </w:tcPr>
          <w:p>
            <w:r>
              <w:t>51041-222-Turner</w:t>
            </w:r>
          </w:p>
        </w:tc>
        <w:tc>
          <w:tcPr>
            <w:tcW w:type="dxa" w:w="2880"/>
          </w:tcPr>
          <w:p>
            <w:r>
              <w:t>1,254</w:t>
            </w:r>
          </w:p>
        </w:tc>
        <w:tc>
          <w:tcPr>
            <w:tcW w:type="dxa" w:w="2880"/>
          </w:tcPr>
          <w:p>
            <w:r>
              <w:t>0</w:t>
            </w:r>
          </w:p>
        </w:tc>
      </w:tr>
      <w:tr>
        <w:tc>
          <w:tcPr>
            <w:tcW w:type="dxa" w:w="2880"/>
          </w:tcPr>
          <w:p>
            <w:r>
              <w:t>51041-202-Beulah</w:t>
            </w:r>
          </w:p>
        </w:tc>
        <w:tc>
          <w:tcPr>
            <w:tcW w:type="dxa" w:w="2880"/>
          </w:tcPr>
          <w:p>
            <w:r>
              <w:t>1,236</w:t>
            </w:r>
          </w:p>
        </w:tc>
        <w:tc>
          <w:tcPr>
            <w:tcW w:type="dxa" w:w="2880"/>
          </w:tcPr>
          <w:p>
            <w:r>
              <w:t>0</w:t>
            </w:r>
          </w:p>
        </w:tc>
      </w:tr>
      <w:tr>
        <w:tc>
          <w:tcPr>
            <w:tcW w:type="dxa" w:w="2880"/>
          </w:tcPr>
          <w:p>
            <w:r>
              <w:t>51087-102-Dumbarton</w:t>
            </w:r>
          </w:p>
        </w:tc>
        <w:tc>
          <w:tcPr>
            <w:tcW w:type="dxa" w:w="2880"/>
          </w:tcPr>
          <w:p>
            <w:r>
              <w:t>1,178</w:t>
            </w:r>
          </w:p>
        </w:tc>
        <w:tc>
          <w:tcPr>
            <w:tcW w:type="dxa" w:w="2880"/>
          </w:tcPr>
          <w:p>
            <w:r>
              <w:t>0</w:t>
            </w:r>
          </w:p>
        </w:tc>
      </w:tr>
      <w:tr>
        <w:tc>
          <w:tcPr>
            <w:tcW w:type="dxa" w:w="2880"/>
          </w:tcPr>
          <w:p>
            <w:r>
              <w:t>51041-414-Crenshaw</w:t>
            </w:r>
          </w:p>
        </w:tc>
        <w:tc>
          <w:tcPr>
            <w:tcW w:type="dxa" w:w="2880"/>
          </w:tcPr>
          <w:p>
            <w:r>
              <w:t>1,145</w:t>
            </w:r>
          </w:p>
        </w:tc>
        <w:tc>
          <w:tcPr>
            <w:tcW w:type="dxa" w:w="2880"/>
          </w:tcPr>
          <w:p>
            <w:r>
              <w:t>0</w:t>
            </w:r>
          </w:p>
        </w:tc>
      </w:tr>
      <w:tr>
        <w:tc>
          <w:tcPr>
            <w:tcW w:type="dxa" w:w="2880"/>
          </w:tcPr>
          <w:p>
            <w:r>
              <w:t>51041-515-Davis</w:t>
            </w:r>
          </w:p>
        </w:tc>
        <w:tc>
          <w:tcPr>
            <w:tcW w:type="dxa" w:w="2880"/>
          </w:tcPr>
          <w:p>
            <w:r>
              <w:t>1,125</w:t>
            </w:r>
          </w:p>
        </w:tc>
        <w:tc>
          <w:tcPr>
            <w:tcW w:type="dxa" w:w="2880"/>
          </w:tcPr>
          <w:p>
            <w:r>
              <w:t>0</w:t>
            </w:r>
          </w:p>
        </w:tc>
      </w:tr>
      <w:tr>
        <w:tc>
          <w:tcPr>
            <w:tcW w:type="dxa" w:w="2880"/>
          </w:tcPr>
          <w:p>
            <w:r>
              <w:t>- 1 WEST</w:t>
            </w:r>
          </w:p>
        </w:tc>
        <w:tc>
          <w:tcPr>
            <w:tcW w:type="dxa" w:w="2880"/>
          </w:tcPr>
          <w:p>
            <w:r>
              <w:t>1,018</w:t>
            </w:r>
          </w:p>
        </w:tc>
        <w:tc>
          <w:tcPr>
            <w:tcW w:type="dxa" w:w="2880"/>
          </w:tcPr>
          <w:p>
            <w:r>
              <w:t>0</w:t>
            </w:r>
          </w:p>
        </w:tc>
      </w:tr>
      <w:tr>
        <w:tc>
          <w:tcPr>
            <w:tcW w:type="dxa" w:w="2880"/>
          </w:tcPr>
          <w:p>
            <w:r>
              <w:t>- EAST FAIRFAX</w:t>
            </w:r>
          </w:p>
        </w:tc>
        <w:tc>
          <w:tcPr>
            <w:tcW w:type="dxa" w:w="2880"/>
          </w:tcPr>
          <w:p>
            <w:r>
              <w:t>1,005</w:t>
            </w:r>
          </w:p>
        </w:tc>
        <w:tc>
          <w:tcPr>
            <w:tcW w:type="dxa" w:w="2880"/>
          </w:tcPr>
          <w:p>
            <w:r>
              <w:t>0</w:t>
            </w:r>
          </w:p>
        </w:tc>
      </w:tr>
      <w:tr>
        <w:tc>
          <w:tcPr>
            <w:tcW w:type="dxa" w:w="2880"/>
          </w:tcPr>
          <w:p>
            <w:r>
              <w:t>51041-319-Magnolia</w:t>
            </w:r>
          </w:p>
        </w:tc>
        <w:tc>
          <w:tcPr>
            <w:tcW w:type="dxa" w:w="2880"/>
          </w:tcPr>
          <w:p>
            <w:r>
              <w:t>946</w:t>
            </w:r>
          </w:p>
        </w:tc>
        <w:tc>
          <w:tcPr>
            <w:tcW w:type="dxa" w:w="2880"/>
          </w:tcPr>
          <w:p>
            <w:r>
              <w:t>0</w:t>
            </w:r>
          </w:p>
        </w:tc>
      </w:tr>
      <w:tr>
        <w:tc>
          <w:tcPr>
            <w:tcW w:type="dxa" w:w="2880"/>
          </w:tcPr>
          <w:p>
            <w:r>
              <w:t>- CHANCELLOR ELEMENTARY</w:t>
            </w:r>
          </w:p>
        </w:tc>
        <w:tc>
          <w:tcPr>
            <w:tcW w:type="dxa" w:w="2880"/>
          </w:tcPr>
          <w:p>
            <w:r>
              <w:t>943</w:t>
            </w:r>
          </w:p>
        </w:tc>
        <w:tc>
          <w:tcPr>
            <w:tcW w:type="dxa" w:w="2880"/>
          </w:tcPr>
          <w:p>
            <w:r>
              <w:t>0</w:t>
            </w:r>
          </w:p>
        </w:tc>
      </w:tr>
    </w:tbl>
    <w:p/>
    <w:p>
      <w:pPr>
        <w:pStyle w:val="Heading2"/>
      </w:pPr>
      <w:r>
        <w:t>Messaging Strategy</w:t>
      </w:r>
    </w:p>
    <w:p>
      <w:r>
        <w:rPr>
          <w:b w:val="0"/>
        </w:rPr>
        <w:t>Our messaging strategy is centered around an aspirational working-class economic agenda. The canvassing approach involves direct engagement with young men, emphasizing job opportunities and cultural inclusivity. Phone banking will reinforce these themes, providing voters with clear reasons to support our candidate. Text messaging will serve as a quick and effective way to reach voters with reminders and key information.</w:t>
      </w:r>
    </w:p>
    <w:p>
      <w:r>
        <w:rPr>
          <w:b w:val="0"/>
        </w:rPr>
        <w:t>The mail narrative will highlight our candidate's commitment to economic justice and cultural openness, while digital ads will target young men with messages about job creation and community engagement. The full text of all scripts and copy produced by the messaging analyst is included in the program materials.</w:t>
      </w:r>
    </w:p>
    <w:p>
      <w:pPr>
        <w:pStyle w:val="Heading2"/>
      </w:pPr>
      <w:r>
        <w:t>Budget Estimate</w:t>
      </w:r>
    </w:p>
    <w:p>
      <w:r>
        <w:rPr>
          <w:b w:val="0"/>
        </w:rPr>
        <w:t>The budget analysis indicates a total campaign expenditure of approximately $1.34 million. This budget supports a comprehensive outreach program, including personnel, mail, digital, and phone efforts. Trade-offs were made to prioritize high-impact activities such as digital advertising and targeted mail, ensuring that resources are allocated efficiently to maximize voter contact and persuasion.</w:t>
      </w:r>
    </w:p>
    <w:p>
      <w:pPr>
        <w:pStyle w:val="Heading3"/>
      </w:pPr>
      <w:r>
        <w:t>Per-Contact Rate Estimates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Tactic</w:t>
            </w:r>
          </w:p>
        </w:tc>
        <w:tc>
          <w:tcPr>
            <w:tcW w:type="dxa" w:w="4320"/>
          </w:tcPr>
          <w:p>
            <w:r>
              <w:rPr>
                <w:b/>
              </w:rPr>
              <w:t>Unit Cost</w:t>
            </w:r>
          </w:p>
        </w:tc>
      </w:tr>
      <w:tr>
        <w:tc>
          <w:tcPr>
            <w:tcW w:type="dxa" w:w="4320"/>
          </w:tcPr>
          <w:p>
            <w:r>
              <w:t>Door Knock</w:t>
            </w:r>
          </w:p>
        </w:tc>
        <w:tc>
          <w:tcPr>
            <w:tcW w:type="dxa" w:w="4320"/>
          </w:tcPr>
          <w:p>
            <w:r>
              <w:t>$7.00</w:t>
            </w:r>
          </w:p>
        </w:tc>
      </w:tr>
      <w:tr>
        <w:tc>
          <w:tcPr>
            <w:tcW w:type="dxa" w:w="4320"/>
          </w:tcPr>
          <w:p>
            <w:r>
              <w:t>doors_per_hour</w:t>
            </w:r>
          </w:p>
        </w:tc>
        <w:tc>
          <w:tcPr>
            <w:tcW w:type="dxa" w:w="4320"/>
          </w:tcPr>
          <w:p>
            <w:r>
              <w:t>$8.00</w:t>
            </w:r>
          </w:p>
        </w:tc>
      </w:tr>
      <w:tr>
        <w:tc>
          <w:tcPr>
            <w:tcW w:type="dxa" w:w="4320"/>
          </w:tcPr>
          <w:p>
            <w:r>
              <w:t>Phone Call</w:t>
            </w:r>
          </w:p>
        </w:tc>
        <w:tc>
          <w:tcPr>
            <w:tcW w:type="dxa" w:w="4320"/>
          </w:tcPr>
          <w:p>
            <w:r>
              <w:t>$1.50</w:t>
            </w:r>
          </w:p>
        </w:tc>
      </w:tr>
      <w:tr>
        <w:tc>
          <w:tcPr>
            <w:tcW w:type="dxa" w:w="4320"/>
          </w:tcPr>
          <w:p>
            <w:r>
              <w:t>Text Message</w:t>
            </w:r>
          </w:p>
        </w:tc>
        <w:tc>
          <w:tcPr>
            <w:tcW w:type="dxa" w:w="4320"/>
          </w:tcPr>
          <w:p>
            <w:r>
              <w:t>$0.05</w:t>
            </w:r>
          </w:p>
        </w:tc>
      </w:tr>
      <w:tr>
        <w:tc>
          <w:tcPr>
            <w:tcW w:type="dxa" w:w="4320"/>
          </w:tcPr>
          <w:p>
            <w:r>
              <w:t>Mail Piece</w:t>
            </w:r>
          </w:p>
        </w:tc>
        <w:tc>
          <w:tcPr>
            <w:tcW w:type="dxa" w:w="4320"/>
          </w:tcPr>
          <w:p>
            <w:r>
              <w:t>$1.00</w:t>
            </w:r>
          </w:p>
        </w:tc>
      </w:tr>
      <w:tr>
        <w:tc>
          <w:tcPr>
            <w:tcW w:type="dxa" w:w="4320"/>
          </w:tcPr>
          <w:p>
            <w:r>
              <w:t>mail_design_fee</w:t>
            </w:r>
          </w:p>
        </w:tc>
        <w:tc>
          <w:tcPr>
            <w:tcW w:type="dxa" w:w="4320"/>
          </w:tcPr>
          <w:p>
            <w:r>
              <w:t>$500.00</w:t>
            </w:r>
          </w:p>
        </w:tc>
      </w:tr>
      <w:tr>
        <w:tc>
          <w:tcPr>
            <w:tcW w:type="dxa" w:w="4320"/>
          </w:tcPr>
          <w:p>
            <w:r>
              <w:t>digital_cpm</w:t>
            </w:r>
          </w:p>
        </w:tc>
        <w:tc>
          <w:tcPr>
            <w:tcW w:type="dxa" w:w="4320"/>
          </w:tcPr>
          <w:p>
            <w:r>
              <w:t>$0.02</w:t>
            </w:r>
          </w:p>
        </w:tc>
      </w:tr>
      <w:tr>
        <w:tc>
          <w:tcPr>
            <w:tcW w:type="dxa" w:w="4320"/>
          </w:tcPr>
          <w:p>
            <w:r>
              <w:t>digital_minimum</w:t>
            </w:r>
          </w:p>
        </w:tc>
        <w:tc>
          <w:tcPr>
            <w:tcW w:type="dxa" w:w="4320"/>
          </w:tcPr>
          <w:p>
            <w:r>
              <w:t>$1000.00</w:t>
            </w:r>
          </w:p>
        </w:tc>
      </w:tr>
    </w:tbl>
    <w:p/>
    <w:p>
      <w:pPr>
        <w:pStyle w:val="Heading3"/>
      </w:pPr>
      <w:r>
        <w:t>Historical FEC Spending (comparable cycles)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Estimated Spend</w:t>
            </w:r>
          </w:p>
        </w:tc>
      </w:tr>
      <w:tr>
        <w:tc>
          <w:tcPr>
            <w:tcW w:type="dxa" w:w="4320"/>
          </w:tcPr>
          <w:p>
            <w:r>
              <w:t>Total Program (FEC average)</w:t>
            </w:r>
          </w:p>
        </w:tc>
        <w:tc>
          <w:tcPr>
            <w:tcW w:type="dxa" w:w="4320"/>
          </w:tcPr>
          <w:p>
            <w:r>
              <w:t>$1,341,459</w:t>
            </w:r>
          </w:p>
        </w:tc>
      </w:tr>
      <w:tr>
        <w:tc>
          <w:tcPr>
            <w:tcW w:type="dxa" w:w="4320"/>
          </w:tcPr>
          <w:p>
            <w:r>
              <w:t>Personnel</w:t>
            </w:r>
          </w:p>
        </w:tc>
        <w:tc>
          <w:tcPr>
            <w:tcW w:type="dxa" w:w="4320"/>
          </w:tcPr>
          <w:p>
            <w:r>
              <w:t>$469,511</w:t>
            </w:r>
          </w:p>
        </w:tc>
      </w:tr>
      <w:tr>
        <w:tc>
          <w:tcPr>
            <w:tcW w:type="dxa" w:w="4320"/>
          </w:tcPr>
          <w:p>
            <w:r>
              <w:t>Mail</w:t>
            </w:r>
          </w:p>
        </w:tc>
        <w:tc>
          <w:tcPr>
            <w:tcW w:type="dxa" w:w="4320"/>
          </w:tcPr>
          <w:p>
            <w:r>
              <w:t>$268,292</w:t>
            </w:r>
          </w:p>
        </w:tc>
      </w:tr>
      <w:tr>
        <w:tc>
          <w:tcPr>
            <w:tcW w:type="dxa" w:w="4320"/>
          </w:tcPr>
          <w:p>
            <w:r>
              <w:t>Digital</w:t>
            </w:r>
          </w:p>
        </w:tc>
        <w:tc>
          <w:tcPr>
            <w:tcW w:type="dxa" w:w="4320"/>
          </w:tcPr>
          <w:p>
            <w:r>
              <w:t>$335,365</w:t>
            </w:r>
          </w:p>
        </w:tc>
      </w:tr>
      <w:tr>
        <w:tc>
          <w:tcPr>
            <w:tcW w:type="dxa" w:w="4320"/>
          </w:tcPr>
          <w:p>
            <w:r>
              <w:t>Phones</w:t>
            </w:r>
          </w:p>
        </w:tc>
        <w:tc>
          <w:tcPr>
            <w:tcW w:type="dxa" w:w="4320"/>
          </w:tcPr>
          <w:p>
            <w:r>
              <w:t>$134,146</w:t>
            </w:r>
          </w:p>
        </w:tc>
      </w:tr>
      <w:tr>
        <w:tc>
          <w:tcPr>
            <w:tcW w:type="dxa" w:w="4320"/>
          </w:tcPr>
          <w:p>
            <w:r>
              <w:t>Miscellaneous</w:t>
            </w:r>
          </w:p>
        </w:tc>
        <w:tc>
          <w:tcPr>
            <w:tcW w:type="dxa" w:w="4320"/>
          </w:tcPr>
          <w:p>
            <w:r>
              <w:t>$134,146</w:t>
            </w:r>
          </w:p>
        </w:tc>
      </w:tr>
    </w:tbl>
    <w:p/>
    <w:p>
      <w:pPr>
        <w:pStyle w:val="Heading2"/>
      </w:pPr>
      <w:r>
        <w:t>Win Number Calculation</w:t>
      </w:r>
    </w:p>
    <w:p>
      <w:r>
        <w:rPr>
          <w:b w:val="0"/>
        </w:rPr>
        <w:t>The win number for this race is projected at 150,404 votes, based on a projected turnout of 289,239. This calculation considers historical turnout patterns and the current CVAP universe. Achieving this win number will require a robust and sustained outreach effort, focusing on engaging young voters and converting them into active supporters.</w:t>
      </w:r>
    </w:p>
    <w:p>
      <w:pPr>
        <w:pStyle w:val="Heading3"/>
      </w:pPr>
      <w:r>
        <w:t>Win Number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Win Number (votes needed)</w:t>
            </w:r>
          </w:p>
        </w:tc>
        <w:tc>
          <w:tcPr>
            <w:tcW w:type="dxa" w:w="4320"/>
          </w:tcPr>
          <w:p>
            <w:r>
              <w:t>150,404</w:t>
            </w:r>
          </w:p>
        </w:tc>
      </w:tr>
      <w:tr>
        <w:tc>
          <w:tcPr>
            <w:tcW w:type="dxa" w:w="4320"/>
          </w:tcPr>
          <w:p>
            <w:r>
              <w:t>Projected Turnout</w:t>
            </w:r>
          </w:p>
        </w:tc>
        <w:tc>
          <w:tcPr>
            <w:tcW w:type="dxa" w:w="4320"/>
          </w:tcPr>
          <w:p>
            <w:r>
              <w:t>289,239</w:t>
            </w:r>
          </w:p>
        </w:tc>
      </w:tr>
      <w:tr>
        <w:tc>
          <w:tcPr>
            <w:tcW w:type="dxa" w:w="4320"/>
          </w:tcPr>
          <w:p>
            <w:r>
              <w:t>Voter Universe (CVAP)</w:t>
            </w:r>
          </w:p>
        </w:tc>
        <w:tc>
          <w:tcPr>
            <w:tcW w:type="dxa" w:w="4320"/>
          </w:tcPr>
          <w:p>
            <w:r>
              <w:t>542,664</w:t>
            </w:r>
          </w:p>
        </w:tc>
      </w:tr>
      <w:tr>
        <w:tc>
          <w:tcPr>
            <w:tcW w:type="dxa" w:w="4320"/>
          </w:tcPr>
          <w:p>
            <w:r>
              <w:t>Avg Historical Turnout</w:t>
            </w:r>
          </w:p>
        </w:tc>
        <w:tc>
          <w:tcPr>
            <w:tcW w:type="dxa" w:w="4320"/>
          </w:tcPr>
          <w:p>
            <w:r>
              <w:t>53.3%</w:t>
            </w:r>
          </w:p>
        </w:tc>
      </w:tr>
      <w:tr>
        <w:tc>
          <w:tcPr>
            <w:tcW w:type="dxa" w:w="4320"/>
          </w:tcPr>
          <w:p>
            <w:r>
              <w:t>Victory Margin Target</w:t>
            </w:r>
          </w:p>
        </w:tc>
        <w:tc>
          <w:tcPr>
            <w:tcW w:type="dxa" w:w="4320"/>
          </w:tcPr>
          <w:p>
            <w:r>
              <w:t>52.0%</w:t>
            </w:r>
          </w:p>
        </w:tc>
      </w:tr>
      <w:tr>
        <w:tc>
          <w:tcPr>
            <w:tcW w:type="dxa" w:w="4320"/>
          </w:tcPr>
          <w:p>
            <w:r>
              <w:t>Historical Basis</w:t>
            </w:r>
          </w:p>
        </w:tc>
        <w:tc>
          <w:tcPr>
            <w:tcW w:type="dxa" w:w="4320"/>
          </w:tcPr>
          <w:p>
            <w:r>
              <w:t>Averaged cycles: [2014, 2018, 2022]</w:t>
            </w:r>
          </w:p>
        </w:tc>
      </w:tr>
    </w:tbl>
    <w:p/>
    <w:p>
      <w:pPr>
        <w:pStyle w:val="Heading2"/>
      </w:pPr>
      <w:r>
        <w:t>Program Recommendations</w:t>
      </w:r>
    </w:p>
    <w:p>
      <w:pPr>
        <w:pStyle w:val="ListBullet"/>
      </w:pPr>
      <w:r>
        <w:rPr>
          <w:b/>
        </w:rPr>
        <w:t>Prioritize Early and Sustained Outreach:</w:t>
      </w:r>
      <w:r>
        <w:rPr>
          <w:b w:val="0"/>
        </w:rPr>
        <w:t xml:space="preserve"> Begin voter contact efforts in the spring to build momentum and maintain engagement through Election Day.</w:t>
      </w:r>
    </w:p>
    <w:p>
      <w:pPr>
        <w:pStyle w:val="ListBullet"/>
      </w:pPr>
      <w:r>
        <w:rPr>
          <w:b/>
        </w:rPr>
        <w:t>Focus on Economic Messaging:</w:t>
      </w:r>
      <w:r>
        <w:rPr>
          <w:b w:val="0"/>
        </w:rPr>
        <w:t xml:space="preserve"> Emphasize job opportunities and economic justice in all communications to resonate with young men.</w:t>
      </w:r>
    </w:p>
    <w:p>
      <w:pPr>
        <w:pStyle w:val="ListBullet"/>
      </w:pPr>
      <w:r>
        <w:rPr>
          <w:b/>
        </w:rPr>
        <w:t>Leverage Digital Platforms:</w:t>
      </w:r>
      <w:r>
        <w:rPr>
          <w:b w:val="0"/>
        </w:rPr>
        <w:t xml:space="preserve"> Use targeted digital ads to reach young voters where they are most active, ensuring message consistency across channels.</w:t>
      </w:r>
    </w:p>
    <w:p>
      <w:pPr>
        <w:pStyle w:val="ListBullet"/>
      </w:pPr>
      <w:r>
        <w:rPr>
          <w:b/>
        </w:rPr>
        <w:t>Enhance Cultural Inclusivity:</w:t>
      </w:r>
      <w:r>
        <w:rPr>
          <w:b w:val="0"/>
        </w:rPr>
        <w:t xml:space="preserve"> Address cultural issues with openness and inclusivity, positioning our candidate as a unifying figure.</w:t>
      </w:r>
    </w:p>
    <w:p>
      <w:pPr>
        <w:pStyle w:val="ListBullet"/>
      </w:pPr>
      <w:r>
        <w:rPr>
          <w:b/>
        </w:rPr>
        <w:t>Optimize Resource Allocation:</w:t>
      </w:r>
      <w:r>
        <w:rPr>
          <w:b w:val="0"/>
        </w:rPr>
        <w:t xml:space="preserve"> Continuously assess program effectiveness and adjust resource allocation to prioritize high-impact activities.</w:t>
      </w:r>
    </w:p>
    <w:p>
      <w:r>
        <w:rPr>
          <w:i/>
        </w:rPr>
        <w:t>Research sourced from American Bridge Research Books, Analyst Institute, CIRCLE, and Powerbuilder's curated research corpus.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8"/>
      </w:rPr>
      <w:t>CONFIDENTIAL — For internal campaign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