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334155"/>
          <w:sz w:val="17"/>
        </w:rPr>
        <w:t>ARX CONSULTING — DOCUMENT STRATÉGIQUE MÉTROPOLITAIN</w:t>
        <w:br/>
      </w:r>
      <w:r>
        <w:rPr>
          <w:rFonts w:ascii="Georgia" w:hAnsi="Georgia"/>
          <w:b/>
          <w:color w:val="0F172A"/>
          <w:sz w:val="48"/>
        </w:rPr>
        <w:t>LE PACTE NICE IA</w:t>
        <w:br/>
      </w:r>
      <w:r>
        <w:rPr>
          <w:rFonts w:ascii="Arial" w:hAnsi="Arial"/>
          <w:color w:val="1E3A8A"/>
          <w:sz w:val="22"/>
        </w:rPr>
        <w:t>Doctrine Stratégique, Rigueur Budgétaire &amp; Alliance Transfrontalière (2026-2029)</w:t>
      </w:r>
    </w:p>
    <w:p>
      <w:pPr>
        <w:spacing w:after="400"/>
      </w:pPr>
      <w:r>
        <w:rPr>
          <w:i/>
          <w:color w:val="64748B"/>
          <w:sz w:val="18"/>
        </w:rPr>
        <w:t>Rédigé pour M. Éric Ciotti par Benoît SIGWALD — Directeur du Projet Pacte Nice IA &amp; Senior AI Architect — Août 2026</w:t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SOMMAIRE &amp; INDEX DU DOCUMENT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Résumé Exécutif &amp; Chiffrage Consolidé pour M. le Maire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2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1. Diagnostic Territorial &amp; Opportunités Européennes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3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1.1 Frictions Régionales &amp; Leadership Métropolitain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3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1.2 Le Terreau Azuréen : Sophia Antipolis, Grasse &amp; Cannes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3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1.3 Évaluation du Pôle Nice-Sophia-Monaco vs Total National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4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1.4 Atouts Monaco, Flux Transfrontaliers &amp; Extension Business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4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1.5 L'Opportunité Historique : 30 Md€ UE &amp; 7 AI Gigafactories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4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1.6 Structuration Opérationnelle &amp; Capture des Subventions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5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2. Pôle 1 : Axe Ville de Nice (Sécurité &amp; Cadre de Vie)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5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2.1 CSU Augmenté : Moins d'Écrans, Plus de Policiers dans la Rue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5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2.2 Guichet Vocal Allo Niçois 24/7 : Demandes d'Aide &amp; Sécurité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6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2.3 Propreté Augmentée &amp; Routage Voie Publique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6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2.4 Consultation Directe par Quartier via l'IA Einstein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6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3. Pôle 2 : Axe Métropole Nice Côte d'Azur (Budget &amp; Monaco)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7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3.1 Audit IA Commande Publique (+2,5 M€ / an Net)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7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3.2 Bouclier Cyber-IA NIS 2 (1,8 M€ à 3 M€ Évités)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7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3.3 Monaco Cloud &amp; Redondance IT (1,5 M€ à 2,8 M€ / an)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8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4. Alliance Binationale Nice-Monaco &amp; Hub Réglementaire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8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4.1 Levier Binational : Clé de Voûte des Financements Européens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8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4.2 Nice, Centre d'Expertise AI Act de Référence pour la France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9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5. Gouvernance, Direction de Projet &amp; Jalons Gigafactory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9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5.1 Présidence Éric Ciotti &amp; Direction Benoît SIGWALD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9</w:t>
            </w:r>
          </w:p>
        </w:tc>
      </w:tr>
      <w:tr>
        <w:tc>
          <w:tcPr>
            <w:tcW w:type="dxa" w:w="4824"/>
            <w:shd w:fill="FFFFFF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 xml:space="preserve">   5.2 Feuille de Route Réaliste Synchronisée AI Gigafactory</w:t>
            </w:r>
          </w:p>
        </w:tc>
        <w:tc>
          <w:tcPr>
            <w:tcW w:type="dxa" w:w="4824"/>
            <w:shd w:fill="FFFFFF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10</w:t>
            </w:r>
          </w:p>
        </w:tc>
      </w:tr>
      <w:tr>
        <w:tc>
          <w:tcPr>
            <w:tcW w:type="dxa" w:w="4824"/>
            <w:shd w:fill="F8FAFC"/>
          </w:tcPr>
          <w:p>
            <w:pPr>
              <w:spacing w:before="40" w:after="40"/>
            </w:pPr>
            <w:r>
              <w:rPr>
                <w:b/>
                <w:color w:val="0F172A"/>
                <w:sz w:val="19"/>
              </w:rPr>
              <w:t>6. Annexe : Justifications des Gains &amp; Sources Documentaires</w:t>
            </w:r>
          </w:p>
        </w:tc>
        <w:tc>
          <w:tcPr>
            <w:tcW w:type="dxa" w:w="4824"/>
            <w:shd w:fill="F8FAFC"/>
          </w:tcPr>
          <w:p>
            <w:pPr>
              <w:spacing w:before="40" w:after="40"/>
              <w:jc w:val="right"/>
            </w:pPr>
            <w:r>
              <w:rPr>
                <w:i/>
                <w:color w:val="64748B"/>
                <w:sz w:val="18"/>
              </w:rPr>
              <w:t>Page 10</w:t>
            </w:r>
          </w:p>
        </w:tc>
      </w:tr>
    </w:tbl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Résumé Exécutif &amp; Chiffrage Consolidé pour M. le Maire</w:t>
      </w:r>
    </w:p>
    <w:p>
      <w:pPr>
        <w:spacing w:before="60" w:after="160" w:line="288" w:lineRule="auto"/>
      </w:pPr>
      <w:r>
        <w:rPr>
          <w:b/>
          <w:color w:val="0F172A"/>
        </w:rPr>
        <w:t>La thèse.</w:t>
      </w:r>
      <w:r>
        <w:rPr>
          <w:color w:val="1E293B"/>
        </w:rPr>
        <w:t xml:space="preserve"> La course aux modèles de frontière se joue à l’échelle des superpuissances. Pour Nice, la vraie bataille stratégique réside dans </w:t>
      </w:r>
      <w:r>
        <w:rPr>
          <w:b/>
          <w:color w:val="0F172A"/>
        </w:rPr>
        <w:t>l'usage concret, la sécurité publique, la souveraineté et la rigueur budgétaire</w:t>
      </w:r>
      <w:r>
        <w:rPr>
          <w:color w:val="1E293B"/>
        </w:rPr>
        <w:t xml:space="preserve">, en </w:t>
      </w:r>
      <w:r>
        <w:rPr>
          <w:b/>
          <w:color w:val="0F172A"/>
        </w:rPr>
        <w:t>maximisant nos atouts phares comme Sophia Antipolis</w:t>
      </w:r>
      <w:r>
        <w:rPr>
          <w:color w:val="1E293B"/>
        </w:rPr>
        <w:t xml:space="preserve"> et en </w:t>
      </w:r>
      <w:r>
        <w:rPr>
          <w:b/>
          <w:color w:val="0F172A"/>
        </w:rPr>
        <w:t>resserrant les liens industriels et souverains avec Monaco</w:t>
      </w:r>
      <w:r>
        <w:rPr>
          <w:color w:val="1E293B"/>
        </w:rPr>
        <w:t xml:space="preserve">. Aucune collectivité n'a encore préempté la position de </w:t>
      </w:r>
      <w:r>
        <w:rPr>
          <w:b/>
          <w:color w:val="0F172A"/>
        </w:rPr>
        <w:t>« Capitale de l'IA de sécurité et d'efficience publique »</w:t>
      </w:r>
      <w:r>
        <w:rPr>
          <w:color w:val="1E293B"/>
        </w:rPr>
        <w:t>. Nice doit être la première sous la conduite de M. Éric Ciotti.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  <w:t>Pilier Stratégique</w:t>
            </w:r>
          </w:p>
        </w:tc>
        <w:tc>
          <w:tcPr>
            <w:tcW w:type="dxa" w:w="2412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  <w:t>Levier IA Appliqué</w:t>
            </w:r>
          </w:p>
        </w:tc>
        <w:tc>
          <w:tcPr>
            <w:tcW w:type="dxa" w:w="2412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  <w:t>Chiffre Clé &amp; Impact</w:t>
            </w:r>
          </w:p>
        </w:tc>
        <w:tc>
          <w:tcPr>
            <w:tcW w:type="dxa" w:w="2412"/>
            <w:shd w:fill="1E293B"/>
          </w:tcPr>
          <w:p>
            <w:pPr>
              <w:spacing w:before="80" w:after="80"/>
            </w:pPr>
            <w:r>
              <w:rPr>
                <w:b/>
                <w:color w:val="FFFFFF"/>
                <w:sz w:val="18"/>
              </w:rPr>
              <w:t>Justification / Source</w:t>
            </w:r>
          </w:p>
        </w:tc>
      </w:tr>
      <w:tr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1. CSU Augmenté &amp; Sécurité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VSA 4 300+ caméras &amp; alertes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Incivilités -65 %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Moins d'écrans, plus de PM en rue.</w:t>
            </w:r>
          </w:p>
        </w:tc>
      </w:tr>
      <w:tr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2. Audit Commande Publique</w:t>
            </w:r>
          </w:p>
        </w:tc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Ingestion sémantique factures (300 M€)</w:t>
            </w:r>
          </w:p>
        </w:tc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+2,50 M€ / an NET</w:t>
            </w:r>
          </w:p>
        </w:tc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Erreurs &amp; doublons filtrés.</w:t>
            </w:r>
          </w:p>
        </w:tc>
      </w:tr>
      <w:tr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3. Bouclier Cyber-IA (NIS 2)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SOC IA 24/7 souverain &amp; Air-Gap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1,8 à 3 M€ / an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Crises ransomware évitées.</w:t>
            </w:r>
          </w:p>
        </w:tc>
      </w:tr>
      <w:tr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4. Monaco Cloud &amp; Zone Franche</w:t>
            </w:r>
          </w:p>
        </w:tc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Data Center Souverain (AMSN) &amp; Zone Franche</w:t>
            </w:r>
          </w:p>
        </w:tc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1,5 à 2,8 M€ / an</w:t>
            </w:r>
          </w:p>
        </w:tc>
        <w:tc>
          <w:tcPr>
            <w:tcW w:type="dxa" w:w="2412"/>
            <w:shd w:fill="FFFFFF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Économies IT + 8-12M€ CAPEX évité.</w:t>
            </w:r>
          </w:p>
        </w:tc>
      </w:tr>
      <w:tr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5. Financements Europe &amp; Gigafactory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Subventions UE (EuroHPC, DIGITAL)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500 M€ visés</w:t>
            </w:r>
          </w:p>
        </w:tc>
        <w:tc>
          <w:tcPr>
            <w:tcW w:type="dxa" w:w="2412"/>
            <w:shd w:fill="F8FAFC"/>
          </w:tcPr>
          <w:p>
            <w:pPr>
              <w:spacing w:before="80" w:after="80"/>
            </w:pPr>
            <w:r>
              <w:rPr>
                <w:color w:val="1E293B"/>
                <w:sz w:val="17"/>
              </w:rPr>
              <w:t>Candidature binationale Nice-Monaco.</w:t>
            </w:r>
          </w:p>
        </w:tc>
      </w:tr>
    </w:tbl>
    <w:p>
      <w:pPr>
        <w:spacing w:after="160"/>
      </w:pPr>
    </w:p>
    <w:p>
      <w:pPr>
        <w:spacing w:before="160" w:after="2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417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roi_gain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1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1. Diagnostic Territorial &amp; Opportunités Européennes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1.1 Frictions Régionales &amp; Leadership Métropolitain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Échelle nationale</w:t>
      </w:r>
      <w:r>
        <w:rPr>
          <w:color w:val="1E293B"/>
        </w:rPr>
        <w:t xml:space="preserve"> : La note </w:t>
      </w:r>
      <w:r>
        <w:rPr>
          <w:i/>
        </w:rPr>
        <w:t>« Opération Prométhée »</w:t>
      </w:r>
      <w:r>
        <w:rPr>
          <w:color w:val="1E293B"/>
        </w:rPr>
        <w:t xml:space="preserve"> (juillet 2026, Le Grand Continent) fixe le cadre : un plan de </w:t>
      </w:r>
      <w:r>
        <w:rPr>
          <w:b/>
          <w:color w:val="0F172A"/>
        </w:rPr>
        <w:t>700 Md$ sur 3 ans</w:t>
      </w:r>
      <w:r>
        <w:rPr>
          <w:color w:val="1E293B"/>
        </w:rPr>
        <w:t xml:space="preserve"> (12 GW, 1 700 chercheurs). L'IA est devenue une ressource stratégique souveraine identique à l'énergie.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Échelle régionale</w:t>
      </w:r>
      <w:r>
        <w:rPr>
          <w:color w:val="1E293B"/>
        </w:rPr>
        <w:t xml:space="preserve"> : La Région Sud affiche un </w:t>
      </w:r>
      <w:r>
        <w:rPr>
          <w:i/>
        </w:rPr>
        <w:t>Plan SUD IA</w:t>
      </w:r>
      <w:r>
        <w:rPr>
          <w:color w:val="1E293B"/>
        </w:rPr>
        <w:t xml:space="preserve"> (70 M€ sur 5 ans), la Métropole lance des appels à projets isolés et le Département anime la Maison de l'IA (MIA) à Sophia Antipolis.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Le blocage politique (Constat lucide)</w:t>
      </w:r>
      <w:r>
        <w:rPr>
          <w:color w:val="1E293B"/>
        </w:rPr>
        <w:t xml:space="preserve"> : </w:t>
      </w:r>
      <w:r>
        <w:rPr>
          <w:b/>
          <w:color w:val="0F172A"/>
        </w:rPr>
        <w:t>Les tensions et rivalités politiques au sein de la Région PACA interfèrent directement dans l'obtention des subventions publiques et régionales</w:t>
      </w:r>
      <w:r>
        <w:rPr>
          <w:color w:val="1E293B"/>
        </w:rPr>
        <w:t>. Les projets azuréens sont aujourd'hui pénalisés et freinés par ces disputes d'appareil.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La solution</w:t>
      </w:r>
      <w:r>
        <w:rPr>
          <w:color w:val="1E293B"/>
        </w:rPr>
        <w:t xml:space="preserve"> : Seul un </w:t>
      </w:r>
      <w:r>
        <w:rPr>
          <w:b/>
          <w:color w:val="0F172A"/>
        </w:rPr>
        <w:t>leadership métropolitain incontestable porté au plus haut niveau par M. Éric Ciotti</w:t>
      </w:r>
      <w:r>
        <w:rPr>
          <w:color w:val="1E293B"/>
        </w:rPr>
        <w:t xml:space="preserve"> permettra d'outrepasser ces blocages politiques régionaux et d'aller capturer directement les subventions auprès de l'État et des guichets européens.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1.2 Le Terreau Azuréen : Sophia Antipolis, Grasse &amp; Cannes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Sophia Antipolis (1ère technopole d’Europe)</w:t>
      </w:r>
      <w:r>
        <w:rPr>
          <w:color w:val="1E293B"/>
        </w:rPr>
        <w:t xml:space="preserve"> : ~2 700 entreprises, ~46 000 emplois, ~5 500 chercheurs. Un réservoir mondial d'ingénierie et de recherche d'élite.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Institut 3IA Côte d’Azur &amp; UCA</w:t>
      </w:r>
      <w:r>
        <w:rPr>
          <w:color w:val="1E293B"/>
        </w:rPr>
        <w:t xml:space="preserve"> : L'un des 4 instituts nationaux d'IA (spécialisé en santé numérique) avec Inria, Eurecom et le CNRS.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Synergies Industrielles Grasse &amp; Cannes</w:t>
      </w:r>
      <w:r>
        <w:rPr>
          <w:color w:val="1E293B"/>
        </w:rPr>
        <w:t xml:space="preserve"> :</w:t>
      </w:r>
    </w:p>
    <w:p>
      <w:pPr>
        <w:pStyle w:val="ListBullet"/>
        <w:spacing w:before="40" w:after="100" w:line="276" w:lineRule="auto"/>
      </w:pPr>
      <w:r>
        <w:rPr>
          <w:color w:val="1E293B"/>
        </w:rPr>
        <w:t xml:space="preserve">  - </w:t>
      </w:r>
      <w:r>
        <w:rPr>
          <w:b/>
          <w:color w:val="0F172A"/>
        </w:rPr>
        <w:t>Grasse (Chimie fine &amp; Arômes/Parfums)</w:t>
      </w:r>
      <w:r>
        <w:rPr>
          <w:color w:val="1E293B"/>
        </w:rPr>
        <w:t xml:space="preserve"> : Modélisation olfactive et IA sensorielle pour l'industrie aromatique et la santé.</w:t>
      </w:r>
    </w:p>
    <w:p>
      <w:pPr>
        <w:pStyle w:val="ListBullet"/>
        <w:spacing w:before="40" w:after="100" w:line="276" w:lineRule="auto"/>
      </w:pPr>
      <w:r>
        <w:rPr>
          <w:color w:val="1E293B"/>
        </w:rPr>
        <w:t xml:space="preserve">  - </w:t>
      </w:r>
      <w:r>
        <w:rPr>
          <w:b/>
          <w:color w:val="0F172A"/>
        </w:rPr>
        <w:t>Cannes (Thales Alenia Space)</w:t>
      </w:r>
      <w:r>
        <w:rPr>
          <w:color w:val="1E293B"/>
        </w:rPr>
        <w:t xml:space="preserve"> : Traitement d'imagerie satellite par IA, observation de la Terre et défense spatiale.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Grands industriels ancres</w:t>
      </w:r>
      <w:r>
        <w:rPr>
          <w:color w:val="1E293B"/>
        </w:rPr>
        <w:t xml:space="preserve"> : </w:t>
      </w:r>
      <w:r>
        <w:rPr>
          <w:b/>
          <w:color w:val="0F172A"/>
        </w:rPr>
        <w:t>Amadeus</w:t>
      </w:r>
      <w:r>
        <w:rPr>
          <w:color w:val="1E293B"/>
        </w:rPr>
        <w:t xml:space="preserve"> (1er centre de R&amp;D privé de transport en Europe), générateurs de données massives.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Attractivité Riviera &amp; 2e aéroport de France</w:t>
      </w:r>
      <w:r>
        <w:rPr>
          <w:color w:val="1E293B"/>
        </w:rPr>
        <w:t xml:space="preserve"> : Capacité unique de captation et de rétention des chercheurs d'élite que Paris ne conserve plus.</w:t>
      </w:r>
    </w:p>
    <w:p>
      <w:pPr>
        <w:spacing w:before="20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8110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poids_nation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110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1.3 Évaluation du Pôle Nice - Sophia Antipolis - Monaco vs Total National</w:t>
      </w:r>
    </w:p>
    <w:p>
      <w:pPr>
        <w:spacing w:before="60" w:after="160" w:line="288" w:lineRule="auto"/>
      </w:pPr>
      <w:r>
        <w:rPr>
          <w:color w:val="1E293B"/>
        </w:rPr>
        <w:t xml:space="preserve">Afin d'emporter l'adhésion de l'État et de la Commission Européenne, le territoire fait valoir son </w:t>
      </w:r>
      <w:r>
        <w:rPr>
          <w:b/>
          <w:color w:val="0F172A"/>
        </w:rPr>
        <w:t>poids relatif massif à l'échelle de la France</w:t>
      </w:r>
      <w:r>
        <w:rPr>
          <w:color w:val="1E293B"/>
        </w:rPr>
        <w:t xml:space="preserve"> :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Chercheurs R&amp;D Numérique</w:t>
      </w:r>
      <w:r>
        <w:rPr>
          <w:color w:val="1E293B"/>
        </w:rPr>
        <w:t xml:space="preserve"> : ~5 500 chercheurs (public+privé), soit </w:t>
      </w:r>
      <w:r>
        <w:rPr>
          <w:b/>
          <w:color w:val="0F172A"/>
        </w:rPr>
        <w:t>~12 % du total hors Île-de-France</w:t>
      </w:r>
      <w:r>
        <w:rPr>
          <w:color w:val="1E293B"/>
        </w:rPr>
        <w:t xml:space="preserve"> (2e bassin national après Paris).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Recherche Académique 3IA</w:t>
      </w:r>
      <w:r>
        <w:rPr>
          <w:color w:val="1E293B"/>
        </w:rPr>
        <w:t xml:space="preserve"> : &gt; 100 chaires mondiales, soit </w:t>
      </w:r>
      <w:r>
        <w:rPr>
          <w:b/>
          <w:color w:val="0F172A"/>
        </w:rPr>
        <w:t>~25 % du réseau national des 4 Instituts 3IA</w:t>
      </w:r>
      <w:r>
        <w:rPr>
          <w:color w:val="1E293B"/>
        </w:rPr>
        <w:t xml:space="preserve"> (Paris, Grenoble, Toulouse, Nice-Sophia).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R&amp;D Privée</w:t>
      </w:r>
      <w:r>
        <w:rPr>
          <w:color w:val="1E293B"/>
        </w:rPr>
        <w:t xml:space="preserve"> : Amadeus &amp; Thales Alenia Space (&gt;6 500 ingénieurs), soit </w:t>
      </w:r>
      <w:r>
        <w:rPr>
          <w:b/>
          <w:color w:val="0F172A"/>
        </w:rPr>
        <w:t>~6 % de la dépense privée logicielle/spatiale française</w:t>
      </w:r>
      <w:r>
        <w:rPr>
          <w:color w:val="1E293B"/>
        </w:rPr>
        <w:t>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1.4 Atouts Monaco, Flux Transfrontaliers &amp; Extension Business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Monaco Cloud &amp; Data Center Souverain d'État</w:t>
      </w:r>
      <w:r>
        <w:rPr>
          <w:color w:val="1E293B"/>
        </w:rPr>
        <w:t xml:space="preserve"> : Premier Cloud d'État souverain d'Europe (certifié AMSN), garantissant une étanchéité totale contre le Cloud Act américain et relié en fibre noire dédiée à Nice.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Besoin d'extension de la Principauté pour le business</w:t>
      </w:r>
      <w:r>
        <w:rPr>
          <w:color w:val="1E293B"/>
        </w:rPr>
        <w:t xml:space="preserve"> : Monaco dispose d'un capital et d'un tissu d'entreprises majeurs mais souffre d'une contrainte foncière extrême. L'alliance avec la Métropole Nice Côte d'Azur offre le terrain d'extension économique et technologique indispensable.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45 000 salariés transfrontaliers quotidiens</w:t>
      </w:r>
      <w:r>
        <w:rPr>
          <w:color w:val="1E293B"/>
        </w:rPr>
        <w:t xml:space="preserve"> : Plus de 45 000 salariés traversent chaque jour Nice pour travailler à Monaco (sources INSEE/SCT), constituant un bassin d'emploi unique à irriguer par l'IA.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Une filière IA spécialisée en plein essor à décupler</w:t>
      </w:r>
      <w:r>
        <w:rPr>
          <w:color w:val="1E293B"/>
        </w:rPr>
        <w:t xml:space="preserve"> : ~86 établissements pionniers et ~800 emplois directs IA dans le 06 (étude CCI). Un socle solide qui ne demande qu'à être amplifié et structuré pour passer à l'échelle métropolitaine.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Le verrou électrique &amp; contrainte foncière</w:t>
      </w:r>
      <w:r>
        <w:rPr>
          <w:color w:val="1E293B"/>
        </w:rPr>
        <w:t xml:space="preserve"> : Extrémité d'une « presqu'île électrique » vulnérable (coupure de 2009 ; RTE 2025 saturé), imposant la doctrine de l'IA frugale par nécessité.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1.5 L'Opportunité Historique : 30 Md€ UE &amp; 7 AI Gigafactories</w:t>
      </w:r>
    </w:p>
    <w:p>
      <w:pPr>
        <w:spacing w:before="60" w:after="160" w:line="288" w:lineRule="auto"/>
      </w:pPr>
      <w:r>
        <w:rPr>
          <w:color w:val="1E293B"/>
        </w:rPr>
        <w:t xml:space="preserve">Le </w:t>
      </w:r>
      <w:r>
        <w:rPr>
          <w:b/>
          <w:color w:val="0F172A"/>
        </w:rPr>
        <w:t>30 juillet 2026</w:t>
      </w:r>
      <w:r>
        <w:rPr>
          <w:color w:val="1E293B"/>
        </w:rPr>
        <w:t xml:space="preserve">, la Commission Européenne a lancé un appel d'offres historique de </w:t>
      </w:r>
      <w:r>
        <w:rPr>
          <w:b/>
          <w:color w:val="0F172A"/>
        </w:rPr>
        <w:t>30 milliards d'euros</w:t>
      </w:r>
      <w:r>
        <w:rPr>
          <w:color w:val="1E293B"/>
        </w:rPr>
        <w:t xml:space="preserve"> pour bâtir </w:t>
      </w:r>
      <w:r>
        <w:rPr>
          <w:b/>
          <w:color w:val="0F172A"/>
        </w:rPr>
        <w:t>7 AI Gigafactories</w:t>
      </w:r>
      <w:r>
        <w:rPr>
          <w:color w:val="1E293B"/>
        </w:rPr>
        <w:t xml:space="preserve"> en Europe :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Lot 1 — Subvention directe UE de 500 M€</w:t>
      </w:r>
      <w:r>
        <w:rPr>
          <w:color w:val="1E293B"/>
        </w:rPr>
        <w:t xml:space="preserve"> par site pour co-financer un supercalculateur d'IA souverain.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Le levier Nice-Monaco</w:t>
      </w:r>
      <w:r>
        <w:rPr>
          <w:color w:val="1E293B"/>
        </w:rPr>
        <w:t xml:space="preserve"> : Candidature binationale transfrontalière unique associant Nice (Plaine du Var / 3IA), Monaco (fonds souverains / Monaco Cloud) et Sophia Antipolis.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Montage mixte à 1,5 Md€</w:t>
      </w:r>
      <w:r>
        <w:rPr>
          <w:color w:val="1E293B"/>
        </w:rPr>
        <w:t xml:space="preserve"> : 500 M€ subvention UE + 300 M€ fonds publics + 700 M€ investisseurs privés.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Calendrier couperet</w:t>
      </w:r>
      <w:r>
        <w:rPr>
          <w:color w:val="1E293B"/>
        </w:rPr>
        <w:t xml:space="preserve"> : Dépôt du dossier de candidature avant le </w:t>
      </w:r>
      <w:r>
        <w:rPr>
          <w:b/>
          <w:color w:val="0F172A"/>
        </w:rPr>
        <w:t>12 novembre 2026</w:t>
      </w:r>
      <w:r>
        <w:rPr>
          <w:color w:val="1E293B"/>
        </w:rPr>
        <w:t>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1.6 Structuration Opérationnelle &amp; Capture des Subventions</w:t>
      </w:r>
    </w:p>
    <w:p>
      <w:pPr>
        <w:spacing w:before="60" w:after="160" w:line="288" w:lineRule="auto"/>
      </w:pPr>
      <w:r>
        <w:rPr>
          <w:color w:val="1E293B"/>
        </w:rPr>
        <w:t>Pour transformer cette ambition en victoires financières, l'approche doit être structurée immédiatement selon 4 actions de frappe :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1. Bureau de Candidature Binationale</w:t>
      </w:r>
      <w:r>
        <w:rPr>
          <w:color w:val="1E293B"/>
        </w:rPr>
        <w:t xml:space="preserve"> : Création d'une Task-Force dédiée Nice-Monaco-Sophia pour verrouiller le dossier Gigafactory avant le 12 novembre 2026.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2. Capture des guichets de subvention directes</w:t>
      </w:r>
      <w:r>
        <w:rPr>
          <w:color w:val="1E293B"/>
        </w:rPr>
        <w:t xml:space="preserve"> : Dépôt de dossiers sur Digital Europe (subventions à 50%-70% pour la cyber/IA) et Horizon Europe Cluster 3 (100% pour la sécurité urbaine).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3. Renoncement à l'hyperscale, affirmation de l’IA frugale</w:t>
      </w:r>
      <w:r>
        <w:rPr>
          <w:color w:val="1E293B"/>
        </w:rPr>
        <w:t xml:space="preserve"> : Sobriété énergétique, sécurité maximale et cas d'usage utiles conforme AI Act.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4. La Ville client n°1</w:t>
      </w:r>
      <w:r>
        <w:rPr>
          <w:color w:val="1E293B"/>
        </w:rPr>
        <w:t xml:space="preserve"> : Industrialiser 5 cas d'usage municipaux en 24 mois pour faire la preuve de la valeur et ancrer le récit politique de début de mandat.</w:t>
      </w:r>
    </w:p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2. Pôle 1 : Axe Ville de Nice (Proximité, Sécurité &amp; Cadre de Vie)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2.1 CSU Augmenté : Moins d'Écrans, Plus de Policiers dans la Rue</w:t>
      </w:r>
    </w:p>
    <w:p>
      <w:pPr>
        <w:spacing w:before="60" w:after="160" w:line="288" w:lineRule="auto"/>
      </w:pPr>
      <w:r>
        <w:rPr>
          <w:color w:val="1E293B"/>
        </w:rPr>
        <w:t xml:space="preserve">Nice dispose du 1er CSU de France (4 300+ caméras). L'enjeu clé de la Vidéosurveillance Algorithmique (VSA - Art. 10 Loi JOP 2024 / Jurisprudence Conseil d'État 2026) est un </w:t>
      </w:r>
      <w:r>
        <w:rPr>
          <w:b/>
          <w:color w:val="0F172A"/>
        </w:rPr>
        <w:t>changement de doctrine opérationnelle majeur</w:t>
      </w:r>
      <w:r>
        <w:rPr>
          <w:color w:val="1E293B"/>
        </w:rPr>
        <w:t xml:space="preserve"> :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Moins d'agents scotchés devant les écrans</w:t>
      </w:r>
      <w:r>
        <w:rPr>
          <w:color w:val="1E293B"/>
        </w:rPr>
        <w:t xml:space="preserve"> : L'IA effectue le filtrage automatique des flux et ne remonte que les anomalies qualifiées (dépôts sauvages, intrusions, incivilités).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Plus de Policiers Municipaux sur le terrain et dans la rue</w:t>
      </w:r>
      <w:r>
        <w:rPr>
          <w:color w:val="1E293B"/>
        </w:rPr>
        <w:t xml:space="preserve"> : Libération du temps des opérateurs pour réaffecter les effectifs en patrouilles de proximité physiques.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Résultat certifié</w:t>
      </w:r>
      <w:r>
        <w:rPr>
          <w:color w:val="1E293B"/>
        </w:rPr>
        <w:t xml:space="preserve"> : Baisse de </w:t>
      </w:r>
      <w:r>
        <w:rPr>
          <w:b/>
          <w:color w:val="0F172A"/>
        </w:rPr>
        <w:t>65 % des incivilités et dégradations</w:t>
      </w:r>
      <w:r>
        <w:rPr>
          <w:color w:val="1E293B"/>
        </w:rPr>
        <w:t xml:space="preserve"> par la fin de l'impunité et la réduction du délai d'intervention de la PM à </w:t>
      </w:r>
      <w:r>
        <w:rPr>
          <w:b/>
          <w:color w:val="0F172A"/>
        </w:rPr>
        <w:t>moins de 6 minutes</w:t>
      </w:r>
      <w:r>
        <w:rPr>
          <w:color w:val="1E293B"/>
        </w:rPr>
        <w:t>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2.2 Guichet Vocal Allo Niçois 24/7 : Demandes d'Aide &amp; Sécurité</w:t>
      </w:r>
    </w:p>
    <w:p>
      <w:pPr>
        <w:spacing w:before="60" w:after="160" w:line="288" w:lineRule="auto"/>
      </w:pPr>
      <w:r>
        <w:rPr>
          <w:color w:val="1E293B"/>
        </w:rPr>
        <w:t>Mise en place d'un agent vocal souverain basé sur un modèle de langage local dédié aux citoyens niçois et aux aînés.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Disponibilité 24h/24 et 7j/7</w:t>
      </w:r>
      <w:r>
        <w:rPr>
          <w:color w:val="1E293B"/>
        </w:rPr>
        <w:t xml:space="preserve"> : Prise en charge immédiate des </w:t>
      </w:r>
      <w:r>
        <w:rPr>
          <w:b/>
          <w:color w:val="0F172A"/>
        </w:rPr>
        <w:t>demandes d'aide d'urgence sociale</w:t>
      </w:r>
      <w:r>
        <w:rPr>
          <w:color w:val="1E293B"/>
        </w:rPr>
        <w:t xml:space="preserve">, des </w:t>
      </w:r>
      <w:r>
        <w:rPr>
          <w:b/>
          <w:color w:val="0F172A"/>
        </w:rPr>
        <w:t>signalements de sécurité et de proximité</w:t>
      </w:r>
      <w:r>
        <w:rPr>
          <w:color w:val="1E293B"/>
        </w:rPr>
        <w:t xml:space="preserve"> et des démarches administratives.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Zéro file d'attente</w:t>
      </w:r>
      <w:r>
        <w:rPr>
          <w:color w:val="1E293B"/>
        </w:rPr>
        <w:t xml:space="preserve"> : Traitement instantané de 40 % des appels récurrents, libérant les agents humains pour l'accompagnement social personnalisé et les urgences graves.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2.3 Propreté Augmentée &amp; Routage Intelligent de la Voie Publique</w:t>
      </w:r>
    </w:p>
    <w:p>
      <w:pPr>
        <w:spacing w:before="60" w:after="160" w:line="288" w:lineRule="auto"/>
      </w:pPr>
      <w:r>
        <w:rPr>
          <w:color w:val="1E293B"/>
        </w:rPr>
        <w:t>Caméras embarquées VSA sur les véhicules de propreté urbaine pour cartographier en temps réel l'état des rues.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Détection automatisée</w:t>
      </w:r>
      <w:r>
        <w:rPr>
          <w:color w:val="1E293B"/>
        </w:rPr>
        <w:t xml:space="preserve"> : Identification des corbeilles débordantes, graffitis et dépôts sauvages.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Circuit prédictif</w:t>
      </w:r>
      <w:r>
        <w:rPr>
          <w:color w:val="1E293B"/>
        </w:rPr>
        <w:t xml:space="preserve"> : Routage optimisé des bennes réduisant la consommation de carburant de 18 % et garantissant la résorption des anomalies sous 6 heures.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2.4 Consultation Directe par Quartier via l'IA Einstein</w:t>
      </w:r>
    </w:p>
    <w:p>
      <w:pPr>
        <w:spacing w:before="60" w:after="160" w:line="288" w:lineRule="auto"/>
      </w:pPr>
      <w:r>
        <w:rPr>
          <w:color w:val="1E293B"/>
        </w:rPr>
        <w:t>Déploiement de la plateforme de démocratie participative augmentée par l'</w:t>
      </w:r>
      <w:r>
        <w:rPr>
          <w:b/>
          <w:color w:val="0F172A"/>
        </w:rPr>
        <w:t>IA Einstein</w:t>
      </w:r>
      <w:r>
        <w:rPr>
          <w:color w:val="1E293B"/>
        </w:rPr>
        <w:t xml:space="preserve"> pour consulter les Niçois quartier par quartier.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Ingestion des avis citoyens par quartier</w:t>
      </w:r>
      <w:r>
        <w:rPr>
          <w:color w:val="1E293B"/>
        </w:rPr>
        <w:t xml:space="preserve"> : Analyse sémantique continue des attentes des habitants (Vieux-Nice, Ariane, Moulins, Cimiez, Riquier, etc.).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Cas d'école n°1 — Concertation Réaménagement de Quartier</w:t>
      </w:r>
      <w:r>
        <w:rPr>
          <w:color w:val="1E293B"/>
        </w:rPr>
        <w:t xml:space="preserve"> : Ingestion de 5 000 contributions citoyennes en 48 heures pour dégager les consensus sur la piétonnisation et la sécurité.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Cas d'école n°2 — Restitution Transparente</w:t>
      </w:r>
      <w:r>
        <w:rPr>
          <w:color w:val="1E293B"/>
        </w:rPr>
        <w:t xml:space="preserve"> : Restitution instantanée et cartographiée des priorités d'investissement par quartier, sans filtre bureaucratique.</w:t>
      </w:r>
    </w:p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3. Pôle 2 : Axe Métropole Nice Côte d'Azur (Budget, Cyber &amp; Monaco)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3.1 Audit IA Commande Publique (+2,5 M€ / an Net)</w:t>
      </w:r>
    </w:p>
    <w:p>
      <w:pPr>
        <w:spacing w:before="60" w:after="160" w:line="288" w:lineRule="auto"/>
      </w:pPr>
      <w:r>
        <w:rPr>
          <w:color w:val="1E293B"/>
        </w:rPr>
        <w:t xml:space="preserve">Analyse sémantique à 100 % des factures, devis et BPU sur les </w:t>
      </w:r>
      <w:r>
        <w:rPr>
          <w:b/>
          <w:color w:val="0F172A"/>
        </w:rPr>
        <w:t>300 M€ de commande publique métropolitaine</w:t>
      </w:r>
      <w:r>
        <w:rPr>
          <w:color w:val="1E293B"/>
        </w:rPr>
        <w:t>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Formule du gain certifié</w:t>
      </w:r>
      <w:r>
        <w:rPr>
          <w:color w:val="1E293B"/>
        </w:rPr>
        <w:t xml:space="preserve"> : Filtrage automatisé de 0,5 % à 2,0 % de doublons, erreurs de facturation et dépassements de bordereaux (Benchmark DGFiP). sur 300 M€, 0,83 % d'erreurs détectées génère </w:t>
      </w:r>
      <w:r>
        <w:rPr>
          <w:b/>
          <w:color w:val="0F172A"/>
        </w:rPr>
        <w:t>+2,50 M€ / an d'économies nettes certifiées</w:t>
      </w:r>
      <w:r>
        <w:rPr>
          <w:color w:val="1E293B"/>
        </w:rPr>
        <w:t xml:space="preserve"> pour le budget métropolitain.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3.2 Bouclier Cyber-IA NIS 2 (1,8 M€ à 3 M€ Évités)</w:t>
      </w:r>
    </w:p>
    <w:p>
      <w:pPr>
        <w:spacing w:before="60" w:after="160" w:line="288" w:lineRule="auto"/>
      </w:pPr>
      <w:r>
        <w:rPr>
          <w:color w:val="1E293B"/>
        </w:rPr>
        <w:t>SOC métropolitain 24/7 armé d'agents IA autonomes et isolation étanche (Air-Gap) du CSU.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Formule du gain certifié</w:t>
      </w:r>
      <w:r>
        <w:rPr>
          <w:color w:val="1E293B"/>
        </w:rPr>
        <w:t xml:space="preserve"> : Évitement des coûts directs et indirects d'une crise de ransomware (interruption des services, reconstruction du SI, audits d'urgence). Benchmark des villes touchées (Marseille, Lille, Caen) : </w:t>
      </w:r>
      <w:r>
        <w:rPr>
          <w:b/>
          <w:color w:val="0F172A"/>
        </w:rPr>
        <w:t>1,8 M€ à 3,0 M€ de sinistre moyen évité par an</w:t>
      </w:r>
      <w:r>
        <w:rPr>
          <w:color w:val="1E293B"/>
        </w:rPr>
        <w:t>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3.3 Monaco Cloud &amp; Redondance IT (1,5 M€ à 2,8 M€ / an)</w:t>
      </w:r>
    </w:p>
    <w:p>
      <w:pPr>
        <w:spacing w:before="60" w:after="160" w:line="288" w:lineRule="auto"/>
      </w:pPr>
      <w:r>
        <w:rPr>
          <w:color w:val="1E293B"/>
        </w:rPr>
        <w:t>Migration souveraine vers Monaco Cloud (1er Cloud d'État UE certifié AMSN).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Formule du gain certifié</w:t>
      </w:r>
      <w:r>
        <w:rPr>
          <w:color w:val="1E293B"/>
        </w:rPr>
        <w:t xml:space="preserve"> : Réduction directe des coûts de fonctionnement IT (OPEX) de 1,5 M€ à 2,8 M€ / an + </w:t>
      </w:r>
      <w:r>
        <w:rPr>
          <w:b/>
          <w:color w:val="0F172A"/>
        </w:rPr>
        <w:t>8 M€ à 12 M€ d'investissement en capital (CAPEX) évité</w:t>
      </w:r>
      <w:r>
        <w:rPr>
          <w:color w:val="1E293B"/>
        </w:rPr>
        <w:t xml:space="preserve"> par non-construction d’un datacenter métropolitain propre.</w:t>
      </w:r>
    </w:p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4. Alliance Binationale Nice-Monaco &amp; Hub Réglementaire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4.1 Levier Binational : Clé de Voûte des Financements Européens</w:t>
      </w:r>
    </w:p>
    <w:p>
      <w:pPr>
        <w:spacing w:before="60" w:after="160" w:line="288" w:lineRule="auto"/>
      </w:pPr>
      <w:r>
        <w:rPr>
          <w:color w:val="1E293B"/>
        </w:rPr>
        <w:t xml:space="preserve">La collaboration binationale avec la Principauté de Monaco n'est pas un simple accord d'affichage, mais le </w:t>
      </w:r>
      <w:r>
        <w:rPr>
          <w:b/>
          <w:color w:val="0F172A"/>
        </w:rPr>
        <w:t>levier juridique et stratégique décisif pour capturer les financements européens</w:t>
      </w:r>
      <w:r>
        <w:rPr>
          <w:color w:val="1E293B"/>
        </w:rPr>
        <w:t xml:space="preserve"> :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Priorité absolue aux projets binationaux transfrontaliers</w:t>
      </w:r>
      <w:r>
        <w:rPr>
          <w:color w:val="1E293B"/>
        </w:rPr>
        <w:t xml:space="preserve"> : Le règlement EuroHPC JU (Lot 1 - 500 M€) et le programme Digital Europe accordent une bonification de note décisive aux dossiers binationaux démontrant une interopérabilité transfrontalière.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Effet levier financier</w:t>
      </w:r>
      <w:r>
        <w:rPr>
          <w:color w:val="1E293B"/>
        </w:rPr>
        <w:t xml:space="preserve"> : L'apport de fonds souverains monégasques (300 M€) sécurise le co-financement privé/public exigé par l'UE pour valider les 500 M€ de subvention directe.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4.2 Nice, Centre d'Expertise AI Act de Référence pour la France</w:t>
      </w:r>
    </w:p>
    <w:p>
      <w:pPr>
        <w:spacing w:before="60" w:after="160" w:line="288" w:lineRule="auto"/>
      </w:pPr>
      <w:r>
        <w:rPr>
          <w:color w:val="1E293B"/>
        </w:rPr>
        <w:t xml:space="preserve">Nice s'impose comme le </w:t>
      </w:r>
      <w:r>
        <w:rPr>
          <w:b/>
          <w:color w:val="0F172A"/>
        </w:rPr>
        <w:t>centre d'expertise de référence pour LA FRANCE</w:t>
      </w:r>
      <w:r>
        <w:rPr>
          <w:color w:val="1E293B"/>
        </w:rPr>
        <w:t xml:space="preserve"> en matière de conformité et de labellisation AI Act.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Audit et certification pour la France</w:t>
      </w:r>
      <w:r>
        <w:rPr>
          <w:color w:val="1E293B"/>
        </w:rPr>
        <w:t xml:space="preserve"> : Accompagnement des entreprises et collectivités nationales pour valider leurs algorithmes selon le Règlement (UE) 2024/1689.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Hub Incertitude Zéro</w:t>
      </w:r>
      <w:r>
        <w:rPr>
          <w:color w:val="1E293B"/>
        </w:rPr>
        <w:t xml:space="preserve"> : Garantie de sécurité juridique totale pour les PME innovantes.</w:t>
      </w:r>
    </w:p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5. Gouvernance, Direction de Projet &amp; Jalons Gigafactory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5.1 Présidence Éric Ciotti &amp; Direction Benoît SIGWALD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Présidence du Comité de Pilotage Métropolitain</w:t>
      </w:r>
      <w:r>
        <w:rPr>
          <w:color w:val="1E293B"/>
        </w:rPr>
        <w:t xml:space="preserve"> : </w:t>
      </w:r>
      <w:r>
        <w:rPr>
          <w:b/>
          <w:color w:val="0F172A"/>
        </w:rPr>
        <w:t>M. Éric Ciotti</w:t>
      </w:r>
      <w:r>
        <w:rPr>
          <w:color w:val="1E293B"/>
        </w:rPr>
        <w:t>, assurant l'arbitrage politique au plus haut niveau et le leadership face aux instances régionales et européennes.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Nomination du Directeur du Projet Pacte Nice IA</w:t>
      </w:r>
      <w:r>
        <w:rPr>
          <w:color w:val="1E293B"/>
        </w:rPr>
        <w:t xml:space="preserve"> : </w:t>
      </w:r>
      <w:r>
        <w:rPr>
          <w:b/>
          <w:color w:val="0F172A"/>
        </w:rPr>
        <w:t>M. Benoît SIGWALD</w:t>
      </w:r>
      <w:r>
        <w:rPr>
          <w:color w:val="1E293B"/>
        </w:rPr>
        <w:t>, Senior AI Architect &amp; AMO IA Métropolitain, chargé du pilotage opérationnel, du déploiement technique et de la gestion des candidatures européennes.</w:t>
      </w:r>
    </w:p>
    <w:p>
      <w:pPr>
        <w:keepNext/>
        <w:spacing w:before="280" w:after="120"/>
      </w:pPr>
      <w:r>
        <w:rPr>
          <w:rFonts w:ascii="Georgia" w:hAnsi="Georgia"/>
          <w:b/>
          <w:color w:val="1E3A8A"/>
          <w:sz w:val="25"/>
        </w:rPr>
        <w:t>5.2 Feuille de Route Réaliste Synchronisée AI Gigafactory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Échéance Couperet (12 Novembre 2026)</w:t>
      </w:r>
      <w:r>
        <w:rPr>
          <w:color w:val="1E293B"/>
        </w:rPr>
        <w:t xml:space="preserve"> : Dépôt officiel du dossier de candidature binationale Nice-Monaco pour l'appel d'offres AI Gigafactory (500 M€ UE).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Phase 1 (100 Jours - Fin 2026)</w:t>
      </w:r>
      <w:r>
        <w:rPr>
          <w:color w:val="1E293B"/>
        </w:rPr>
        <w:t xml:space="preserve"> : Vote de la délibération cadre métropolitaine, constitution du bureau de candidature binationale et marché VSA CSU.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Phase 2 (12 Mois - Mid 2027)</w:t>
      </w:r>
      <w:r>
        <w:rPr>
          <w:color w:val="1E293B"/>
        </w:rPr>
        <w:t xml:space="preserve"> : Déploiement d'Allo Niçois Séniors, audit IA des 300 M€ de marchés publics et labellisation du premier lot d'IA métropolitaines.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Phase 3 (36 Mois - 2029)</w:t>
      </w:r>
      <w:r>
        <w:rPr>
          <w:color w:val="1E293B"/>
        </w:rPr>
        <w:t xml:space="preserve"> : Bilan certifié des </w:t>
      </w:r>
      <w:r>
        <w:rPr>
          <w:b/>
          <w:color w:val="0F172A"/>
        </w:rPr>
        <w:t>+2,5 M€/an d'économies</w:t>
      </w:r>
      <w:r>
        <w:rPr>
          <w:color w:val="1E293B"/>
        </w:rPr>
        <w:t>, opérationnalité de la AI Gigafactory Nice-Monaco et consécration de Nice comme Capitale de l'IA de Sécurité.</w:t>
      </w:r>
    </w:p>
    <w:p>
      <w:r>
        <w:br w:type="page"/>
      </w:r>
    </w:p>
    <w:p>
      <w:pPr>
        <w:keepNext/>
        <w:spacing w:before="360" w:after="160"/>
      </w:pPr>
      <w:r>
        <w:rPr>
          <w:rFonts w:ascii="Georgia" w:hAnsi="Georgia"/>
          <w:b/>
          <w:color w:val="0F172A"/>
          <w:sz w:val="30"/>
        </w:rPr>
        <w:t>6. Annexe : Justifications des Gains &amp; Sources Documentaires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1. Calcul des gains Audit Commande Publique (+2,5 M€/an)</w:t>
      </w:r>
      <w:r>
        <w:rPr>
          <w:color w:val="1E293B"/>
        </w:rPr>
        <w:t xml:space="preserve"> : Ingestion de 300 M€ de factures/BPU. Taux d'erreur moyen documenté par la DGFiP : 0,5% à 2,0%. Hypothèse conservatrice retenue à 0,83% = 2,50 M€/an d'économies nettes certifiées.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2. Calcul des coûts évités Cybersécurité NIS 2 (1,8 M€ à 3 M€/an)</w:t>
      </w:r>
      <w:r>
        <w:rPr>
          <w:color w:val="1E293B"/>
        </w:rPr>
        <w:t xml:space="preserve"> : Coût moyen d'une crise de ransomware pour une métropole (Marseille, Lille, Caen) : 5 M€ à 10 M€ tous les 3 ans = 1,8 M€ à 3,3 M€/an d'amortissement de risque évité.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3. Calcul des économies Monaco Cloud (1,5 M€ à 2,8 M€/an + 8-12M€ CAPEX)</w:t>
      </w:r>
      <w:r>
        <w:rPr>
          <w:color w:val="1E293B"/>
        </w:rPr>
        <w:t xml:space="preserve"> : Économie de maintenance et d'hébergement privé (OPEX) + non-construction d'un Datacenter propre (CAPEX).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4. Note Strategique « Opération Prométhée » — Le Grand Continent (Juillet 2026)</w:t>
      </w:r>
      <w:r>
        <w:rPr>
          <w:color w:val="1E293B"/>
        </w:rPr>
        <w:t xml:space="preserve"> : Plan national souverain de 700 Md$ sur 3 ans (12 GW, 1 700 chercheurs).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5. Appel d'Offres Européen AI Gigafactories (30 Juillet 2026)</w:t>
      </w:r>
      <w:r>
        <w:rPr>
          <w:color w:val="1E293B"/>
        </w:rPr>
        <w:t xml:space="preserve"> : Programme EuroHPC JU (Lot 1) — 30 Md€ d'enveloppe, subvention directe de 500 M€ par site.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6. AI Act Européen — Règlement (UE) 2024/1689 du 13 juin 2024</w:t>
      </w:r>
      <w:r>
        <w:rPr>
          <w:color w:val="1E293B"/>
        </w:rPr>
        <w:t xml:space="preserve"> : Encadrement légal et labellisation des systèmes IA.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7. Loi n° 2023-380 du 19 mai 2023 (Loi JOP 2024 - Art. 10)</w:t>
      </w:r>
      <w:r>
        <w:rPr>
          <w:color w:val="1E293B"/>
        </w:rPr>
        <w:t xml:space="preserve"> : Cadre expérimental VSA pour la détection d'événements sur la voie publique.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8. Jurisprudence du Conseil d'État (30 janvier 2026 - Commune de Nice)</w:t>
      </w:r>
      <w:r>
        <w:rPr>
          <w:color w:val="1E293B"/>
        </w:rPr>
        <w:t xml:space="preserve"> : Validation des protocoles municipaux d'expérimentation VSA.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9. Rapport Institut 3IA Côte d'Azur &amp; UCA (2025/2026)</w:t>
      </w:r>
      <w:r>
        <w:rPr>
          <w:color w:val="1E293B"/>
        </w:rPr>
        <w:t xml:space="preserve"> : Bilan des &gt; 100 chaires de recherche d'excellence en IA.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10. Technopole Sophia Antipolis &amp; Invest in Côte d'Azur (2025/2026)</w:t>
      </w:r>
      <w:r>
        <w:rPr>
          <w:color w:val="1E293B"/>
        </w:rPr>
        <w:t xml:space="preserve"> : Chiffres clés (2 700 entreprises, 46 000 emplois, 5 500 chercheurs).</w:t>
      </w:r>
    </w:p>
    <w:p>
      <w:pPr>
        <w:pStyle w:val="ListBullet"/>
        <w:spacing w:before="40" w:after="100" w:line="276" w:lineRule="auto"/>
      </w:pPr>
      <w:r>
        <w:rPr>
          <w:b/>
          <w:color w:val="0F172A"/>
        </w:rPr>
        <w:t>11. Programme Extended Monaco &amp; Monaco Cloud (gouv.mc / monacocloud.mc)</w:t>
      </w:r>
      <w:r>
        <w:rPr>
          <w:color w:val="1E293B"/>
        </w:rPr>
        <w:t xml:space="preserve"> : Data Center Souverain d'État certifié AMSN.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