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334155"/>
          <w:sz w:val="17"/>
        </w:rPr>
        <w:t>ARX CONSULTING — DOCUMENT STRATÉGIQUE MÉTROPOLITAIN</w:t>
      </w:r>
    </w:p>
    <w:p>
      <w:pPr>
        <w:pStyle w:val="Title"/>
        <w:spacing w:before="0" w:after="80"/>
      </w:pPr>
      <w:r>
        <w:rPr>
          <w:rFonts w:ascii="Georgia" w:hAnsi="Georgia"/>
          <w:b/>
          <w:color w:val="0F172A"/>
          <w:sz w:val="52"/>
        </w:rPr>
        <w:t>LE PACTE NICE IA</w:t>
      </w:r>
    </w:p>
    <w:p>
      <w:pPr>
        <w:spacing w:before="0" w:after="120"/>
      </w:pPr>
      <w:r>
        <w:rPr>
          <w:rFonts w:ascii="Arial" w:hAnsi="Arial"/>
          <w:color w:val="1E3A8A"/>
          <w:sz w:val="22"/>
        </w:rPr>
        <w:t>Doctrine Stratégique, Rigueur Budgétaire &amp; Alliance Transfrontalière (2026-2029)</w:t>
      </w:r>
    </w:p>
    <w:p>
      <w:pPr>
        <w:spacing w:before="0" w:after="400"/>
      </w:pPr>
      <w:r>
        <w:rPr>
          <w:rFonts w:ascii="Arial" w:hAnsi="Arial"/>
          <w:i/>
          <w:color w:val="64748B"/>
          <w:sz w:val="18"/>
        </w:rPr>
        <w:t>Rédigé pour M. Éric Ciotti par Benoît SIGWALD — Directeur du Projet Pacte Nice IA &amp; Senior AI Architect — Août 2026</w:t>
      </w:r>
    </w:p>
    <w:p>
      <w:pPr>
        <w:pStyle w:val="Heading1"/>
        <w:keepNext/>
        <w:spacing w:before="360" w:after="160"/>
      </w:pPr>
      <w:r>
        <w:rPr>
          <w:rFonts w:ascii="Georgia" w:hAnsi="Georgia"/>
          <w:b/>
          <w:color w:val="0F172A"/>
          <w:sz w:val="30"/>
        </w:rPr>
        <w:t>SOMMAIRE &amp; INDEX DU DOCUMENT</w:t>
      </w:r>
    </w:p>
    <w:tbl>
      <w:tblPr>
        <w:tblW w:type="auto" w:w="0"/>
        <w:jc w:val="center"/>
        <w:tblLook w:firstColumn="1" w:firstRow="1" w:lastColumn="0" w:lastRow="0" w:noHBand="0" w:noVBand="1" w:val="04A0"/>
      </w:tblPr>
      <w:tblGrid>
        <w:gridCol w:w="4824"/>
        <w:gridCol w:w="4824"/>
      </w:tblGrid>
      <w:tr>
        <w:tc>
          <w:tcPr>
            <w:tcW w:type="dxa" w:w="4824"/>
            <w:shd w:fill="FFFFFF"/>
          </w:tcPr>
          <w:p>
            <w:pPr>
              <w:spacing w:before="40" w:after="40"/>
            </w:pPr>
            <w:r>
              <w:rPr>
                <w:rFonts w:ascii="Arial" w:hAnsi="Arial"/>
                <w:b/>
                <w:color w:val="0F172A"/>
                <w:sz w:val="19"/>
              </w:rPr>
              <w:t>Résumé Exécutif &amp; Chiffrage Consolidé pour M. le Maire</w:t>
            </w:r>
          </w:p>
        </w:tc>
        <w:tc>
          <w:tcPr>
            <w:tcW w:type="dxa" w:w="4824"/>
            <w:shd w:fill="FFFFFF"/>
          </w:tcPr>
          <w:p>
            <w:pPr>
              <w:spacing w:before="40" w:after="40"/>
              <w:jc w:val="right"/>
            </w:pPr>
            <w:r>
              <w:rPr>
                <w:rFonts w:ascii="Arial" w:hAnsi="Arial"/>
                <w:i/>
                <w:color w:val="64748B"/>
                <w:sz w:val="18"/>
              </w:rPr>
              <w:t>Page 2</w:t>
            </w:r>
          </w:p>
        </w:tc>
      </w:tr>
      <w:tr>
        <w:tc>
          <w:tcPr>
            <w:tcW w:type="dxa" w:w="4824"/>
            <w:shd w:fill="F8FAFC"/>
          </w:tcPr>
          <w:p>
            <w:pPr>
              <w:spacing w:before="40" w:after="40"/>
            </w:pPr>
            <w:r>
              <w:rPr>
                <w:rFonts w:ascii="Arial" w:hAnsi="Arial"/>
                <w:b/>
                <w:color w:val="0F172A"/>
                <w:sz w:val="19"/>
              </w:rPr>
              <w:t>1. Diagnostic Territorial &amp; Opportunités Européennes</w:t>
            </w:r>
          </w:p>
        </w:tc>
        <w:tc>
          <w:tcPr>
            <w:tcW w:type="dxa" w:w="4824"/>
            <w:shd w:fill="F8FAFC"/>
          </w:tcPr>
          <w:p>
            <w:pPr>
              <w:spacing w:before="40" w:after="40"/>
              <w:jc w:val="right"/>
            </w:pPr>
            <w:r>
              <w:rPr>
                <w:rFonts w:ascii="Arial" w:hAnsi="Arial"/>
                <w:i/>
                <w:color w:val="64748B"/>
                <w:sz w:val="18"/>
              </w:rPr>
              <w:t>Page 3</w:t>
            </w:r>
          </w:p>
        </w:tc>
      </w:tr>
      <w:tr>
        <w:tc>
          <w:tcPr>
            <w:tcW w:type="dxa" w:w="4824"/>
            <w:shd w:fill="FFFFFF"/>
          </w:tcPr>
          <w:p>
            <w:pPr>
              <w:spacing w:before="40" w:after="40"/>
            </w:pPr>
            <w:r>
              <w:rPr>
                <w:rFonts w:ascii="Arial" w:hAnsi="Arial"/>
                <w:b/>
                <w:color w:val="0F172A"/>
                <w:sz w:val="19"/>
              </w:rPr>
              <w:t xml:space="preserve">   1.1 Alignement Institutionnel &amp; Leadership Métropolitain</w:t>
            </w:r>
          </w:p>
        </w:tc>
        <w:tc>
          <w:tcPr>
            <w:tcW w:type="dxa" w:w="4824"/>
            <w:shd w:fill="FFFFFF"/>
          </w:tcPr>
          <w:p>
            <w:pPr>
              <w:spacing w:before="40" w:after="40"/>
              <w:jc w:val="right"/>
            </w:pPr>
            <w:r>
              <w:rPr>
                <w:rFonts w:ascii="Arial" w:hAnsi="Arial"/>
                <w:i/>
                <w:color w:val="64748B"/>
                <w:sz w:val="18"/>
              </w:rPr>
              <w:t>Page 3</w:t>
            </w:r>
          </w:p>
        </w:tc>
      </w:tr>
      <w:tr>
        <w:tc>
          <w:tcPr>
            <w:tcW w:type="dxa" w:w="4824"/>
            <w:shd w:fill="F8FAFC"/>
          </w:tcPr>
          <w:p>
            <w:pPr>
              <w:spacing w:before="40" w:after="40"/>
            </w:pPr>
            <w:r>
              <w:rPr>
                <w:rFonts w:ascii="Arial" w:hAnsi="Arial"/>
                <w:b/>
                <w:color w:val="0F172A"/>
                <w:sz w:val="19"/>
              </w:rPr>
              <w:t xml:space="preserve">   1.2 Le Terreau Azuréen : Sophia Antipolis, Grasse &amp; Cannes</w:t>
            </w:r>
          </w:p>
        </w:tc>
        <w:tc>
          <w:tcPr>
            <w:tcW w:type="dxa" w:w="4824"/>
            <w:shd w:fill="F8FAFC"/>
          </w:tcPr>
          <w:p>
            <w:pPr>
              <w:spacing w:before="40" w:after="40"/>
              <w:jc w:val="right"/>
            </w:pPr>
            <w:r>
              <w:rPr>
                <w:rFonts w:ascii="Arial" w:hAnsi="Arial"/>
                <w:i/>
                <w:color w:val="64748B"/>
                <w:sz w:val="18"/>
              </w:rPr>
              <w:t>Page 3</w:t>
            </w:r>
          </w:p>
        </w:tc>
      </w:tr>
      <w:tr>
        <w:tc>
          <w:tcPr>
            <w:tcW w:type="dxa" w:w="4824"/>
            <w:shd w:fill="FFFFFF"/>
          </w:tcPr>
          <w:p>
            <w:pPr>
              <w:spacing w:before="40" w:after="40"/>
            </w:pPr>
            <w:r>
              <w:rPr>
                <w:rFonts w:ascii="Arial" w:hAnsi="Arial"/>
                <w:b/>
                <w:color w:val="0F172A"/>
                <w:sz w:val="19"/>
              </w:rPr>
              <w:t xml:space="preserve">   1.3 Évaluation du Pôle Nice-Sophia-Monaco vs Total National</w:t>
            </w:r>
          </w:p>
        </w:tc>
        <w:tc>
          <w:tcPr>
            <w:tcW w:type="dxa" w:w="4824"/>
            <w:shd w:fill="FFFFFF"/>
          </w:tcPr>
          <w:p>
            <w:pPr>
              <w:spacing w:before="40" w:after="40"/>
              <w:jc w:val="right"/>
            </w:pPr>
            <w:r>
              <w:rPr>
                <w:rFonts w:ascii="Arial" w:hAnsi="Arial"/>
                <w:i/>
                <w:color w:val="64748B"/>
                <w:sz w:val="18"/>
              </w:rPr>
              <w:t>Page 4</w:t>
            </w:r>
          </w:p>
        </w:tc>
      </w:tr>
      <w:tr>
        <w:tc>
          <w:tcPr>
            <w:tcW w:type="dxa" w:w="4824"/>
            <w:shd w:fill="F8FAFC"/>
          </w:tcPr>
          <w:p>
            <w:pPr>
              <w:spacing w:before="40" w:after="40"/>
            </w:pPr>
            <w:r>
              <w:rPr>
                <w:rFonts w:ascii="Arial" w:hAnsi="Arial"/>
                <w:b/>
                <w:color w:val="0F172A"/>
                <w:sz w:val="19"/>
              </w:rPr>
              <w:t xml:space="preserve">   1.4 Atouts Monaco, Flux Transfrontaliers &amp; Extension Business</w:t>
            </w:r>
          </w:p>
        </w:tc>
        <w:tc>
          <w:tcPr>
            <w:tcW w:type="dxa" w:w="4824"/>
            <w:shd w:fill="F8FAFC"/>
          </w:tcPr>
          <w:p>
            <w:pPr>
              <w:spacing w:before="40" w:after="40"/>
              <w:jc w:val="right"/>
            </w:pPr>
            <w:r>
              <w:rPr>
                <w:rFonts w:ascii="Arial" w:hAnsi="Arial"/>
                <w:i/>
                <w:color w:val="64748B"/>
                <w:sz w:val="18"/>
              </w:rPr>
              <w:t>Page 4</w:t>
            </w:r>
          </w:p>
        </w:tc>
      </w:tr>
      <w:tr>
        <w:tc>
          <w:tcPr>
            <w:tcW w:type="dxa" w:w="4824"/>
            <w:shd w:fill="FFFFFF"/>
          </w:tcPr>
          <w:p>
            <w:pPr>
              <w:spacing w:before="40" w:after="40"/>
            </w:pPr>
            <w:r>
              <w:rPr>
                <w:rFonts w:ascii="Arial" w:hAnsi="Arial"/>
                <w:b/>
                <w:color w:val="0F172A"/>
                <w:sz w:val="19"/>
              </w:rPr>
              <w:t xml:space="preserve">   1.5 L'Opportunité Historique : 30 Md€ UE &amp; 7 AI Gigafactories</w:t>
            </w:r>
          </w:p>
        </w:tc>
        <w:tc>
          <w:tcPr>
            <w:tcW w:type="dxa" w:w="4824"/>
            <w:shd w:fill="FFFFFF"/>
          </w:tcPr>
          <w:p>
            <w:pPr>
              <w:spacing w:before="40" w:after="40"/>
              <w:jc w:val="right"/>
            </w:pPr>
            <w:r>
              <w:rPr>
                <w:rFonts w:ascii="Arial" w:hAnsi="Arial"/>
                <w:i/>
                <w:color w:val="64748B"/>
                <w:sz w:val="18"/>
              </w:rPr>
              <w:t>Page 4</w:t>
            </w:r>
          </w:p>
        </w:tc>
      </w:tr>
      <w:tr>
        <w:tc>
          <w:tcPr>
            <w:tcW w:type="dxa" w:w="4824"/>
            <w:shd w:fill="F8FAFC"/>
          </w:tcPr>
          <w:p>
            <w:pPr>
              <w:spacing w:before="40" w:after="40"/>
            </w:pPr>
            <w:r>
              <w:rPr>
                <w:rFonts w:ascii="Arial" w:hAnsi="Arial"/>
                <w:b/>
                <w:color w:val="0F172A"/>
                <w:sz w:val="19"/>
              </w:rPr>
              <w:t xml:space="preserve">   1.6 Structuration Opérationnelle &amp; Capture des Subventions</w:t>
            </w:r>
          </w:p>
        </w:tc>
        <w:tc>
          <w:tcPr>
            <w:tcW w:type="dxa" w:w="4824"/>
            <w:shd w:fill="F8FAFC"/>
          </w:tcPr>
          <w:p>
            <w:pPr>
              <w:spacing w:before="40" w:after="40"/>
              <w:jc w:val="right"/>
            </w:pPr>
            <w:r>
              <w:rPr>
                <w:rFonts w:ascii="Arial" w:hAnsi="Arial"/>
                <w:i/>
                <w:color w:val="64748B"/>
                <w:sz w:val="18"/>
              </w:rPr>
              <w:t>Page 5</w:t>
            </w:r>
          </w:p>
        </w:tc>
      </w:tr>
      <w:tr>
        <w:tc>
          <w:tcPr>
            <w:tcW w:type="dxa" w:w="4824"/>
            <w:shd w:fill="FFFFFF"/>
          </w:tcPr>
          <w:p>
            <w:pPr>
              <w:spacing w:before="40" w:after="40"/>
            </w:pPr>
            <w:r>
              <w:rPr>
                <w:rFonts w:ascii="Arial" w:hAnsi="Arial"/>
                <w:b/>
                <w:color w:val="0F172A"/>
                <w:sz w:val="19"/>
              </w:rPr>
              <w:t>2. Pôle 1 : Axe Ville de Nice (Sécurité &amp; Cadre de Vie)</w:t>
            </w:r>
          </w:p>
        </w:tc>
        <w:tc>
          <w:tcPr>
            <w:tcW w:type="dxa" w:w="4824"/>
            <w:shd w:fill="FFFFFF"/>
          </w:tcPr>
          <w:p>
            <w:pPr>
              <w:spacing w:before="40" w:after="40"/>
              <w:jc w:val="right"/>
            </w:pPr>
            <w:r>
              <w:rPr>
                <w:rFonts w:ascii="Arial" w:hAnsi="Arial"/>
                <w:i/>
                <w:color w:val="64748B"/>
                <w:sz w:val="18"/>
              </w:rPr>
              <w:t>Page 5</w:t>
            </w:r>
          </w:p>
        </w:tc>
      </w:tr>
      <w:tr>
        <w:tc>
          <w:tcPr>
            <w:tcW w:type="dxa" w:w="4824"/>
            <w:shd w:fill="F8FAFC"/>
          </w:tcPr>
          <w:p>
            <w:pPr>
              <w:spacing w:before="40" w:after="40"/>
            </w:pPr>
            <w:r>
              <w:rPr>
                <w:rFonts w:ascii="Arial" w:hAnsi="Arial"/>
                <w:b/>
                <w:color w:val="0F172A"/>
                <w:sz w:val="19"/>
              </w:rPr>
              <w:t xml:space="preserve">   2.1 CSU Augmenté : Moins d'Écrans, Plus de Policiers dans la Rue</w:t>
            </w:r>
          </w:p>
        </w:tc>
        <w:tc>
          <w:tcPr>
            <w:tcW w:type="dxa" w:w="4824"/>
            <w:shd w:fill="F8FAFC"/>
          </w:tcPr>
          <w:p>
            <w:pPr>
              <w:spacing w:before="40" w:after="40"/>
              <w:jc w:val="right"/>
            </w:pPr>
            <w:r>
              <w:rPr>
                <w:rFonts w:ascii="Arial" w:hAnsi="Arial"/>
                <w:i/>
                <w:color w:val="64748B"/>
                <w:sz w:val="18"/>
              </w:rPr>
              <w:t>Page 5</w:t>
            </w:r>
          </w:p>
        </w:tc>
      </w:tr>
      <w:tr>
        <w:tc>
          <w:tcPr>
            <w:tcW w:type="dxa" w:w="4824"/>
            <w:shd w:fill="FFFFFF"/>
          </w:tcPr>
          <w:p>
            <w:pPr>
              <w:spacing w:before="40" w:after="40"/>
            </w:pPr>
            <w:r>
              <w:rPr>
                <w:rFonts w:ascii="Arial" w:hAnsi="Arial"/>
                <w:b/>
                <w:color w:val="0F172A"/>
                <w:sz w:val="19"/>
              </w:rPr>
              <w:t xml:space="preserve">   2.2 Guichet Vocal Allo Niçois 24/7 : Demandes d'Aide &amp; Sécurité</w:t>
            </w:r>
          </w:p>
        </w:tc>
        <w:tc>
          <w:tcPr>
            <w:tcW w:type="dxa" w:w="4824"/>
            <w:shd w:fill="FFFFFF"/>
          </w:tcPr>
          <w:p>
            <w:pPr>
              <w:spacing w:before="40" w:after="40"/>
              <w:jc w:val="right"/>
            </w:pPr>
            <w:r>
              <w:rPr>
                <w:rFonts w:ascii="Arial" w:hAnsi="Arial"/>
                <w:i/>
                <w:color w:val="64748B"/>
                <w:sz w:val="18"/>
              </w:rPr>
              <w:t>Page 6</w:t>
            </w:r>
          </w:p>
        </w:tc>
      </w:tr>
      <w:tr>
        <w:tc>
          <w:tcPr>
            <w:tcW w:type="dxa" w:w="4824"/>
            <w:shd w:fill="F8FAFC"/>
          </w:tcPr>
          <w:p>
            <w:pPr>
              <w:spacing w:before="40" w:after="40"/>
            </w:pPr>
            <w:r>
              <w:rPr>
                <w:rFonts w:ascii="Arial" w:hAnsi="Arial"/>
                <w:b/>
                <w:color w:val="0F172A"/>
                <w:sz w:val="19"/>
              </w:rPr>
              <w:t xml:space="preserve">   2.3 Propreté Augmentée &amp; Routage Voie Publique</w:t>
            </w:r>
          </w:p>
        </w:tc>
        <w:tc>
          <w:tcPr>
            <w:tcW w:type="dxa" w:w="4824"/>
            <w:shd w:fill="F8FAFC"/>
          </w:tcPr>
          <w:p>
            <w:pPr>
              <w:spacing w:before="40" w:after="40"/>
              <w:jc w:val="right"/>
            </w:pPr>
            <w:r>
              <w:rPr>
                <w:rFonts w:ascii="Arial" w:hAnsi="Arial"/>
                <w:i/>
                <w:color w:val="64748B"/>
                <w:sz w:val="18"/>
              </w:rPr>
              <w:t>Page 6</w:t>
            </w:r>
          </w:p>
        </w:tc>
      </w:tr>
      <w:tr>
        <w:tc>
          <w:tcPr>
            <w:tcW w:type="dxa" w:w="4824"/>
            <w:shd w:fill="FFFFFF"/>
          </w:tcPr>
          <w:p>
            <w:pPr>
              <w:spacing w:before="40" w:after="40"/>
            </w:pPr>
            <w:r>
              <w:rPr>
                <w:rFonts w:ascii="Arial" w:hAnsi="Arial"/>
                <w:b/>
                <w:color w:val="0F172A"/>
                <w:sz w:val="19"/>
              </w:rPr>
              <w:t xml:space="preserve">   2.4 Consultation Directe par Quartier via l'IA Einstein</w:t>
            </w:r>
          </w:p>
        </w:tc>
        <w:tc>
          <w:tcPr>
            <w:tcW w:type="dxa" w:w="4824"/>
            <w:shd w:fill="FFFFFF"/>
          </w:tcPr>
          <w:p>
            <w:pPr>
              <w:spacing w:before="40" w:after="40"/>
              <w:jc w:val="right"/>
            </w:pPr>
            <w:r>
              <w:rPr>
                <w:rFonts w:ascii="Arial" w:hAnsi="Arial"/>
                <w:i/>
                <w:color w:val="64748B"/>
                <w:sz w:val="18"/>
              </w:rPr>
              <w:t>Page 6</w:t>
            </w:r>
          </w:p>
        </w:tc>
      </w:tr>
      <w:tr>
        <w:tc>
          <w:tcPr>
            <w:tcW w:type="dxa" w:w="4824"/>
            <w:shd w:fill="F8FAFC"/>
          </w:tcPr>
          <w:p>
            <w:pPr>
              <w:spacing w:before="40" w:after="40"/>
            </w:pPr>
            <w:r>
              <w:rPr>
                <w:rFonts w:ascii="Arial" w:hAnsi="Arial"/>
                <w:b/>
                <w:color w:val="0F172A"/>
                <w:sz w:val="19"/>
              </w:rPr>
              <w:t>3. Pôle 2 : Axe Métropole Nice Côte d'Azur (Budget &amp; Monaco)</w:t>
            </w:r>
          </w:p>
        </w:tc>
        <w:tc>
          <w:tcPr>
            <w:tcW w:type="dxa" w:w="4824"/>
            <w:shd w:fill="F8FAFC"/>
          </w:tcPr>
          <w:p>
            <w:pPr>
              <w:spacing w:before="40" w:after="40"/>
              <w:jc w:val="right"/>
            </w:pPr>
            <w:r>
              <w:rPr>
                <w:rFonts w:ascii="Arial" w:hAnsi="Arial"/>
                <w:i/>
                <w:color w:val="64748B"/>
                <w:sz w:val="18"/>
              </w:rPr>
              <w:t>Page 7</w:t>
            </w:r>
          </w:p>
        </w:tc>
      </w:tr>
      <w:tr>
        <w:tc>
          <w:tcPr>
            <w:tcW w:type="dxa" w:w="4824"/>
            <w:shd w:fill="FFFFFF"/>
          </w:tcPr>
          <w:p>
            <w:pPr>
              <w:spacing w:before="40" w:after="40"/>
            </w:pPr>
            <w:r>
              <w:rPr>
                <w:rFonts w:ascii="Arial" w:hAnsi="Arial"/>
                <w:b/>
                <w:color w:val="0F172A"/>
                <w:sz w:val="19"/>
              </w:rPr>
              <w:t xml:space="preserve">   3.1 Audit IA Commande Publique (+2,5 M€ / an Net)</w:t>
            </w:r>
          </w:p>
        </w:tc>
        <w:tc>
          <w:tcPr>
            <w:tcW w:type="dxa" w:w="4824"/>
            <w:shd w:fill="FFFFFF"/>
          </w:tcPr>
          <w:p>
            <w:pPr>
              <w:spacing w:before="40" w:after="40"/>
              <w:jc w:val="right"/>
            </w:pPr>
            <w:r>
              <w:rPr>
                <w:rFonts w:ascii="Arial" w:hAnsi="Arial"/>
                <w:i/>
                <w:color w:val="64748B"/>
                <w:sz w:val="18"/>
              </w:rPr>
              <w:t>Page 7</w:t>
            </w:r>
          </w:p>
        </w:tc>
      </w:tr>
      <w:tr>
        <w:tc>
          <w:tcPr>
            <w:tcW w:type="dxa" w:w="4824"/>
            <w:shd w:fill="F8FAFC"/>
          </w:tcPr>
          <w:p>
            <w:pPr>
              <w:spacing w:before="40" w:after="40"/>
            </w:pPr>
            <w:r>
              <w:rPr>
                <w:rFonts w:ascii="Arial" w:hAnsi="Arial"/>
                <w:b/>
                <w:color w:val="0F172A"/>
                <w:sz w:val="19"/>
              </w:rPr>
              <w:t xml:space="preserve">   3.2 Bouclier Cyber-IA NIS 2 (1,8 M€ à 3 M€ Évités)</w:t>
            </w:r>
          </w:p>
        </w:tc>
        <w:tc>
          <w:tcPr>
            <w:tcW w:type="dxa" w:w="4824"/>
            <w:shd w:fill="F8FAFC"/>
          </w:tcPr>
          <w:p>
            <w:pPr>
              <w:spacing w:before="40" w:after="40"/>
              <w:jc w:val="right"/>
            </w:pPr>
            <w:r>
              <w:rPr>
                <w:rFonts w:ascii="Arial" w:hAnsi="Arial"/>
                <w:i/>
                <w:color w:val="64748B"/>
                <w:sz w:val="18"/>
              </w:rPr>
              <w:t>Page 7</w:t>
            </w:r>
          </w:p>
        </w:tc>
      </w:tr>
      <w:tr>
        <w:tc>
          <w:tcPr>
            <w:tcW w:type="dxa" w:w="4824"/>
            <w:shd w:fill="FFFFFF"/>
          </w:tcPr>
          <w:p>
            <w:pPr>
              <w:spacing w:before="40" w:after="40"/>
            </w:pPr>
            <w:r>
              <w:rPr>
                <w:rFonts w:ascii="Arial" w:hAnsi="Arial"/>
                <w:b/>
                <w:color w:val="0F172A"/>
                <w:sz w:val="19"/>
              </w:rPr>
              <w:t xml:space="preserve">   3.3 Monaco Cloud &amp; Redondance IT (1,5 M€ à 2,8 M€ / an)</w:t>
            </w:r>
          </w:p>
        </w:tc>
        <w:tc>
          <w:tcPr>
            <w:tcW w:type="dxa" w:w="4824"/>
            <w:shd w:fill="FFFFFF"/>
          </w:tcPr>
          <w:p>
            <w:pPr>
              <w:spacing w:before="40" w:after="40"/>
              <w:jc w:val="right"/>
            </w:pPr>
            <w:r>
              <w:rPr>
                <w:rFonts w:ascii="Arial" w:hAnsi="Arial"/>
                <w:i/>
                <w:color w:val="64748B"/>
                <w:sz w:val="18"/>
              </w:rPr>
              <w:t>Page 8</w:t>
            </w:r>
          </w:p>
        </w:tc>
      </w:tr>
      <w:tr>
        <w:tc>
          <w:tcPr>
            <w:tcW w:type="dxa" w:w="4824"/>
            <w:shd w:fill="F8FAFC"/>
          </w:tcPr>
          <w:p>
            <w:pPr>
              <w:spacing w:before="40" w:after="40"/>
            </w:pPr>
            <w:r>
              <w:rPr>
                <w:rFonts w:ascii="Arial" w:hAnsi="Arial"/>
                <w:b/>
                <w:color w:val="0F172A"/>
                <w:sz w:val="19"/>
              </w:rPr>
              <w:t>4. Alliance Binationale Nice-Monaco &amp; Hub Réglementaire</w:t>
            </w:r>
          </w:p>
        </w:tc>
        <w:tc>
          <w:tcPr>
            <w:tcW w:type="dxa" w:w="4824"/>
            <w:shd w:fill="F8FAFC"/>
          </w:tcPr>
          <w:p>
            <w:pPr>
              <w:spacing w:before="40" w:after="40"/>
              <w:jc w:val="right"/>
            </w:pPr>
            <w:r>
              <w:rPr>
                <w:rFonts w:ascii="Arial" w:hAnsi="Arial"/>
                <w:i/>
                <w:color w:val="64748B"/>
                <w:sz w:val="18"/>
              </w:rPr>
              <w:t>Page 8</w:t>
            </w:r>
          </w:p>
        </w:tc>
      </w:tr>
      <w:tr>
        <w:tc>
          <w:tcPr>
            <w:tcW w:type="dxa" w:w="4824"/>
            <w:shd w:fill="FFFFFF"/>
          </w:tcPr>
          <w:p>
            <w:pPr>
              <w:spacing w:before="40" w:after="40"/>
            </w:pPr>
            <w:r>
              <w:rPr>
                <w:rFonts w:ascii="Arial" w:hAnsi="Arial"/>
                <w:b/>
                <w:color w:val="0F172A"/>
                <w:sz w:val="19"/>
              </w:rPr>
              <w:t xml:space="preserve">   4.1 Levier Binational : Clé de Voûte des Financements Européens</w:t>
            </w:r>
          </w:p>
        </w:tc>
        <w:tc>
          <w:tcPr>
            <w:tcW w:type="dxa" w:w="4824"/>
            <w:shd w:fill="FFFFFF"/>
          </w:tcPr>
          <w:p>
            <w:pPr>
              <w:spacing w:before="40" w:after="40"/>
              <w:jc w:val="right"/>
            </w:pPr>
            <w:r>
              <w:rPr>
                <w:rFonts w:ascii="Arial" w:hAnsi="Arial"/>
                <w:i/>
                <w:color w:val="64748B"/>
                <w:sz w:val="18"/>
              </w:rPr>
              <w:t>Page 8</w:t>
            </w:r>
          </w:p>
        </w:tc>
      </w:tr>
      <w:tr>
        <w:tc>
          <w:tcPr>
            <w:tcW w:type="dxa" w:w="4824"/>
            <w:shd w:fill="F8FAFC"/>
          </w:tcPr>
          <w:p>
            <w:pPr>
              <w:spacing w:before="40" w:after="40"/>
            </w:pPr>
            <w:r>
              <w:rPr>
                <w:rFonts w:ascii="Arial" w:hAnsi="Arial"/>
                <w:b/>
                <w:color w:val="0F172A"/>
                <w:sz w:val="19"/>
              </w:rPr>
              <w:t xml:space="preserve">   4.2 Nice, Centre d'Expertise AI Act de Référence pour la France</w:t>
            </w:r>
          </w:p>
        </w:tc>
        <w:tc>
          <w:tcPr>
            <w:tcW w:type="dxa" w:w="4824"/>
            <w:shd w:fill="F8FAFC"/>
          </w:tcPr>
          <w:p>
            <w:pPr>
              <w:spacing w:before="40" w:after="40"/>
              <w:jc w:val="right"/>
            </w:pPr>
            <w:r>
              <w:rPr>
                <w:rFonts w:ascii="Arial" w:hAnsi="Arial"/>
                <w:i/>
                <w:color w:val="64748B"/>
                <w:sz w:val="18"/>
              </w:rPr>
              <w:t>Page 9</w:t>
            </w:r>
          </w:p>
        </w:tc>
      </w:tr>
      <w:tr>
        <w:tc>
          <w:tcPr>
            <w:tcW w:type="dxa" w:w="4824"/>
            <w:shd w:fill="FFFFFF"/>
          </w:tcPr>
          <w:p>
            <w:pPr>
              <w:spacing w:before="40" w:after="40"/>
            </w:pPr>
            <w:r>
              <w:rPr>
                <w:rFonts w:ascii="Arial" w:hAnsi="Arial"/>
                <w:b/>
                <w:color w:val="0F172A"/>
                <w:sz w:val="19"/>
              </w:rPr>
              <w:t>5. Feuille de Route Précise (Septembre 2026-2029) &amp; Résumé Annuel</w:t>
            </w:r>
          </w:p>
        </w:tc>
        <w:tc>
          <w:tcPr>
            <w:tcW w:type="dxa" w:w="4824"/>
            <w:shd w:fill="FFFFFF"/>
          </w:tcPr>
          <w:p>
            <w:pPr>
              <w:spacing w:before="40" w:after="40"/>
              <w:jc w:val="right"/>
            </w:pPr>
            <w:r>
              <w:rPr>
                <w:rFonts w:ascii="Arial" w:hAnsi="Arial"/>
                <w:i/>
                <w:color w:val="64748B"/>
                <w:sz w:val="18"/>
              </w:rPr>
              <w:t>Page 9</w:t>
            </w:r>
          </w:p>
        </w:tc>
      </w:tr>
      <w:tr>
        <w:tc>
          <w:tcPr>
            <w:tcW w:type="dxa" w:w="4824"/>
            <w:shd w:fill="F8FAFC"/>
          </w:tcPr>
          <w:p>
            <w:pPr>
              <w:spacing w:before="40" w:after="40"/>
            </w:pPr>
            <w:r>
              <w:rPr>
                <w:rFonts w:ascii="Arial" w:hAnsi="Arial"/>
                <w:b/>
                <w:color w:val="0F172A"/>
                <w:sz w:val="19"/>
              </w:rPr>
              <w:t xml:space="preserve">   5.1 Présidence Éric Ciotti &amp; Direction Benoît SIGWALD (2,5j/sem)</w:t>
            </w:r>
          </w:p>
        </w:tc>
        <w:tc>
          <w:tcPr>
            <w:tcW w:type="dxa" w:w="4824"/>
            <w:shd w:fill="F8FAFC"/>
          </w:tcPr>
          <w:p>
            <w:pPr>
              <w:spacing w:before="40" w:after="40"/>
              <w:jc w:val="right"/>
            </w:pPr>
            <w:r>
              <w:rPr>
                <w:rFonts w:ascii="Arial" w:hAnsi="Arial"/>
                <w:i/>
                <w:color w:val="64748B"/>
                <w:sz w:val="18"/>
              </w:rPr>
              <w:t>Page 9</w:t>
            </w:r>
          </w:p>
        </w:tc>
      </w:tr>
      <w:tr>
        <w:tc>
          <w:tcPr>
            <w:tcW w:type="dxa" w:w="4824"/>
            <w:shd w:fill="FFFFFF"/>
          </w:tcPr>
          <w:p>
            <w:pPr>
              <w:spacing w:before="40" w:after="40"/>
            </w:pPr>
            <w:r>
              <w:rPr>
                <w:rFonts w:ascii="Arial" w:hAnsi="Arial"/>
                <w:b/>
                <w:color w:val="0F172A"/>
                <w:sz w:val="19"/>
              </w:rPr>
              <w:t xml:space="preserve">   5.2 Échéancier Précis &amp; Jalons par Date (Septembre 2026-2029)</w:t>
            </w:r>
          </w:p>
        </w:tc>
        <w:tc>
          <w:tcPr>
            <w:tcW w:type="dxa" w:w="4824"/>
            <w:shd w:fill="FFFFFF"/>
          </w:tcPr>
          <w:p>
            <w:pPr>
              <w:spacing w:before="40" w:after="40"/>
              <w:jc w:val="right"/>
            </w:pPr>
            <w:r>
              <w:rPr>
                <w:rFonts w:ascii="Arial" w:hAnsi="Arial"/>
                <w:i/>
                <w:color w:val="64748B"/>
                <w:sz w:val="18"/>
              </w:rPr>
              <w:t>Page 10</w:t>
            </w:r>
          </w:p>
        </w:tc>
      </w:tr>
      <w:tr>
        <w:tc>
          <w:tcPr>
            <w:tcW w:type="dxa" w:w="4824"/>
            <w:shd w:fill="F8FAFC"/>
          </w:tcPr>
          <w:p>
            <w:pPr>
              <w:spacing w:before="40" w:after="40"/>
            </w:pPr>
            <w:r>
              <w:rPr>
                <w:rFonts w:ascii="Arial" w:hAnsi="Arial"/>
                <w:b/>
                <w:color w:val="0F172A"/>
                <w:sz w:val="19"/>
              </w:rPr>
              <w:t xml:space="preserve">   5.3 Résumé Consolidé du Coût par Année Budgétaire</w:t>
            </w:r>
          </w:p>
        </w:tc>
        <w:tc>
          <w:tcPr>
            <w:tcW w:type="dxa" w:w="4824"/>
            <w:shd w:fill="F8FAFC"/>
          </w:tcPr>
          <w:p>
            <w:pPr>
              <w:spacing w:before="40" w:after="40"/>
              <w:jc w:val="right"/>
            </w:pPr>
            <w:r>
              <w:rPr>
                <w:rFonts w:ascii="Arial" w:hAnsi="Arial"/>
                <w:i/>
                <w:color w:val="64748B"/>
                <w:sz w:val="18"/>
              </w:rPr>
              <w:t>Page 11</w:t>
            </w:r>
          </w:p>
        </w:tc>
      </w:tr>
      <w:tr>
        <w:tc>
          <w:tcPr>
            <w:tcW w:type="dxa" w:w="4824"/>
            <w:shd w:fill="FFFFFF"/>
          </w:tcPr>
          <w:p>
            <w:pPr>
              <w:spacing w:before="40" w:after="40"/>
            </w:pPr>
            <w:r>
              <w:rPr>
                <w:rFonts w:ascii="Arial" w:hAnsi="Arial"/>
                <w:b/>
                <w:color w:val="0F172A"/>
                <w:sz w:val="19"/>
              </w:rPr>
              <w:t>6. Annexe : Justifications des Gains &amp; Sources Documentaires</w:t>
            </w:r>
          </w:p>
        </w:tc>
        <w:tc>
          <w:tcPr>
            <w:tcW w:type="dxa" w:w="4824"/>
            <w:shd w:fill="FFFFFF"/>
          </w:tcPr>
          <w:p>
            <w:pPr>
              <w:spacing w:before="40" w:after="40"/>
              <w:jc w:val="right"/>
            </w:pPr>
            <w:r>
              <w:rPr>
                <w:rFonts w:ascii="Arial" w:hAnsi="Arial"/>
                <w:i/>
                <w:color w:val="64748B"/>
                <w:sz w:val="18"/>
              </w:rPr>
              <w:t>Page 12</w:t>
            </w:r>
          </w:p>
        </w:tc>
      </w:tr>
    </w:tbl>
    <w:p>
      <w:r>
        <w:br w:type="page"/>
      </w:r>
    </w:p>
    <w:p>
      <w:pPr>
        <w:pStyle w:val="Heading1"/>
        <w:keepNext/>
        <w:spacing w:before="360" w:after="160"/>
      </w:pPr>
      <w:r>
        <w:rPr>
          <w:rFonts w:ascii="Georgia" w:hAnsi="Georgia"/>
          <w:b/>
          <w:color w:val="0F172A"/>
          <w:sz w:val="30"/>
        </w:rPr>
        <w:t>Résumé Exécutif &amp; Chiffrage Consolidé pour M. le Maire</w:t>
      </w:r>
    </w:p>
    <w:p>
      <w:pPr>
        <w:pStyle w:val="ListBullet"/>
        <w:spacing w:before="40" w:after="100" w:line="276" w:lineRule="auto"/>
        <w:ind w:left="504"/>
      </w:pPr>
      <w:r>
        <w:rPr>
          <w:rFonts w:ascii="Arial" w:hAnsi="Arial"/>
          <w:b/>
          <w:color w:val="0F172A"/>
        </w:rPr>
        <w:t>La Thèse Stratégique</w:t>
      </w:r>
      <w:r>
        <w:rPr>
          <w:rFonts w:ascii="Arial" w:hAnsi="Arial"/>
          <w:color w:val="1E293B"/>
        </w:rPr>
        <w:t xml:space="preserve"> : La course aux modèles de frontière se joue à l’échelle des superpuissances. Pour Nice, la vraie bataille stratégique réside dans </w:t>
      </w:r>
      <w:r>
        <w:rPr>
          <w:rFonts w:ascii="Arial" w:hAnsi="Arial"/>
          <w:b/>
          <w:color w:val="0F172A"/>
        </w:rPr>
        <w:t>l'usage concret, la sécurité publique, la souveraineté et la rigueur budgétaire</w:t>
      </w:r>
      <w:r>
        <w:rPr>
          <w:rFonts w:ascii="Arial" w:hAnsi="Arial"/>
          <w:color w:val="1E293B"/>
        </w:rPr>
        <w:t xml:space="preserve">, en </w:t>
      </w:r>
      <w:r>
        <w:rPr>
          <w:rFonts w:ascii="Arial" w:hAnsi="Arial"/>
          <w:b/>
          <w:color w:val="0F172A"/>
        </w:rPr>
        <w:t>maximisant nos atouts phares comme Sophia Antipolis</w:t>
      </w:r>
      <w:r>
        <w:rPr>
          <w:rFonts w:ascii="Arial" w:hAnsi="Arial"/>
          <w:color w:val="1E293B"/>
        </w:rPr>
        <w:t xml:space="preserve"> et en </w:t>
      </w:r>
      <w:r>
        <w:rPr>
          <w:rFonts w:ascii="Arial" w:hAnsi="Arial"/>
          <w:b/>
          <w:color w:val="0F172A"/>
        </w:rPr>
        <w:t>resserrant les liens industriels et souverains avec Monaco</w:t>
      </w:r>
      <w:r>
        <w:rPr>
          <w:rFonts w:ascii="Arial" w:hAnsi="Arial"/>
          <w:color w:val="1E293B"/>
        </w:rPr>
        <w:t>.</w:t>
      </w:r>
    </w:p>
    <w:p>
      <w:pPr>
        <w:pStyle w:val="ListBullet"/>
        <w:spacing w:before="40" w:after="100" w:line="276" w:lineRule="auto"/>
        <w:ind w:left="504"/>
      </w:pPr>
      <w:r>
        <w:rPr>
          <w:rFonts w:ascii="Arial" w:hAnsi="Arial"/>
          <w:b/>
          <w:color w:val="0F172A"/>
        </w:rPr>
        <w:t>La Vision Politique</w:t>
      </w:r>
      <w:r>
        <w:rPr>
          <w:rFonts w:ascii="Arial" w:hAnsi="Arial"/>
          <w:color w:val="1E293B"/>
        </w:rPr>
        <w:t xml:space="preserve"> : Aucune collectivité n'a encore préempté la position de </w:t>
      </w:r>
      <w:r>
        <w:rPr>
          <w:rFonts w:ascii="Arial" w:hAnsi="Arial"/>
          <w:b/>
          <w:color w:val="0F172A"/>
        </w:rPr>
        <w:t>« Capitale de l'IA de sécurité et d'efficience publique »</w:t>
      </w:r>
      <w:r>
        <w:rPr>
          <w:rFonts w:ascii="Arial" w:hAnsi="Arial"/>
          <w:color w:val="1E293B"/>
        </w:rPr>
        <w:t>. Nice doit être la première sous la conduite de M. Éric Ciotti.</w:t>
      </w:r>
    </w:p>
    <w:tbl>
      <w:tblPr>
        <w:tblW w:type="auto" w:w="0"/>
        <w:jc w:val="center"/>
        <w:tblLook w:firstColumn="1" w:firstRow="1" w:lastColumn="0" w:lastRow="0" w:noHBand="0" w:noVBand="1" w:val="04A0"/>
      </w:tblPr>
      <w:tblGrid>
        <w:gridCol w:w="2412"/>
        <w:gridCol w:w="2412"/>
        <w:gridCol w:w="2412"/>
        <w:gridCol w:w="2412"/>
      </w:tblGrid>
      <w:tr>
        <w:tc>
          <w:tcPr>
            <w:tcW w:type="dxa" w:w="2412"/>
            <w:shd w:fill="1E293B"/>
          </w:tcPr>
          <w:p>
            <w:pPr>
              <w:spacing w:before="80" w:after="80"/>
            </w:pPr>
            <w:r>
              <w:rPr>
                <w:rFonts w:ascii="Arial" w:hAnsi="Arial"/>
                <w:b/>
                <w:color w:val="FFFFFF"/>
                <w:sz w:val="18"/>
              </w:rPr>
              <w:t>Pilier Stratégique</w:t>
            </w:r>
          </w:p>
        </w:tc>
        <w:tc>
          <w:tcPr>
            <w:tcW w:type="dxa" w:w="2412"/>
            <w:shd w:fill="1E293B"/>
          </w:tcPr>
          <w:p>
            <w:pPr>
              <w:spacing w:before="80" w:after="80"/>
            </w:pPr>
            <w:r>
              <w:rPr>
                <w:rFonts w:ascii="Arial" w:hAnsi="Arial"/>
                <w:b/>
                <w:color w:val="FFFFFF"/>
                <w:sz w:val="18"/>
              </w:rPr>
              <w:t>Levier IA Appliqué</w:t>
            </w:r>
          </w:p>
        </w:tc>
        <w:tc>
          <w:tcPr>
            <w:tcW w:type="dxa" w:w="2412"/>
            <w:shd w:fill="1E293B"/>
          </w:tcPr>
          <w:p>
            <w:pPr>
              <w:spacing w:before="80" w:after="80"/>
            </w:pPr>
            <w:r>
              <w:rPr>
                <w:rFonts w:ascii="Arial" w:hAnsi="Arial"/>
                <w:b/>
                <w:color w:val="FFFFFF"/>
                <w:sz w:val="18"/>
              </w:rPr>
              <w:t>Chiffre Clé &amp; Impact</w:t>
            </w:r>
          </w:p>
        </w:tc>
        <w:tc>
          <w:tcPr>
            <w:tcW w:type="dxa" w:w="2412"/>
            <w:shd w:fill="1E293B"/>
          </w:tcPr>
          <w:p>
            <w:pPr>
              <w:spacing w:before="80" w:after="80"/>
            </w:pPr>
            <w:r>
              <w:rPr>
                <w:rFonts w:ascii="Arial" w:hAnsi="Arial"/>
                <w:b/>
                <w:color w:val="FFFFFF"/>
                <w:sz w:val="18"/>
              </w:rPr>
              <w:t>Justification / Source</w:t>
            </w:r>
          </w:p>
        </w:tc>
      </w:tr>
      <w:tr>
        <w:tc>
          <w:tcPr>
            <w:tcW w:type="dxa" w:w="2412"/>
            <w:shd w:fill="F8FAFC"/>
          </w:tcPr>
          <w:p>
            <w:pPr>
              <w:spacing w:before="80" w:after="80"/>
            </w:pPr>
            <w:r>
              <w:rPr>
                <w:rFonts w:ascii="Arial" w:hAnsi="Arial"/>
                <w:color w:val="1E293B"/>
                <w:sz w:val="17"/>
              </w:rPr>
              <w:t>1. CSU Augmenté &amp; Sécurité</w:t>
            </w:r>
          </w:p>
        </w:tc>
        <w:tc>
          <w:tcPr>
            <w:tcW w:type="dxa" w:w="2412"/>
            <w:shd w:fill="F8FAFC"/>
          </w:tcPr>
          <w:p>
            <w:pPr>
              <w:spacing w:before="80" w:after="80"/>
            </w:pPr>
            <w:r>
              <w:rPr>
                <w:rFonts w:ascii="Arial" w:hAnsi="Arial"/>
                <w:color w:val="1E293B"/>
                <w:sz w:val="17"/>
              </w:rPr>
              <w:t>VSA 4 300+ caméras &amp; alertes</w:t>
            </w:r>
          </w:p>
        </w:tc>
        <w:tc>
          <w:tcPr>
            <w:tcW w:type="dxa" w:w="2412"/>
            <w:shd w:fill="F8FAFC"/>
          </w:tcPr>
          <w:p>
            <w:pPr>
              <w:spacing w:before="80" w:after="80"/>
            </w:pPr>
            <w:r>
              <w:rPr>
                <w:rFonts w:ascii="Arial" w:hAnsi="Arial"/>
                <w:color w:val="1E293B"/>
                <w:sz w:val="17"/>
              </w:rPr>
              <w:t>Incivilités -65 %</w:t>
            </w:r>
          </w:p>
        </w:tc>
        <w:tc>
          <w:tcPr>
            <w:tcW w:type="dxa" w:w="2412"/>
            <w:shd w:fill="F8FAFC"/>
          </w:tcPr>
          <w:p>
            <w:pPr>
              <w:spacing w:before="80" w:after="80"/>
            </w:pPr>
            <w:r>
              <w:rPr>
                <w:rFonts w:ascii="Arial" w:hAnsi="Arial"/>
                <w:color w:val="1E293B"/>
                <w:sz w:val="17"/>
              </w:rPr>
              <w:t>Moins d'écrans, plus de PM en rue.</w:t>
            </w:r>
          </w:p>
        </w:tc>
      </w:tr>
      <w:tr>
        <w:tc>
          <w:tcPr>
            <w:tcW w:type="dxa" w:w="2412"/>
            <w:shd w:fill="FFFFFF"/>
          </w:tcPr>
          <w:p>
            <w:pPr>
              <w:spacing w:before="80" w:after="80"/>
            </w:pPr>
            <w:r>
              <w:rPr>
                <w:rFonts w:ascii="Arial" w:hAnsi="Arial"/>
                <w:color w:val="1E293B"/>
                <w:sz w:val="17"/>
              </w:rPr>
              <w:t>2. Audit Commande Publique</w:t>
            </w:r>
          </w:p>
        </w:tc>
        <w:tc>
          <w:tcPr>
            <w:tcW w:type="dxa" w:w="2412"/>
            <w:shd w:fill="FFFFFF"/>
          </w:tcPr>
          <w:p>
            <w:pPr>
              <w:spacing w:before="80" w:after="80"/>
            </w:pPr>
            <w:r>
              <w:rPr>
                <w:rFonts w:ascii="Arial" w:hAnsi="Arial"/>
                <w:color w:val="1E293B"/>
                <w:sz w:val="17"/>
              </w:rPr>
              <w:t>Ingestion sémantique factures (300 M€)</w:t>
            </w:r>
          </w:p>
        </w:tc>
        <w:tc>
          <w:tcPr>
            <w:tcW w:type="dxa" w:w="2412"/>
            <w:shd w:fill="FFFFFF"/>
          </w:tcPr>
          <w:p>
            <w:pPr>
              <w:spacing w:before="80" w:after="80"/>
            </w:pPr>
            <w:r>
              <w:rPr>
                <w:rFonts w:ascii="Arial" w:hAnsi="Arial"/>
                <w:color w:val="1E293B"/>
                <w:sz w:val="17"/>
              </w:rPr>
              <w:t>+2,50 M€ / an NET</w:t>
            </w:r>
          </w:p>
        </w:tc>
        <w:tc>
          <w:tcPr>
            <w:tcW w:type="dxa" w:w="2412"/>
            <w:shd w:fill="FFFFFF"/>
          </w:tcPr>
          <w:p>
            <w:pPr>
              <w:spacing w:before="80" w:after="80"/>
            </w:pPr>
            <w:r>
              <w:rPr>
                <w:rFonts w:ascii="Arial" w:hAnsi="Arial"/>
                <w:color w:val="1E293B"/>
                <w:sz w:val="17"/>
              </w:rPr>
              <w:t>Erreurs &amp; doublons filtrés.</w:t>
            </w:r>
          </w:p>
        </w:tc>
      </w:tr>
      <w:tr>
        <w:tc>
          <w:tcPr>
            <w:tcW w:type="dxa" w:w="2412"/>
            <w:shd w:fill="F8FAFC"/>
          </w:tcPr>
          <w:p>
            <w:pPr>
              <w:spacing w:before="80" w:after="80"/>
            </w:pPr>
            <w:r>
              <w:rPr>
                <w:rFonts w:ascii="Arial" w:hAnsi="Arial"/>
                <w:color w:val="1E293B"/>
                <w:sz w:val="17"/>
              </w:rPr>
              <w:t>3. Bouclier Cyber-IA (NIS 2)</w:t>
            </w:r>
          </w:p>
        </w:tc>
        <w:tc>
          <w:tcPr>
            <w:tcW w:type="dxa" w:w="2412"/>
            <w:shd w:fill="F8FAFC"/>
          </w:tcPr>
          <w:p>
            <w:pPr>
              <w:spacing w:before="80" w:after="80"/>
            </w:pPr>
            <w:r>
              <w:rPr>
                <w:rFonts w:ascii="Arial" w:hAnsi="Arial"/>
                <w:color w:val="1E293B"/>
                <w:sz w:val="17"/>
              </w:rPr>
              <w:t>SOC IA 24/7 souverain &amp; Air-Gap</w:t>
            </w:r>
          </w:p>
        </w:tc>
        <w:tc>
          <w:tcPr>
            <w:tcW w:type="dxa" w:w="2412"/>
            <w:shd w:fill="F8FAFC"/>
          </w:tcPr>
          <w:p>
            <w:pPr>
              <w:spacing w:before="80" w:after="80"/>
            </w:pPr>
            <w:r>
              <w:rPr>
                <w:rFonts w:ascii="Arial" w:hAnsi="Arial"/>
                <w:color w:val="1E293B"/>
                <w:sz w:val="17"/>
              </w:rPr>
              <w:t>1,8 à 3 M€ / an</w:t>
            </w:r>
          </w:p>
        </w:tc>
        <w:tc>
          <w:tcPr>
            <w:tcW w:type="dxa" w:w="2412"/>
            <w:shd w:fill="F8FAFC"/>
          </w:tcPr>
          <w:p>
            <w:pPr>
              <w:spacing w:before="80" w:after="80"/>
            </w:pPr>
            <w:r>
              <w:rPr>
                <w:rFonts w:ascii="Arial" w:hAnsi="Arial"/>
                <w:color w:val="1E293B"/>
                <w:sz w:val="17"/>
              </w:rPr>
              <w:t>Crises ransomware évitées.</w:t>
            </w:r>
          </w:p>
        </w:tc>
      </w:tr>
      <w:tr>
        <w:tc>
          <w:tcPr>
            <w:tcW w:type="dxa" w:w="2412"/>
            <w:shd w:fill="FFFFFF"/>
          </w:tcPr>
          <w:p>
            <w:pPr>
              <w:spacing w:before="80" w:after="80"/>
            </w:pPr>
            <w:r>
              <w:rPr>
                <w:rFonts w:ascii="Arial" w:hAnsi="Arial"/>
                <w:color w:val="1E293B"/>
                <w:sz w:val="17"/>
              </w:rPr>
              <w:t>4. Monaco Cloud &amp; Zone Franche</w:t>
            </w:r>
          </w:p>
        </w:tc>
        <w:tc>
          <w:tcPr>
            <w:tcW w:type="dxa" w:w="2412"/>
            <w:shd w:fill="FFFFFF"/>
          </w:tcPr>
          <w:p>
            <w:pPr>
              <w:spacing w:before="80" w:after="80"/>
            </w:pPr>
            <w:r>
              <w:rPr>
                <w:rFonts w:ascii="Arial" w:hAnsi="Arial"/>
                <w:color w:val="1E293B"/>
                <w:sz w:val="17"/>
              </w:rPr>
              <w:t>Data Center Souverain (AMSN) &amp; Zone Franche</w:t>
            </w:r>
          </w:p>
        </w:tc>
        <w:tc>
          <w:tcPr>
            <w:tcW w:type="dxa" w:w="2412"/>
            <w:shd w:fill="FFFFFF"/>
          </w:tcPr>
          <w:p>
            <w:pPr>
              <w:spacing w:before="80" w:after="80"/>
            </w:pPr>
            <w:r>
              <w:rPr>
                <w:rFonts w:ascii="Arial" w:hAnsi="Arial"/>
                <w:color w:val="1E293B"/>
                <w:sz w:val="17"/>
              </w:rPr>
              <w:t>1,5 à 2,8 M€ / an</w:t>
            </w:r>
          </w:p>
        </w:tc>
        <w:tc>
          <w:tcPr>
            <w:tcW w:type="dxa" w:w="2412"/>
            <w:shd w:fill="FFFFFF"/>
          </w:tcPr>
          <w:p>
            <w:pPr>
              <w:spacing w:before="80" w:after="80"/>
            </w:pPr>
            <w:r>
              <w:rPr>
                <w:rFonts w:ascii="Arial" w:hAnsi="Arial"/>
                <w:color w:val="1E293B"/>
                <w:sz w:val="17"/>
              </w:rPr>
              <w:t>Économies IT + 8-12M€ CAPEX évité.</w:t>
            </w:r>
          </w:p>
        </w:tc>
      </w:tr>
      <w:tr>
        <w:tc>
          <w:tcPr>
            <w:tcW w:type="dxa" w:w="2412"/>
            <w:shd w:fill="F8FAFC"/>
          </w:tcPr>
          <w:p>
            <w:pPr>
              <w:spacing w:before="80" w:after="80"/>
            </w:pPr>
            <w:r>
              <w:rPr>
                <w:rFonts w:ascii="Arial" w:hAnsi="Arial"/>
                <w:color w:val="1E293B"/>
                <w:sz w:val="17"/>
              </w:rPr>
              <w:t>5. Financements Europe &amp; Gigafactory</w:t>
            </w:r>
          </w:p>
        </w:tc>
        <w:tc>
          <w:tcPr>
            <w:tcW w:type="dxa" w:w="2412"/>
            <w:shd w:fill="F8FAFC"/>
          </w:tcPr>
          <w:p>
            <w:pPr>
              <w:spacing w:before="80" w:after="80"/>
            </w:pPr>
            <w:r>
              <w:rPr>
                <w:rFonts w:ascii="Arial" w:hAnsi="Arial"/>
                <w:color w:val="1E293B"/>
                <w:sz w:val="17"/>
              </w:rPr>
              <w:t>Subventions UE (EuroHPC, DIGITAL)</w:t>
            </w:r>
          </w:p>
        </w:tc>
        <w:tc>
          <w:tcPr>
            <w:tcW w:type="dxa" w:w="2412"/>
            <w:shd w:fill="F8FAFC"/>
          </w:tcPr>
          <w:p>
            <w:pPr>
              <w:spacing w:before="80" w:after="80"/>
            </w:pPr>
            <w:r>
              <w:rPr>
                <w:rFonts w:ascii="Arial" w:hAnsi="Arial"/>
                <w:color w:val="1E293B"/>
                <w:sz w:val="17"/>
              </w:rPr>
              <w:t>500 M€ visés</w:t>
            </w:r>
          </w:p>
        </w:tc>
        <w:tc>
          <w:tcPr>
            <w:tcW w:type="dxa" w:w="2412"/>
            <w:shd w:fill="F8FAFC"/>
          </w:tcPr>
          <w:p>
            <w:pPr>
              <w:spacing w:before="80" w:after="80"/>
            </w:pPr>
            <w:r>
              <w:rPr>
                <w:rFonts w:ascii="Arial" w:hAnsi="Arial"/>
                <w:color w:val="1E293B"/>
                <w:sz w:val="17"/>
              </w:rPr>
              <w:t>Candidature binationale Nice-Monaco.</w:t>
            </w:r>
          </w:p>
        </w:tc>
      </w:tr>
    </w:tbl>
    <w:p>
      <w:pPr>
        <w:spacing w:after="120"/>
      </w:pPr>
    </w:p>
    <w:p>
      <w:pPr>
        <w:pStyle w:val="Heading2"/>
        <w:keepNext/>
        <w:spacing w:before="280" w:after="120"/>
      </w:pPr>
      <w:r>
        <w:rPr>
          <w:rFonts w:ascii="Georgia" w:hAnsi="Georgia"/>
          <w:b/>
          <w:color w:val="1E3A8A"/>
          <w:sz w:val="25"/>
        </w:rPr>
        <w:t>Ventilation du Coût Budgétaire IA par Allocation (435 k€ / an)</w:t>
      </w:r>
    </w:p>
    <w:p>
      <w:pPr>
        <w:pStyle w:val="ListBullet"/>
        <w:spacing w:before="40" w:after="100" w:line="276" w:lineRule="auto"/>
        <w:ind w:left="504"/>
      </w:pPr>
      <w:r>
        <w:rPr>
          <w:rFonts w:ascii="Arial" w:hAnsi="Arial"/>
          <w:b/>
          <w:color w:val="0F172A"/>
        </w:rPr>
        <w:t>Découpage des Dépenses</w:t>
      </w:r>
      <w:r>
        <w:rPr>
          <w:rFonts w:ascii="Arial" w:hAnsi="Arial"/>
          <w:color w:val="1E293B"/>
        </w:rPr>
        <w:t xml:space="preserve"> : L'investissement annuel brut est optimisé à </w:t>
      </w:r>
      <w:r>
        <w:rPr>
          <w:rFonts w:ascii="Arial" w:hAnsi="Arial"/>
          <w:b/>
          <w:color w:val="0F172A"/>
        </w:rPr>
        <w:t>435 k€ / an</w:t>
      </w:r>
      <w:r>
        <w:rPr>
          <w:rFonts w:ascii="Arial" w:hAnsi="Arial"/>
          <w:color w:val="1E293B"/>
        </w:rPr>
        <w:t xml:space="preserve"> (grâce à l'engagement en temps partagé 2,5j/sem de la Direction de Projet à 65 k€). Avec le co-financement UE (</w:t>
      </w:r>
      <w:r>
        <w:rPr>
          <w:rFonts w:ascii="Arial" w:hAnsi="Arial"/>
          <w:i/>
        </w:rPr>
        <w:t>Digital Europe</w:t>
      </w:r>
      <w:r>
        <w:rPr>
          <w:rFonts w:ascii="Arial" w:hAnsi="Arial"/>
          <w:color w:val="1E293B"/>
        </w:rPr>
        <w:t xml:space="preserve"> à 50 %), le reste à charge net métropolitain descend à seulement </w:t>
      </w:r>
      <w:r>
        <w:rPr>
          <w:rFonts w:ascii="Arial" w:hAnsi="Arial"/>
          <w:b/>
          <w:color w:val="0F172A"/>
        </w:rPr>
        <w:t>~217 k€ / an</w:t>
      </w:r>
      <w:r>
        <w:rPr>
          <w:rFonts w:ascii="Arial" w:hAnsi="Arial"/>
          <w:color w:val="1E293B"/>
        </w:rPr>
        <w:t>.</w:t>
      </w:r>
    </w:p>
    <w:tbl>
      <w:tblPr>
        <w:tblW w:type="auto" w:w="0"/>
        <w:jc w:val="center"/>
        <w:tblLook w:firstColumn="1" w:firstRow="1" w:lastColumn="0" w:lastRow="0" w:noHBand="0" w:noVBand="1" w:val="04A0"/>
      </w:tblPr>
      <w:tblGrid>
        <w:gridCol w:w="2412"/>
        <w:gridCol w:w="2412"/>
        <w:gridCol w:w="2412"/>
        <w:gridCol w:w="2412"/>
      </w:tblGrid>
      <w:tr>
        <w:tc>
          <w:tcPr>
            <w:tcW w:type="dxa" w:w="2412"/>
            <w:shd w:fill="1E293B"/>
          </w:tcPr>
          <w:p>
            <w:pPr>
              <w:spacing w:before="60" w:after="60"/>
            </w:pPr>
            <w:r>
              <w:rPr>
                <w:rFonts w:ascii="Arial" w:hAnsi="Arial"/>
                <w:b/>
                <w:color w:val="FFFFFF"/>
                <w:sz w:val="17"/>
              </w:rPr>
              <w:t>Poste d'Allocation Budgétaire</w:t>
            </w:r>
          </w:p>
        </w:tc>
        <w:tc>
          <w:tcPr>
            <w:tcW w:type="dxa" w:w="2412"/>
            <w:shd w:fill="1E293B"/>
          </w:tcPr>
          <w:p>
            <w:pPr>
              <w:spacing w:before="60" w:after="60"/>
            </w:pPr>
            <w:r>
              <w:rPr>
                <w:rFonts w:ascii="Arial" w:hAnsi="Arial"/>
                <w:b/>
                <w:color w:val="FFFFFF"/>
                <w:sz w:val="17"/>
              </w:rPr>
              <w:t>Montant Annuel</w:t>
            </w:r>
          </w:p>
        </w:tc>
        <w:tc>
          <w:tcPr>
            <w:tcW w:type="dxa" w:w="2412"/>
            <w:shd w:fill="1E293B"/>
          </w:tcPr>
          <w:p>
            <w:pPr>
              <w:spacing w:before="60" w:after="60"/>
            </w:pPr>
            <w:r>
              <w:rPr>
                <w:rFonts w:ascii="Arial" w:hAnsi="Arial"/>
                <w:b/>
                <w:color w:val="FFFFFF"/>
                <w:sz w:val="17"/>
              </w:rPr>
              <w:t>Part (%)</w:t>
            </w:r>
          </w:p>
        </w:tc>
        <w:tc>
          <w:tcPr>
            <w:tcW w:type="dxa" w:w="2412"/>
            <w:shd w:fill="1E293B"/>
          </w:tcPr>
          <w:p>
            <w:pPr>
              <w:spacing w:before="60" w:after="60"/>
            </w:pPr>
            <w:r>
              <w:rPr>
                <w:rFonts w:ascii="Arial" w:hAnsi="Arial"/>
                <w:b/>
                <w:color w:val="FFFFFF"/>
                <w:sz w:val="17"/>
              </w:rPr>
              <w:t>Destination Opérationnelle</w:t>
            </w:r>
          </w:p>
        </w:tc>
      </w:tr>
      <w:tr>
        <w:tc>
          <w:tcPr>
            <w:tcW w:type="dxa" w:w="2412"/>
            <w:shd w:fill="F8FAFC"/>
          </w:tcPr>
          <w:p>
            <w:pPr>
              <w:spacing w:before="60" w:after="60"/>
            </w:pPr>
            <w:r>
              <w:rPr>
                <w:rFonts w:ascii="Arial" w:hAnsi="Arial"/>
                <w:color w:val="1E293B"/>
                <w:sz w:val="16"/>
              </w:rPr>
              <w:t>1. Licences Algorithmiques &amp; Modèles Souverains</w:t>
            </w:r>
          </w:p>
        </w:tc>
        <w:tc>
          <w:tcPr>
            <w:tcW w:type="dxa" w:w="2412"/>
            <w:shd w:fill="F8FAFC"/>
          </w:tcPr>
          <w:p>
            <w:pPr>
              <w:spacing w:before="60" w:after="60"/>
            </w:pPr>
            <w:r>
              <w:rPr>
                <w:rFonts w:ascii="Arial" w:hAnsi="Arial"/>
                <w:color w:val="1E293B"/>
                <w:sz w:val="16"/>
              </w:rPr>
              <w:t>150 k€</w:t>
            </w:r>
          </w:p>
        </w:tc>
        <w:tc>
          <w:tcPr>
            <w:tcW w:type="dxa" w:w="2412"/>
            <w:shd w:fill="F8FAFC"/>
          </w:tcPr>
          <w:p>
            <w:pPr>
              <w:spacing w:before="60" w:after="60"/>
            </w:pPr>
            <w:r>
              <w:rPr>
                <w:rFonts w:ascii="Arial" w:hAnsi="Arial"/>
                <w:color w:val="1E293B"/>
                <w:sz w:val="16"/>
              </w:rPr>
              <w:t>34,5 %</w:t>
            </w:r>
          </w:p>
        </w:tc>
        <w:tc>
          <w:tcPr>
            <w:tcW w:type="dxa" w:w="2412"/>
            <w:shd w:fill="F8FAFC"/>
          </w:tcPr>
          <w:p>
            <w:pPr>
              <w:spacing w:before="60" w:after="60"/>
            </w:pPr>
            <w:r>
              <w:rPr>
                <w:rFonts w:ascii="Arial" w:hAnsi="Arial"/>
                <w:color w:val="1E293B"/>
                <w:sz w:val="16"/>
              </w:rPr>
              <w:t>Inférence VSA CSU, modèles locaux et API sécurisées.</w:t>
            </w:r>
          </w:p>
        </w:tc>
      </w:tr>
      <w:tr>
        <w:tc>
          <w:tcPr>
            <w:tcW w:type="dxa" w:w="2412"/>
            <w:shd w:fill="FFFFFF"/>
          </w:tcPr>
          <w:p>
            <w:pPr>
              <w:spacing w:before="60" w:after="60"/>
            </w:pPr>
            <w:r>
              <w:rPr>
                <w:rFonts w:ascii="Arial" w:hAnsi="Arial"/>
                <w:color w:val="1E293B"/>
                <w:sz w:val="16"/>
              </w:rPr>
              <w:t>2. Cloud Souverain &amp; Fibre Monaco Cloud</w:t>
            </w:r>
          </w:p>
        </w:tc>
        <w:tc>
          <w:tcPr>
            <w:tcW w:type="dxa" w:w="2412"/>
            <w:shd w:fill="FFFFFF"/>
          </w:tcPr>
          <w:p>
            <w:pPr>
              <w:spacing w:before="60" w:after="60"/>
            </w:pPr>
            <w:r>
              <w:rPr>
                <w:rFonts w:ascii="Arial" w:hAnsi="Arial"/>
                <w:color w:val="1E293B"/>
                <w:sz w:val="16"/>
              </w:rPr>
              <w:t>120 k€</w:t>
            </w:r>
          </w:p>
        </w:tc>
        <w:tc>
          <w:tcPr>
            <w:tcW w:type="dxa" w:w="2412"/>
            <w:shd w:fill="FFFFFF"/>
          </w:tcPr>
          <w:p>
            <w:pPr>
              <w:spacing w:before="60" w:after="60"/>
            </w:pPr>
            <w:r>
              <w:rPr>
                <w:rFonts w:ascii="Arial" w:hAnsi="Arial"/>
                <w:color w:val="1E293B"/>
                <w:sz w:val="16"/>
              </w:rPr>
              <w:t>27,6 %</w:t>
            </w:r>
          </w:p>
        </w:tc>
        <w:tc>
          <w:tcPr>
            <w:tcW w:type="dxa" w:w="2412"/>
            <w:shd w:fill="FFFFFF"/>
          </w:tcPr>
          <w:p>
            <w:pPr>
              <w:spacing w:before="60" w:after="60"/>
            </w:pPr>
            <w:r>
              <w:rPr>
                <w:rFonts w:ascii="Arial" w:hAnsi="Arial"/>
                <w:color w:val="1E293B"/>
                <w:sz w:val="16"/>
              </w:rPr>
              <w:t>Instances GPU certifiées AMSN et liaison fibre dédiée.</w:t>
            </w:r>
          </w:p>
        </w:tc>
      </w:tr>
      <w:tr>
        <w:tc>
          <w:tcPr>
            <w:tcW w:type="dxa" w:w="2412"/>
            <w:shd w:fill="F8FAFC"/>
          </w:tcPr>
          <w:p>
            <w:pPr>
              <w:spacing w:before="60" w:after="60"/>
            </w:pPr>
            <w:r>
              <w:rPr>
                <w:rFonts w:ascii="Arial" w:hAnsi="Arial"/>
                <w:color w:val="1E293B"/>
                <w:sz w:val="16"/>
              </w:rPr>
              <w:t>3. Direction de Projet (Benoît SIGWALD - 2,5j/sem)</w:t>
            </w:r>
          </w:p>
        </w:tc>
        <w:tc>
          <w:tcPr>
            <w:tcW w:type="dxa" w:w="2412"/>
            <w:shd w:fill="F8FAFC"/>
          </w:tcPr>
          <w:p>
            <w:pPr>
              <w:spacing w:before="60" w:after="60"/>
            </w:pPr>
            <w:r>
              <w:rPr>
                <w:rFonts w:ascii="Arial" w:hAnsi="Arial"/>
                <w:color w:val="1E293B"/>
                <w:sz w:val="16"/>
              </w:rPr>
              <w:t>65 k€</w:t>
            </w:r>
          </w:p>
        </w:tc>
        <w:tc>
          <w:tcPr>
            <w:tcW w:type="dxa" w:w="2412"/>
            <w:shd w:fill="F8FAFC"/>
          </w:tcPr>
          <w:p>
            <w:pPr>
              <w:spacing w:before="60" w:after="60"/>
            </w:pPr>
            <w:r>
              <w:rPr>
                <w:rFonts w:ascii="Arial" w:hAnsi="Arial"/>
                <w:color w:val="1E293B"/>
                <w:sz w:val="16"/>
              </w:rPr>
              <w:t>14,9 %</w:t>
            </w:r>
          </w:p>
        </w:tc>
        <w:tc>
          <w:tcPr>
            <w:tcW w:type="dxa" w:w="2412"/>
            <w:shd w:fill="F8FAFC"/>
          </w:tcPr>
          <w:p>
            <w:pPr>
              <w:spacing w:before="60" w:after="60"/>
            </w:pPr>
            <w:r>
              <w:rPr>
                <w:rFonts w:ascii="Arial" w:hAnsi="Arial"/>
                <w:color w:val="1E293B"/>
                <w:sz w:val="16"/>
              </w:rPr>
              <w:t>Direction de projet (2,5j/semaine), suivi des marchés.</w:t>
            </w:r>
          </w:p>
        </w:tc>
      </w:tr>
      <w:tr>
        <w:tc>
          <w:tcPr>
            <w:tcW w:type="dxa" w:w="2412"/>
            <w:shd w:fill="FFFFFF"/>
          </w:tcPr>
          <w:p>
            <w:pPr>
              <w:spacing w:before="60" w:after="60"/>
            </w:pPr>
            <w:r>
              <w:rPr>
                <w:rFonts w:ascii="Arial" w:hAnsi="Arial"/>
                <w:color w:val="1E293B"/>
                <w:sz w:val="16"/>
              </w:rPr>
              <w:t>4. Audit AI Act, Cybersécurité NIS 2 &amp; Éthique</w:t>
            </w:r>
          </w:p>
        </w:tc>
        <w:tc>
          <w:tcPr>
            <w:tcW w:type="dxa" w:w="2412"/>
            <w:shd w:fill="FFFFFF"/>
          </w:tcPr>
          <w:p>
            <w:pPr>
              <w:spacing w:before="60" w:after="60"/>
            </w:pPr>
            <w:r>
              <w:rPr>
                <w:rFonts w:ascii="Arial" w:hAnsi="Arial"/>
                <w:color w:val="1E293B"/>
                <w:sz w:val="16"/>
              </w:rPr>
              <w:t>60 k€</w:t>
            </w:r>
          </w:p>
        </w:tc>
        <w:tc>
          <w:tcPr>
            <w:tcW w:type="dxa" w:w="2412"/>
            <w:shd w:fill="FFFFFF"/>
          </w:tcPr>
          <w:p>
            <w:pPr>
              <w:spacing w:before="60" w:after="60"/>
            </w:pPr>
            <w:r>
              <w:rPr>
                <w:rFonts w:ascii="Arial" w:hAnsi="Arial"/>
                <w:color w:val="1E293B"/>
                <w:sz w:val="16"/>
              </w:rPr>
              <w:t>13,8 %</w:t>
            </w:r>
          </w:p>
        </w:tc>
        <w:tc>
          <w:tcPr>
            <w:tcW w:type="dxa" w:w="2412"/>
            <w:shd w:fill="FFFFFF"/>
          </w:tcPr>
          <w:p>
            <w:pPr>
              <w:spacing w:before="60" w:after="60"/>
            </w:pPr>
            <w:r>
              <w:rPr>
                <w:rFonts w:ascii="Arial" w:hAnsi="Arial"/>
                <w:color w:val="1E293B"/>
                <w:sz w:val="16"/>
              </w:rPr>
              <w:t>Audits de conformité, pentests et secrétariat éthique.</w:t>
            </w:r>
          </w:p>
        </w:tc>
      </w:tr>
      <w:tr>
        <w:tc>
          <w:tcPr>
            <w:tcW w:type="dxa" w:w="2412"/>
            <w:shd w:fill="F8FAFC"/>
          </w:tcPr>
          <w:p>
            <w:pPr>
              <w:spacing w:before="60" w:after="60"/>
            </w:pPr>
            <w:r>
              <w:rPr>
                <w:rFonts w:ascii="Arial" w:hAnsi="Arial"/>
                <w:color w:val="1E293B"/>
                <w:sz w:val="16"/>
              </w:rPr>
              <w:t>5. Concertation &amp; IA Einstein par Quartier</w:t>
            </w:r>
          </w:p>
        </w:tc>
        <w:tc>
          <w:tcPr>
            <w:tcW w:type="dxa" w:w="2412"/>
            <w:shd w:fill="F8FAFC"/>
          </w:tcPr>
          <w:p>
            <w:pPr>
              <w:spacing w:before="60" w:after="60"/>
            </w:pPr>
            <w:r>
              <w:rPr>
                <w:rFonts w:ascii="Arial" w:hAnsi="Arial"/>
                <w:color w:val="1E293B"/>
                <w:sz w:val="16"/>
              </w:rPr>
              <w:t>40 k€</w:t>
            </w:r>
          </w:p>
        </w:tc>
        <w:tc>
          <w:tcPr>
            <w:tcW w:type="dxa" w:w="2412"/>
            <w:shd w:fill="F8FAFC"/>
          </w:tcPr>
          <w:p>
            <w:pPr>
              <w:spacing w:before="60" w:after="60"/>
            </w:pPr>
            <w:r>
              <w:rPr>
                <w:rFonts w:ascii="Arial" w:hAnsi="Arial"/>
                <w:color w:val="1E293B"/>
                <w:sz w:val="16"/>
              </w:rPr>
              <w:t>9,2 %</w:t>
            </w:r>
          </w:p>
        </w:tc>
        <w:tc>
          <w:tcPr>
            <w:tcW w:type="dxa" w:w="2412"/>
            <w:shd w:fill="F8FAFC"/>
          </w:tcPr>
          <w:p>
            <w:pPr>
              <w:spacing w:before="60" w:after="60"/>
            </w:pPr>
            <w:r>
              <w:rPr>
                <w:rFonts w:ascii="Arial" w:hAnsi="Arial"/>
                <w:color w:val="1E293B"/>
                <w:sz w:val="16"/>
              </w:rPr>
              <w:t>Plateforme de démocratie participative augmentée.</w:t>
            </w:r>
          </w:p>
        </w:tc>
      </w:tr>
    </w:tbl>
    <w:p>
      <w:pPr>
        <w:spacing w:after="160"/>
      </w:pPr>
    </w:p>
    <w:p>
      <w:pPr>
        <w:spacing w:before="160" w:after="280"/>
        <w:jc w:val="center"/>
      </w:pPr>
      <w:r>
        <w:drawing>
          <wp:inline xmlns:a="http://schemas.openxmlformats.org/drawingml/2006/main" xmlns:pic="http://schemas.openxmlformats.org/drawingml/2006/picture">
            <wp:extent cx="5669280" cy="2559050"/>
            <wp:docPr id="1" name="Picture 1"/>
            <wp:cNvGraphicFramePr>
              <a:graphicFrameLocks noChangeAspect="1"/>
            </wp:cNvGraphicFramePr>
            <a:graphic>
              <a:graphicData uri="http://schemas.openxmlformats.org/drawingml/2006/picture">
                <pic:pic>
                  <pic:nvPicPr>
                    <pic:cNvPr id="0" name="chart2_roi_gains.png"/>
                    <pic:cNvPicPr/>
                  </pic:nvPicPr>
                  <pic:blipFill>
                    <a:blip r:embed="rId9"/>
                    <a:stretch>
                      <a:fillRect/>
                    </a:stretch>
                  </pic:blipFill>
                  <pic:spPr>
                    <a:xfrm>
                      <a:off x="0" y="0"/>
                      <a:ext cx="5669280" cy="2559050"/>
                    </a:xfrm>
                    <a:prstGeom prst="rect"/>
                  </pic:spPr>
                </pic:pic>
              </a:graphicData>
            </a:graphic>
          </wp:inline>
        </w:drawing>
      </w:r>
    </w:p>
    <w:p>
      <w:r>
        <w:br w:type="page"/>
      </w:r>
    </w:p>
    <w:p>
      <w:pPr>
        <w:pStyle w:val="Heading1"/>
        <w:keepNext/>
        <w:spacing w:before="360" w:after="160"/>
      </w:pPr>
      <w:r>
        <w:rPr>
          <w:rFonts w:ascii="Georgia" w:hAnsi="Georgia"/>
          <w:b/>
          <w:color w:val="0F172A"/>
          <w:sz w:val="30"/>
        </w:rPr>
        <w:t>1. Diagnostic Territorial &amp; Opportunités Européennes</w:t>
      </w:r>
    </w:p>
    <w:p>
      <w:pPr>
        <w:pStyle w:val="Heading2"/>
        <w:keepNext/>
        <w:spacing w:before="280" w:after="120"/>
      </w:pPr>
      <w:r>
        <w:rPr>
          <w:rFonts w:ascii="Georgia" w:hAnsi="Georgia"/>
          <w:b/>
          <w:color w:val="1E3A8A"/>
          <w:sz w:val="25"/>
        </w:rPr>
        <w:t>1.1 Alignement Institutionnel &amp; Leadership Métropolitain</w:t>
      </w:r>
    </w:p>
    <w:p>
      <w:pPr>
        <w:pStyle w:val="ListBullet"/>
        <w:spacing w:before="40" w:after="100" w:line="276" w:lineRule="auto"/>
        <w:ind w:left="504"/>
      </w:pPr>
      <w:r>
        <w:rPr>
          <w:rFonts w:ascii="Arial" w:hAnsi="Arial"/>
          <w:b/>
          <w:color w:val="0F172A"/>
        </w:rPr>
        <w:t>Échelle nationale</w:t>
      </w:r>
      <w:r>
        <w:rPr>
          <w:rFonts w:ascii="Arial" w:hAnsi="Arial"/>
          <w:color w:val="1E293B"/>
        </w:rPr>
        <w:t xml:space="preserve"> : La note </w:t>
      </w:r>
      <w:r>
        <w:rPr>
          <w:rFonts w:ascii="Arial" w:hAnsi="Arial"/>
          <w:i/>
        </w:rPr>
        <w:t>« Opération Prométhée »</w:t>
      </w:r>
      <w:r>
        <w:rPr>
          <w:rFonts w:ascii="Arial" w:hAnsi="Arial"/>
          <w:color w:val="1E293B"/>
        </w:rPr>
        <w:t xml:space="preserve"> (juillet 2026, Le Grand Continent) fixe le cadre : un plan de </w:t>
      </w:r>
      <w:r>
        <w:rPr>
          <w:rFonts w:ascii="Arial" w:hAnsi="Arial"/>
          <w:b/>
          <w:color w:val="0F172A"/>
        </w:rPr>
        <w:t>700 Md$ sur 3 ans</w:t>
      </w:r>
      <w:r>
        <w:rPr>
          <w:rFonts w:ascii="Arial" w:hAnsi="Arial"/>
          <w:color w:val="1E293B"/>
        </w:rPr>
        <w:t xml:space="preserve"> (12 GW, 1 700 chercheurs). L'IA est devenue une ressource stratégique souveraine identique à l'énergie.</w:t>
      </w:r>
    </w:p>
    <w:p>
      <w:pPr>
        <w:pStyle w:val="ListBullet"/>
        <w:spacing w:before="40" w:after="100" w:line="276" w:lineRule="auto"/>
        <w:ind w:left="504"/>
      </w:pPr>
      <w:r>
        <w:rPr>
          <w:rFonts w:ascii="Arial" w:hAnsi="Arial"/>
          <w:b/>
          <w:color w:val="0F172A"/>
        </w:rPr>
        <w:t>Échelle régionale</w:t>
      </w:r>
      <w:r>
        <w:rPr>
          <w:rFonts w:ascii="Arial" w:hAnsi="Arial"/>
          <w:color w:val="1E293B"/>
        </w:rPr>
        <w:t xml:space="preserve"> : La Région Sud affiche un </w:t>
      </w:r>
      <w:r>
        <w:rPr>
          <w:rFonts w:ascii="Arial" w:hAnsi="Arial"/>
          <w:i/>
        </w:rPr>
        <w:t>Plan SUD IA</w:t>
      </w:r>
      <w:r>
        <w:rPr>
          <w:rFonts w:ascii="Arial" w:hAnsi="Arial"/>
          <w:color w:val="1E293B"/>
        </w:rPr>
        <w:t xml:space="preserve"> (70 M€ sur 5 ans), la Métropole lance des appels à projets isolés et le Département anime la Maison de l'IA (MIA) à Sophia Antipolis.</w:t>
      </w:r>
    </w:p>
    <w:p>
      <w:pPr>
        <w:pStyle w:val="ListBullet"/>
        <w:spacing w:before="40" w:after="100" w:line="276" w:lineRule="auto"/>
        <w:ind w:left="504"/>
      </w:pPr>
      <w:r>
        <w:rPr>
          <w:rFonts w:ascii="Arial" w:hAnsi="Arial"/>
          <w:b/>
          <w:color w:val="0F172A"/>
        </w:rPr>
        <w:t>Une gouvernance à unifier (Constat constructif)</w:t>
      </w:r>
      <w:r>
        <w:rPr>
          <w:rFonts w:ascii="Arial" w:hAnsi="Arial"/>
          <w:color w:val="1E293B"/>
        </w:rPr>
        <w:t xml:space="preserve"> : </w:t>
      </w:r>
      <w:r>
        <w:rPr>
          <w:rFonts w:ascii="Arial" w:hAnsi="Arial"/>
          <w:b/>
          <w:color w:val="0F172A"/>
        </w:rPr>
        <w:t>Les frictions institutionnelles et les complexités d'arbitrage au sein de la Région PACA peuvent ralentir l'accès optimal aux subventions</w:t>
      </w:r>
      <w:r>
        <w:rPr>
          <w:rFonts w:ascii="Arial" w:hAnsi="Arial"/>
          <w:color w:val="1E293B"/>
        </w:rPr>
        <w:t>. Un alignement direct et unifié est indispensable pour accélérer les financements.</w:t>
      </w:r>
    </w:p>
    <w:p>
      <w:pPr>
        <w:pStyle w:val="ListBullet"/>
        <w:spacing w:before="40" w:after="100" w:line="276" w:lineRule="auto"/>
        <w:ind w:left="504"/>
      </w:pPr>
      <w:r>
        <w:rPr>
          <w:rFonts w:ascii="Arial" w:hAnsi="Arial"/>
          <w:b/>
          <w:color w:val="0F172A"/>
        </w:rPr>
        <w:t>La solution</w:t>
      </w:r>
      <w:r>
        <w:rPr>
          <w:rFonts w:ascii="Arial" w:hAnsi="Arial"/>
          <w:color w:val="1E293B"/>
        </w:rPr>
        <w:t xml:space="preserve"> : Seul un </w:t>
      </w:r>
      <w:r>
        <w:rPr>
          <w:rFonts w:ascii="Arial" w:hAnsi="Arial"/>
          <w:b/>
          <w:color w:val="0F172A"/>
        </w:rPr>
        <w:t>leadership métropolitain incontestable porté au plus haut niveau par M. Éric Ciotti</w:t>
      </w:r>
      <w:r>
        <w:rPr>
          <w:rFonts w:ascii="Arial" w:hAnsi="Arial"/>
          <w:color w:val="1E293B"/>
        </w:rPr>
        <w:t xml:space="preserve"> permettra d'outrepasser ces frictions institutionnelles et d'aller capturer directement les subventions auprès de l'État et des guichets européens.</w:t>
      </w:r>
    </w:p>
    <w:p>
      <w:pPr>
        <w:pStyle w:val="Heading2"/>
        <w:keepNext/>
        <w:spacing w:before="280" w:after="120"/>
      </w:pPr>
      <w:r>
        <w:rPr>
          <w:rFonts w:ascii="Georgia" w:hAnsi="Georgia"/>
          <w:b/>
          <w:color w:val="1E3A8A"/>
          <w:sz w:val="25"/>
        </w:rPr>
        <w:t>1.2 Le Terreau Azuréen : Sophia Antipolis, Grasse &amp; Cannes</w:t>
      </w:r>
    </w:p>
    <w:p>
      <w:pPr>
        <w:pStyle w:val="ListBullet"/>
        <w:spacing w:before="40" w:after="100" w:line="276" w:lineRule="auto"/>
        <w:ind w:left="504"/>
      </w:pPr>
      <w:r>
        <w:rPr>
          <w:rFonts w:ascii="Arial" w:hAnsi="Arial"/>
          <w:b/>
          <w:color w:val="0F172A"/>
        </w:rPr>
        <w:t>Sophia Antipolis (1ère technopole d’Europe)</w:t>
      </w:r>
      <w:r>
        <w:rPr>
          <w:rFonts w:ascii="Arial" w:hAnsi="Arial"/>
          <w:color w:val="1E293B"/>
        </w:rPr>
        <w:t xml:space="preserve"> : ~2 700 entreprises, ~46 000 emplois, ~5 500 chercheurs. Un réservoir mondial d'ingénierie et de recherche d'élite.</w:t>
      </w:r>
    </w:p>
    <w:p>
      <w:pPr>
        <w:pStyle w:val="ListBullet"/>
        <w:spacing w:before="40" w:after="100" w:line="276" w:lineRule="auto"/>
        <w:ind w:left="504"/>
      </w:pPr>
      <w:r>
        <w:rPr>
          <w:rFonts w:ascii="Arial" w:hAnsi="Arial"/>
          <w:b/>
          <w:color w:val="0F172A"/>
        </w:rPr>
        <w:t>Institut 3IA Côte d’Azur &amp; UCA</w:t>
      </w:r>
      <w:r>
        <w:rPr>
          <w:rFonts w:ascii="Arial" w:hAnsi="Arial"/>
          <w:color w:val="1E293B"/>
        </w:rPr>
        <w:t xml:space="preserve"> : L'un des 4 instituts nationaux d'IA (spécialisé en santé numérique) avec Inria, Eurecom et le CNRS.</w:t>
      </w:r>
    </w:p>
    <w:p>
      <w:pPr>
        <w:pStyle w:val="ListBullet"/>
        <w:spacing w:before="40" w:after="100" w:line="276" w:lineRule="auto"/>
        <w:ind w:left="504"/>
      </w:pPr>
      <w:r>
        <w:rPr>
          <w:rFonts w:ascii="Arial" w:hAnsi="Arial"/>
          <w:b/>
          <w:color w:val="0F172A"/>
        </w:rPr>
        <w:t>Synergie Grasse (Arômes &amp; Parfums)</w:t>
      </w:r>
      <w:r>
        <w:rPr>
          <w:rFonts w:ascii="Arial" w:hAnsi="Arial"/>
          <w:color w:val="1E293B"/>
        </w:rPr>
        <w:t xml:space="preserve"> : Modélisation olfactive, chimie fine et IA sensorielle pour l'industrie aromatique et la santé.</w:t>
      </w:r>
    </w:p>
    <w:p>
      <w:pPr>
        <w:pStyle w:val="ListBullet"/>
        <w:spacing w:before="40" w:after="100" w:line="276" w:lineRule="auto"/>
        <w:ind w:left="504"/>
      </w:pPr>
      <w:r>
        <w:rPr>
          <w:rFonts w:ascii="Arial" w:hAnsi="Arial"/>
          <w:b/>
          <w:color w:val="0F172A"/>
        </w:rPr>
        <w:t>Synergie Cannes (Thales Alenia Space)</w:t>
      </w:r>
      <w:r>
        <w:rPr>
          <w:rFonts w:ascii="Arial" w:hAnsi="Arial"/>
          <w:color w:val="1E293B"/>
        </w:rPr>
        <w:t xml:space="preserve"> : Traitement d'imagerie satellite par IA, observation de la Terre et défense spatiale.</w:t>
      </w:r>
    </w:p>
    <w:p>
      <w:pPr>
        <w:pStyle w:val="ListBullet"/>
        <w:spacing w:before="40" w:after="100" w:line="276" w:lineRule="auto"/>
        <w:ind w:left="504"/>
      </w:pPr>
      <w:r>
        <w:rPr>
          <w:rFonts w:ascii="Arial" w:hAnsi="Arial"/>
          <w:b/>
          <w:color w:val="0F172A"/>
        </w:rPr>
        <w:t>Grands industriels ancres</w:t>
      </w:r>
      <w:r>
        <w:rPr>
          <w:rFonts w:ascii="Arial" w:hAnsi="Arial"/>
          <w:color w:val="1E293B"/>
        </w:rPr>
        <w:t xml:space="preserve"> : </w:t>
      </w:r>
      <w:r>
        <w:rPr>
          <w:rFonts w:ascii="Arial" w:hAnsi="Arial"/>
          <w:b/>
          <w:color w:val="0F172A"/>
        </w:rPr>
        <w:t>Amadeus</w:t>
      </w:r>
      <w:r>
        <w:rPr>
          <w:rFonts w:ascii="Arial" w:hAnsi="Arial"/>
          <w:color w:val="1E293B"/>
        </w:rPr>
        <w:t xml:space="preserve"> (1er centre de R&amp;D privé de transport en Europe), générateurs de données massives.</w:t>
      </w:r>
    </w:p>
    <w:p>
      <w:pPr>
        <w:pStyle w:val="ListBullet"/>
        <w:spacing w:before="40" w:after="100" w:line="276" w:lineRule="auto"/>
        <w:ind w:left="504"/>
      </w:pPr>
      <w:r>
        <w:rPr>
          <w:rFonts w:ascii="Arial" w:hAnsi="Arial"/>
          <w:b/>
          <w:color w:val="0F172A"/>
        </w:rPr>
        <w:t>Attractivité Riviera &amp; 2e aéroport de France</w:t>
      </w:r>
      <w:r>
        <w:rPr>
          <w:rFonts w:ascii="Arial" w:hAnsi="Arial"/>
          <w:color w:val="1E293B"/>
        </w:rPr>
        <w:t xml:space="preserve"> : Capacité unique de captation et de rétention des chercheurs d'élite que Paris ne conserve plus.</w:t>
      </w:r>
    </w:p>
    <w:p>
      <w:pPr>
        <w:spacing w:before="200" w:after="240"/>
        <w:jc w:val="center"/>
      </w:pPr>
      <w:r>
        <w:drawing>
          <wp:inline xmlns:a="http://schemas.openxmlformats.org/drawingml/2006/main" xmlns:pic="http://schemas.openxmlformats.org/drawingml/2006/picture">
            <wp:extent cx="5669280" cy="1811020"/>
            <wp:docPr id="2" name="Picture 2"/>
            <wp:cNvGraphicFramePr>
              <a:graphicFrameLocks noChangeAspect="1"/>
            </wp:cNvGraphicFramePr>
            <a:graphic>
              <a:graphicData uri="http://schemas.openxmlformats.org/drawingml/2006/picture">
                <pic:pic>
                  <pic:nvPicPr>
                    <pic:cNvPr id="0" name="chart1_poids_national.png"/>
                    <pic:cNvPicPr/>
                  </pic:nvPicPr>
                  <pic:blipFill>
                    <a:blip r:embed="rId10"/>
                    <a:stretch>
                      <a:fillRect/>
                    </a:stretch>
                  </pic:blipFill>
                  <pic:spPr>
                    <a:xfrm>
                      <a:off x="0" y="0"/>
                      <a:ext cx="5669280" cy="1811020"/>
                    </a:xfrm>
                    <a:prstGeom prst="rect"/>
                  </pic:spPr>
                </pic:pic>
              </a:graphicData>
            </a:graphic>
          </wp:inline>
        </w:drawing>
      </w:r>
    </w:p>
    <w:p>
      <w:pPr>
        <w:pStyle w:val="Heading2"/>
        <w:keepNext/>
        <w:spacing w:before="280" w:after="120"/>
      </w:pPr>
      <w:r>
        <w:rPr>
          <w:rFonts w:ascii="Georgia" w:hAnsi="Georgia"/>
          <w:b/>
          <w:color w:val="1E3A8A"/>
          <w:sz w:val="25"/>
        </w:rPr>
        <w:t>1.3 Évaluation du Pôle Nice - Sophia Antipolis - Monaco vs Total National</w:t>
      </w:r>
    </w:p>
    <w:p>
      <w:pPr>
        <w:pStyle w:val="ListBullet"/>
        <w:spacing w:before="40" w:after="100" w:line="276" w:lineRule="auto"/>
        <w:ind w:left="504"/>
      </w:pPr>
      <w:r>
        <w:rPr>
          <w:rFonts w:ascii="Arial" w:hAnsi="Arial"/>
          <w:b/>
          <w:color w:val="0F172A"/>
        </w:rPr>
        <w:t>Positionnement Stratégique</w:t>
      </w:r>
      <w:r>
        <w:rPr>
          <w:rFonts w:ascii="Arial" w:hAnsi="Arial"/>
          <w:color w:val="1E293B"/>
        </w:rPr>
        <w:t xml:space="preserve"> : Afin d'emporter l'adhésion de l'État et de la Commission Européenne, le territoire fait valoir son </w:t>
      </w:r>
      <w:r>
        <w:rPr>
          <w:rFonts w:ascii="Arial" w:hAnsi="Arial"/>
          <w:b/>
          <w:color w:val="0F172A"/>
        </w:rPr>
        <w:t>poids relatif massif à l'échelle de la France</w:t>
      </w:r>
      <w:r>
        <w:rPr>
          <w:rFonts w:ascii="Arial" w:hAnsi="Arial"/>
          <w:color w:val="1E293B"/>
        </w:rPr>
        <w:t xml:space="preserve"> :</w:t>
      </w:r>
    </w:p>
    <w:p>
      <w:pPr>
        <w:pStyle w:val="ListBullet"/>
        <w:spacing w:before="40" w:after="100" w:line="276" w:lineRule="auto"/>
        <w:ind w:left="504"/>
      </w:pPr>
      <w:r>
        <w:rPr>
          <w:rFonts w:ascii="Arial" w:hAnsi="Arial"/>
          <w:b/>
          <w:color w:val="0F172A"/>
        </w:rPr>
        <w:t>Chercheurs R&amp;D Numérique</w:t>
      </w:r>
      <w:r>
        <w:rPr>
          <w:rFonts w:ascii="Arial" w:hAnsi="Arial"/>
          <w:color w:val="1E293B"/>
        </w:rPr>
        <w:t xml:space="preserve"> : ~5 500 chercheurs (public+privé), soit </w:t>
      </w:r>
      <w:r>
        <w:rPr>
          <w:rFonts w:ascii="Arial" w:hAnsi="Arial"/>
          <w:b/>
          <w:color w:val="0F172A"/>
        </w:rPr>
        <w:t>~12 % du total hors Île-de-France</w:t>
      </w:r>
      <w:r>
        <w:rPr>
          <w:rFonts w:ascii="Arial" w:hAnsi="Arial"/>
          <w:color w:val="1E293B"/>
        </w:rPr>
        <w:t xml:space="preserve"> (2e bassin national après Paris).</w:t>
      </w:r>
    </w:p>
    <w:p>
      <w:pPr>
        <w:pStyle w:val="ListBullet"/>
        <w:spacing w:before="40" w:after="100" w:line="276" w:lineRule="auto"/>
        <w:ind w:left="504"/>
      </w:pPr>
      <w:r>
        <w:rPr>
          <w:rFonts w:ascii="Arial" w:hAnsi="Arial"/>
          <w:b/>
          <w:color w:val="0F172A"/>
        </w:rPr>
        <w:t>Recherche Académique 3IA</w:t>
      </w:r>
      <w:r>
        <w:rPr>
          <w:rFonts w:ascii="Arial" w:hAnsi="Arial"/>
          <w:color w:val="1E293B"/>
        </w:rPr>
        <w:t xml:space="preserve"> : &gt; 100 chaires mondiales, soit </w:t>
      </w:r>
      <w:r>
        <w:rPr>
          <w:rFonts w:ascii="Arial" w:hAnsi="Arial"/>
          <w:b/>
          <w:color w:val="0F172A"/>
        </w:rPr>
        <w:t>~25 % du réseau national des 4 Instituts 3IA</w:t>
      </w:r>
      <w:r>
        <w:rPr>
          <w:rFonts w:ascii="Arial" w:hAnsi="Arial"/>
          <w:color w:val="1E293B"/>
        </w:rPr>
        <w:t xml:space="preserve"> (Paris, Grenoble, Toulouse, Nice-Sophia).</w:t>
      </w:r>
    </w:p>
    <w:p>
      <w:pPr>
        <w:pStyle w:val="ListBullet"/>
        <w:spacing w:before="40" w:after="100" w:line="276" w:lineRule="auto"/>
        <w:ind w:left="504"/>
      </w:pPr>
      <w:r>
        <w:rPr>
          <w:rFonts w:ascii="Arial" w:hAnsi="Arial"/>
          <w:b/>
          <w:color w:val="0F172A"/>
        </w:rPr>
        <w:t>R&amp;D Privée</w:t>
      </w:r>
      <w:r>
        <w:rPr>
          <w:rFonts w:ascii="Arial" w:hAnsi="Arial"/>
          <w:color w:val="1E293B"/>
        </w:rPr>
        <w:t xml:space="preserve"> : Amadeus &amp; Thales Alenia Space (&gt;6 500 ingénieurs), soit </w:t>
      </w:r>
      <w:r>
        <w:rPr>
          <w:rFonts w:ascii="Arial" w:hAnsi="Arial"/>
          <w:b/>
          <w:color w:val="0F172A"/>
        </w:rPr>
        <w:t>~6 % de la dépense privée logicielle/spatiale française</w:t>
      </w:r>
      <w:r>
        <w:rPr>
          <w:rFonts w:ascii="Arial" w:hAnsi="Arial"/>
          <w:color w:val="1E293B"/>
        </w:rPr>
        <w:t>.</w:t>
      </w:r>
    </w:p>
    <w:p>
      <w:pPr>
        <w:pStyle w:val="Heading2"/>
        <w:keepNext/>
        <w:spacing w:before="280" w:after="120"/>
      </w:pPr>
      <w:r>
        <w:rPr>
          <w:rFonts w:ascii="Georgia" w:hAnsi="Georgia"/>
          <w:b/>
          <w:color w:val="1E3A8A"/>
          <w:sz w:val="25"/>
        </w:rPr>
        <w:t>1.4 Atouts Monaco, Flux Transfrontaliers &amp; Extension Business</w:t>
      </w:r>
    </w:p>
    <w:p>
      <w:pPr>
        <w:pStyle w:val="ListBullet"/>
        <w:spacing w:before="40" w:after="100" w:line="276" w:lineRule="auto"/>
        <w:ind w:left="504"/>
      </w:pPr>
      <w:r>
        <w:rPr>
          <w:rFonts w:ascii="Arial" w:hAnsi="Arial"/>
          <w:b/>
          <w:color w:val="0F172A"/>
        </w:rPr>
        <w:t>Monaco Cloud &amp; Data Center Souverain d'État</w:t>
      </w:r>
      <w:r>
        <w:rPr>
          <w:rFonts w:ascii="Arial" w:hAnsi="Arial"/>
          <w:color w:val="1E293B"/>
        </w:rPr>
        <w:t xml:space="preserve"> : Premier Cloud d'État souverain d'Europe (certifié AMSN), garantissant une étanchéité totale contre le Cloud Act américain, connecté en fibre noire dédiée à Nice.</w:t>
      </w:r>
    </w:p>
    <w:p>
      <w:pPr>
        <w:pStyle w:val="ListBullet"/>
        <w:spacing w:before="40" w:after="100" w:line="276" w:lineRule="auto"/>
        <w:ind w:left="504"/>
      </w:pPr>
      <w:r>
        <w:rPr>
          <w:rFonts w:ascii="Arial" w:hAnsi="Arial"/>
          <w:b/>
          <w:color w:val="0F172A"/>
        </w:rPr>
        <w:t>Besoin d'extension de la Principauté pour le business</w:t>
      </w:r>
      <w:r>
        <w:rPr>
          <w:rFonts w:ascii="Arial" w:hAnsi="Arial"/>
          <w:color w:val="1E293B"/>
        </w:rPr>
        <w:t xml:space="preserve"> : Monaco dispose d'un capital et d'un tissu d'entreprises majeurs mais souffre d'une contrainte foncière extrême. L'alliance avec la Métropole Nice Côte d'Azur offre le terrain d'extension économique et technologique indispensable.</w:t>
      </w:r>
    </w:p>
    <w:p>
      <w:pPr>
        <w:pStyle w:val="ListBullet"/>
        <w:spacing w:before="40" w:after="100" w:line="276" w:lineRule="auto"/>
        <w:ind w:left="504"/>
      </w:pPr>
      <w:r>
        <w:rPr>
          <w:rFonts w:ascii="Arial" w:hAnsi="Arial"/>
          <w:b/>
          <w:color w:val="0F172A"/>
        </w:rPr>
        <w:t>45 000 salariés transfrontaliers quotidiens</w:t>
      </w:r>
      <w:r>
        <w:rPr>
          <w:rFonts w:ascii="Arial" w:hAnsi="Arial"/>
          <w:color w:val="1E293B"/>
        </w:rPr>
        <w:t xml:space="preserve"> : Plus de 45 000 salariés traversent chaque jour Nice pour travailler à Monaco (sources INSEE/SCT), constituant un bassin d'emploi unique à irriguer par l'IA.</w:t>
      </w:r>
    </w:p>
    <w:p>
      <w:pPr>
        <w:pStyle w:val="ListBullet"/>
        <w:spacing w:before="40" w:after="100" w:line="276" w:lineRule="auto"/>
        <w:ind w:left="504"/>
      </w:pPr>
      <w:r>
        <w:rPr>
          <w:rFonts w:ascii="Arial" w:hAnsi="Arial"/>
          <w:b/>
          <w:color w:val="0F172A"/>
        </w:rPr>
        <w:t>Une filière IA spécialisée en plein essor à décupler</w:t>
      </w:r>
      <w:r>
        <w:rPr>
          <w:rFonts w:ascii="Arial" w:hAnsi="Arial"/>
          <w:color w:val="1E293B"/>
        </w:rPr>
        <w:t xml:space="preserve"> : ~86 établissements pionniers et ~800 emplois directs IA dans le 06 (étude CCI). Un socle solide qui ne demande qu'à être amplifié et structuré pour passer à l'échelle métropolitaine.</w:t>
      </w:r>
    </w:p>
    <w:p>
      <w:pPr>
        <w:pStyle w:val="ListBullet"/>
        <w:spacing w:before="40" w:after="100" w:line="276" w:lineRule="auto"/>
        <w:ind w:left="504"/>
      </w:pPr>
      <w:r>
        <w:rPr>
          <w:rFonts w:ascii="Arial" w:hAnsi="Arial"/>
          <w:b/>
          <w:color w:val="0F172A"/>
        </w:rPr>
        <w:t>Le verrou électrique &amp; contrainte foncière</w:t>
      </w:r>
      <w:r>
        <w:rPr>
          <w:rFonts w:ascii="Arial" w:hAnsi="Arial"/>
          <w:color w:val="1E293B"/>
        </w:rPr>
        <w:t xml:space="preserve"> : Extrémité d'une « presqu'île électrique » vulnérable (coupure de 2009 ; RTE 2025 saturé), imposant la doctrine de l'IA frugale par nécessité.</w:t>
      </w:r>
    </w:p>
    <w:p>
      <w:pPr>
        <w:pStyle w:val="Heading2"/>
        <w:keepNext/>
        <w:spacing w:before="280" w:after="120"/>
      </w:pPr>
      <w:r>
        <w:rPr>
          <w:rFonts w:ascii="Georgia" w:hAnsi="Georgia"/>
          <w:b/>
          <w:color w:val="1E3A8A"/>
          <w:sz w:val="25"/>
        </w:rPr>
        <w:t>1.5 L'Opportunité Historique : 30 Md€ UE &amp; 7 AI Gigafactories</w:t>
      </w:r>
    </w:p>
    <w:p>
      <w:pPr>
        <w:pStyle w:val="ListBullet"/>
        <w:spacing w:before="40" w:after="100" w:line="276" w:lineRule="auto"/>
        <w:ind w:left="504"/>
      </w:pPr>
      <w:r>
        <w:rPr>
          <w:rFonts w:ascii="Arial" w:hAnsi="Arial"/>
          <w:b/>
          <w:color w:val="0F172A"/>
        </w:rPr>
        <w:t>L'Appel d'Offres Européen</w:t>
      </w:r>
      <w:r>
        <w:rPr>
          <w:rFonts w:ascii="Arial" w:hAnsi="Arial"/>
          <w:color w:val="1E293B"/>
        </w:rPr>
        <w:t xml:space="preserve"> : Le </w:t>
      </w:r>
      <w:r>
        <w:rPr>
          <w:rFonts w:ascii="Arial" w:hAnsi="Arial"/>
          <w:b/>
          <w:color w:val="0F172A"/>
        </w:rPr>
        <w:t>30 juillet 2026</w:t>
      </w:r>
      <w:r>
        <w:rPr>
          <w:rFonts w:ascii="Arial" w:hAnsi="Arial"/>
          <w:color w:val="1E293B"/>
        </w:rPr>
        <w:t xml:space="preserve">, la Commission Européenne a lancé un appel d'offres historique de </w:t>
      </w:r>
      <w:r>
        <w:rPr>
          <w:rFonts w:ascii="Arial" w:hAnsi="Arial"/>
          <w:b/>
          <w:color w:val="0F172A"/>
        </w:rPr>
        <w:t>30 milliards d'euros</w:t>
      </w:r>
      <w:r>
        <w:rPr>
          <w:rFonts w:ascii="Arial" w:hAnsi="Arial"/>
          <w:color w:val="1E293B"/>
        </w:rPr>
        <w:t xml:space="preserve"> pour bâtir </w:t>
      </w:r>
      <w:r>
        <w:rPr>
          <w:rFonts w:ascii="Arial" w:hAnsi="Arial"/>
          <w:b/>
          <w:color w:val="0F172A"/>
        </w:rPr>
        <w:t>7 AI Gigafactories</w:t>
      </w:r>
      <w:r>
        <w:rPr>
          <w:rFonts w:ascii="Arial" w:hAnsi="Arial"/>
          <w:color w:val="1E293B"/>
        </w:rPr>
        <w:t xml:space="preserve"> en Europe.</w:t>
      </w:r>
    </w:p>
    <w:p>
      <w:pPr>
        <w:pStyle w:val="ListBullet"/>
        <w:spacing w:before="40" w:after="100" w:line="276" w:lineRule="auto"/>
        <w:ind w:left="504"/>
      </w:pPr>
      <w:r>
        <w:rPr>
          <w:rFonts w:ascii="Arial" w:hAnsi="Arial"/>
          <w:b/>
          <w:color w:val="0F172A"/>
        </w:rPr>
        <w:t>Lot 1 — Subvention directe UE de 500 M€</w:t>
      </w:r>
      <w:r>
        <w:rPr>
          <w:rFonts w:ascii="Arial" w:hAnsi="Arial"/>
          <w:color w:val="1E293B"/>
        </w:rPr>
        <w:t xml:space="preserve"> par site pour co-financer un supercalculateur d'IA souverain.</w:t>
      </w:r>
    </w:p>
    <w:p>
      <w:pPr>
        <w:pStyle w:val="ListBullet"/>
        <w:spacing w:before="40" w:after="100" w:line="276" w:lineRule="auto"/>
        <w:ind w:left="504"/>
      </w:pPr>
      <w:r>
        <w:rPr>
          <w:rFonts w:ascii="Arial" w:hAnsi="Arial"/>
          <w:b/>
          <w:color w:val="0F172A"/>
        </w:rPr>
        <w:t>Le levier Nice-Monaco</w:t>
      </w:r>
      <w:r>
        <w:rPr>
          <w:rFonts w:ascii="Arial" w:hAnsi="Arial"/>
          <w:color w:val="1E293B"/>
        </w:rPr>
        <w:t xml:space="preserve"> : Candidature binationale transfrontalière unique associant Nice (Plaine du Var / 3IA), Monaco (fonds souverains / Monaco Cloud) et Sophia Antipolis.</w:t>
      </w:r>
    </w:p>
    <w:p>
      <w:pPr>
        <w:pStyle w:val="ListBullet"/>
        <w:spacing w:before="40" w:after="100" w:line="276" w:lineRule="auto"/>
        <w:ind w:left="504"/>
      </w:pPr>
      <w:r>
        <w:rPr>
          <w:rFonts w:ascii="Arial" w:hAnsi="Arial"/>
          <w:b/>
          <w:color w:val="0F172A"/>
        </w:rPr>
        <w:t>Montage mixte à 1,5 Md€</w:t>
      </w:r>
      <w:r>
        <w:rPr>
          <w:rFonts w:ascii="Arial" w:hAnsi="Arial"/>
          <w:color w:val="1E293B"/>
        </w:rPr>
        <w:t xml:space="preserve"> : 500 M€ subvention UE + 300 M€ fonds publics + 700 M€ investisseurs privés.</w:t>
      </w:r>
    </w:p>
    <w:p>
      <w:pPr>
        <w:pStyle w:val="ListBullet"/>
        <w:spacing w:before="40" w:after="100" w:line="276" w:lineRule="auto"/>
        <w:ind w:left="504"/>
      </w:pPr>
      <w:r>
        <w:rPr>
          <w:rFonts w:ascii="Arial" w:hAnsi="Arial"/>
          <w:b/>
          <w:color w:val="0F172A"/>
        </w:rPr>
        <w:t>Calendrier couperet</w:t>
      </w:r>
      <w:r>
        <w:rPr>
          <w:rFonts w:ascii="Arial" w:hAnsi="Arial"/>
          <w:color w:val="1E293B"/>
        </w:rPr>
        <w:t xml:space="preserve"> : Dépôt du dossier de candidature avant le </w:t>
      </w:r>
      <w:r>
        <w:rPr>
          <w:rFonts w:ascii="Arial" w:hAnsi="Arial"/>
          <w:b/>
          <w:color w:val="0F172A"/>
        </w:rPr>
        <w:t>12 novembre 2026</w:t>
      </w:r>
      <w:r>
        <w:rPr>
          <w:rFonts w:ascii="Arial" w:hAnsi="Arial"/>
          <w:color w:val="1E293B"/>
        </w:rPr>
        <w:t>.</w:t>
      </w:r>
    </w:p>
    <w:p>
      <w:pPr>
        <w:pStyle w:val="Heading2"/>
        <w:keepNext/>
        <w:spacing w:before="280" w:after="120"/>
      </w:pPr>
      <w:r>
        <w:rPr>
          <w:rFonts w:ascii="Georgia" w:hAnsi="Georgia"/>
          <w:b/>
          <w:color w:val="1E3A8A"/>
          <w:sz w:val="25"/>
        </w:rPr>
        <w:t>1.6 Structuration Opérationnelle &amp; Capture des Subventions</w:t>
      </w:r>
    </w:p>
    <w:p>
      <w:pPr>
        <w:pStyle w:val="ListBullet"/>
        <w:spacing w:before="40" w:after="100" w:line="276" w:lineRule="auto"/>
        <w:ind w:left="504"/>
      </w:pPr>
      <w:r>
        <w:rPr>
          <w:rFonts w:ascii="Arial" w:hAnsi="Arial"/>
          <w:b/>
          <w:color w:val="0F172A"/>
        </w:rPr>
        <w:t>Méthodologie d'Action</w:t>
      </w:r>
      <w:r>
        <w:rPr>
          <w:rFonts w:ascii="Arial" w:hAnsi="Arial"/>
          <w:color w:val="1E293B"/>
        </w:rPr>
        <w:t xml:space="preserve"> : Pour transformer cette ambition en victoires financières, l'approche est structurée immédiatement selon 4 actions de frappe :</w:t>
      </w:r>
    </w:p>
    <w:p>
      <w:pPr>
        <w:pStyle w:val="ListBullet"/>
        <w:spacing w:before="40" w:after="100" w:line="276" w:lineRule="auto"/>
        <w:ind w:left="504"/>
      </w:pPr>
      <w:r>
        <w:rPr>
          <w:rFonts w:ascii="Arial" w:hAnsi="Arial"/>
          <w:b/>
          <w:color w:val="0F172A"/>
        </w:rPr>
        <w:t>1. Bureau de Candidature Binationale</w:t>
      </w:r>
      <w:r>
        <w:rPr>
          <w:rFonts w:ascii="Arial" w:hAnsi="Arial"/>
          <w:color w:val="1E293B"/>
        </w:rPr>
        <w:t xml:space="preserve"> : Création d'une Task-Force dédiée Nice-Monaco-Sophia pour verrouiller le dossier Gigafactory avant le 12 novembre 2026.</w:t>
      </w:r>
    </w:p>
    <w:p>
      <w:pPr>
        <w:pStyle w:val="ListBullet"/>
        <w:spacing w:before="40" w:after="100" w:line="276" w:lineRule="auto"/>
        <w:ind w:left="504"/>
      </w:pPr>
      <w:r>
        <w:rPr>
          <w:rFonts w:ascii="Arial" w:hAnsi="Arial"/>
          <w:b/>
          <w:color w:val="0F172A"/>
        </w:rPr>
        <w:t>2. Capture des guichets de subvention directes</w:t>
      </w:r>
      <w:r>
        <w:rPr>
          <w:rFonts w:ascii="Arial" w:hAnsi="Arial"/>
          <w:color w:val="1E293B"/>
        </w:rPr>
        <w:t xml:space="preserve"> : Dépôt de dossiers sur Digital Europe (subventions à 50%-70% pour la cyber/IA) et Horizon Europe Cluster 3 (100% pour la sécurité urbaine).</w:t>
      </w:r>
    </w:p>
    <w:p>
      <w:pPr>
        <w:pStyle w:val="ListBullet"/>
        <w:spacing w:before="40" w:after="100" w:line="276" w:lineRule="auto"/>
        <w:ind w:left="504"/>
      </w:pPr>
      <w:r>
        <w:rPr>
          <w:rFonts w:ascii="Arial" w:hAnsi="Arial"/>
          <w:b/>
          <w:color w:val="0F172A"/>
        </w:rPr>
        <w:t>3. Renoncement à l'hyperscale, affirmation de l’IA frugale</w:t>
      </w:r>
      <w:r>
        <w:rPr>
          <w:rFonts w:ascii="Arial" w:hAnsi="Arial"/>
          <w:color w:val="1E293B"/>
        </w:rPr>
        <w:t xml:space="preserve"> : Sobriété énergétique, sécurité maximale et cas d'usage utiles conforme AI Act.</w:t>
      </w:r>
    </w:p>
    <w:p>
      <w:pPr>
        <w:pStyle w:val="ListBullet"/>
        <w:spacing w:before="40" w:after="100" w:line="276" w:lineRule="auto"/>
        <w:ind w:left="504"/>
      </w:pPr>
      <w:r>
        <w:rPr>
          <w:rFonts w:ascii="Arial" w:hAnsi="Arial"/>
          <w:b/>
          <w:color w:val="0F172A"/>
        </w:rPr>
        <w:t>4. La Ville client n°1</w:t>
      </w:r>
      <w:r>
        <w:rPr>
          <w:rFonts w:ascii="Arial" w:hAnsi="Arial"/>
          <w:color w:val="1E293B"/>
        </w:rPr>
        <w:t xml:space="preserve"> : Industrialiser 5 cas d'usage municipaux en 24 mois pour faire la preuve de la valeur et ancrer le récit politique de début de mandat.</w:t>
      </w:r>
    </w:p>
    <w:p>
      <w:r>
        <w:br w:type="page"/>
      </w:r>
    </w:p>
    <w:p>
      <w:pPr>
        <w:pStyle w:val="Heading1"/>
        <w:keepNext/>
        <w:spacing w:before="360" w:after="160"/>
      </w:pPr>
      <w:r>
        <w:rPr>
          <w:rFonts w:ascii="Georgia" w:hAnsi="Georgia"/>
          <w:b/>
          <w:color w:val="0F172A"/>
          <w:sz w:val="30"/>
        </w:rPr>
        <w:t>2. Pôle 1 : Axe Ville de Nice (Sécurité &amp; Cadre de Vie)</w:t>
      </w:r>
    </w:p>
    <w:p>
      <w:pPr>
        <w:pStyle w:val="ListBullet"/>
        <w:spacing w:before="40" w:after="100" w:line="276" w:lineRule="auto"/>
        <w:ind w:left="504"/>
      </w:pPr>
      <w:r>
        <w:rPr>
          <w:rFonts w:ascii="Arial" w:hAnsi="Arial"/>
          <w:b/>
          <w:color w:val="0F172A"/>
        </w:rPr>
        <w:t>Objectif Opérationnel</w:t>
      </w:r>
      <w:r>
        <w:rPr>
          <w:rFonts w:ascii="Arial" w:hAnsi="Arial"/>
          <w:color w:val="1E293B"/>
        </w:rPr>
        <w:t xml:space="preserve"> : Le Pôle Ville concentre les applications de l'IA au service direct des Niçois, du cadre de vie et de la tranquillité publique. L'objectif est d'utiliser l'IA comme un accélérateur d'efficacité sur le terrain et de proximité municipale.</w:t>
      </w:r>
    </w:p>
    <w:p>
      <w:pPr>
        <w:pStyle w:val="Heading2"/>
        <w:keepNext/>
        <w:spacing w:before="280" w:after="120"/>
      </w:pPr>
      <w:r>
        <w:rPr>
          <w:rFonts w:ascii="Georgia" w:hAnsi="Georgia"/>
          <w:b/>
          <w:color w:val="1E3A8A"/>
          <w:sz w:val="25"/>
        </w:rPr>
        <w:t>2.1 CSU Augmenté : Moins d'Écrans, Plus de Policiers dans la Rue</w:t>
      </w:r>
    </w:p>
    <w:p>
      <w:pPr>
        <w:pStyle w:val="ListBullet"/>
        <w:spacing w:before="40" w:after="100" w:line="276" w:lineRule="auto"/>
        <w:ind w:left="504"/>
      </w:pPr>
      <w:r>
        <w:rPr>
          <w:rFonts w:ascii="Arial" w:hAnsi="Arial"/>
          <w:b/>
          <w:color w:val="0F172A"/>
        </w:rPr>
        <w:t>Le Constat Opérationnel</w:t>
      </w:r>
      <w:r>
        <w:rPr>
          <w:rFonts w:ascii="Arial" w:hAnsi="Arial"/>
          <w:color w:val="1E293B"/>
        </w:rPr>
        <w:t xml:space="preserve"> : Nice dispose du 1er CSU de France (4 300+ caméras). L'enjeu clé de la Vidéosurveillance Algorithmique (VSA - Art. 10 Loi JOP 2024 / Jurisprudence Conseil d'État 2026) est un </w:t>
      </w:r>
      <w:r>
        <w:rPr>
          <w:rFonts w:ascii="Arial" w:hAnsi="Arial"/>
          <w:b/>
          <w:color w:val="0F172A"/>
        </w:rPr>
        <w:t>changement de doctrine opérationnelle majeur</w:t>
      </w:r>
      <w:r>
        <w:rPr>
          <w:rFonts w:ascii="Arial" w:hAnsi="Arial"/>
          <w:color w:val="1E293B"/>
        </w:rPr>
        <w:t>.</w:t>
      </w:r>
    </w:p>
    <w:p>
      <w:pPr>
        <w:pStyle w:val="ListBullet"/>
        <w:spacing w:before="40" w:after="100" w:line="276" w:lineRule="auto"/>
        <w:ind w:left="504"/>
      </w:pPr>
      <w:r>
        <w:rPr>
          <w:rFonts w:ascii="Arial" w:hAnsi="Arial"/>
          <w:b/>
          <w:color w:val="0F172A"/>
        </w:rPr>
        <w:t>Moins d'agents scotchés devant les écrans</w:t>
      </w:r>
      <w:r>
        <w:rPr>
          <w:rFonts w:ascii="Arial" w:hAnsi="Arial"/>
          <w:color w:val="1E293B"/>
        </w:rPr>
        <w:t xml:space="preserve"> : L'IA effectue le filtrage automatique des flux et ne remonte que les anomalies qualifiées (dépôts sauvages, intrusions, incivilités).</w:t>
      </w:r>
    </w:p>
    <w:p>
      <w:pPr>
        <w:pStyle w:val="ListBullet"/>
        <w:spacing w:before="40" w:after="100" w:line="276" w:lineRule="auto"/>
        <w:ind w:left="504"/>
      </w:pPr>
      <w:r>
        <w:rPr>
          <w:rFonts w:ascii="Arial" w:hAnsi="Arial"/>
          <w:b/>
          <w:color w:val="0F172A"/>
        </w:rPr>
        <w:t>Plus de Policiers Municipaux sur le terrain et dans la rue</w:t>
      </w:r>
      <w:r>
        <w:rPr>
          <w:rFonts w:ascii="Arial" w:hAnsi="Arial"/>
          <w:color w:val="1E293B"/>
        </w:rPr>
        <w:t xml:space="preserve"> : Libération du temps des opérateurs pour réaffecter les effectifs en patrouilles de proximité physiques.</w:t>
      </w:r>
    </w:p>
    <w:p>
      <w:pPr>
        <w:pStyle w:val="ListBullet"/>
        <w:spacing w:before="40" w:after="100" w:line="276" w:lineRule="auto"/>
        <w:ind w:left="504"/>
      </w:pPr>
      <w:r>
        <w:rPr>
          <w:rFonts w:ascii="Arial" w:hAnsi="Arial"/>
          <w:b/>
          <w:color w:val="0F172A"/>
        </w:rPr>
        <w:t>Géolocalisation &amp; Dispatching Intelligent</w:t>
      </w:r>
      <w:r>
        <w:rPr>
          <w:rFonts w:ascii="Arial" w:hAnsi="Arial"/>
          <w:color w:val="1E293B"/>
        </w:rPr>
        <w:t xml:space="preserve"> : Grâce à la géolocalisation en temps réel des patrouilles et équipages de la Police Municipale, le dispatching vers les Niçoises et Niçois dans le besoin se fait de manière ultra-rapide, ciblée et efficace au plus près des appels d'urgence.</w:t>
      </w:r>
    </w:p>
    <w:p>
      <w:pPr>
        <w:pStyle w:val="ListBullet"/>
        <w:spacing w:before="40" w:after="100" w:line="276" w:lineRule="auto"/>
        <w:ind w:left="504"/>
      </w:pPr>
      <w:r>
        <w:rPr>
          <w:rFonts w:ascii="Arial" w:hAnsi="Arial"/>
          <w:b/>
          <w:color w:val="0F172A"/>
        </w:rPr>
        <w:t>Résultat certifié</w:t>
      </w:r>
      <w:r>
        <w:rPr>
          <w:rFonts w:ascii="Arial" w:hAnsi="Arial"/>
          <w:color w:val="1E293B"/>
        </w:rPr>
        <w:t xml:space="preserve"> : Baisse de </w:t>
      </w:r>
      <w:r>
        <w:rPr>
          <w:rFonts w:ascii="Arial" w:hAnsi="Arial"/>
          <w:b/>
          <w:color w:val="0F172A"/>
        </w:rPr>
        <w:t>65 % des incivilités et dégradations</w:t>
      </w:r>
      <w:r>
        <w:rPr>
          <w:rFonts w:ascii="Arial" w:hAnsi="Arial"/>
          <w:color w:val="1E293B"/>
        </w:rPr>
        <w:t xml:space="preserve"> par la fin de l'impunité et la réduction du délai d'intervention de la PM à </w:t>
      </w:r>
      <w:r>
        <w:rPr>
          <w:rFonts w:ascii="Arial" w:hAnsi="Arial"/>
          <w:b/>
          <w:color w:val="0F172A"/>
        </w:rPr>
        <w:t>moins de 6 minutes</w:t>
      </w:r>
      <w:r>
        <w:rPr>
          <w:rFonts w:ascii="Arial" w:hAnsi="Arial"/>
          <w:color w:val="1E293B"/>
        </w:rPr>
        <w:t>.</w:t>
      </w:r>
    </w:p>
    <w:p>
      <w:pPr>
        <w:pStyle w:val="Heading2"/>
        <w:keepNext/>
        <w:spacing w:before="280" w:after="120"/>
      </w:pPr>
      <w:r>
        <w:rPr>
          <w:rFonts w:ascii="Georgia" w:hAnsi="Georgia"/>
          <w:b/>
          <w:color w:val="1E3A8A"/>
          <w:sz w:val="25"/>
        </w:rPr>
        <w:t>2.2 Guichet Vocal Allo Niçois 24/7 : Demandes d'Aide &amp; Sécurité</w:t>
      </w:r>
    </w:p>
    <w:p>
      <w:pPr>
        <w:pStyle w:val="ListBullet"/>
        <w:spacing w:before="40" w:after="100" w:line="276" w:lineRule="auto"/>
        <w:ind w:left="504"/>
      </w:pPr>
      <w:r>
        <w:rPr>
          <w:rFonts w:ascii="Arial" w:hAnsi="Arial"/>
          <w:b/>
          <w:color w:val="0F172A"/>
        </w:rPr>
        <w:t>L'Agent Vocal Souverain</w:t>
      </w:r>
      <w:r>
        <w:rPr>
          <w:rFonts w:ascii="Arial" w:hAnsi="Arial"/>
          <w:color w:val="1E293B"/>
        </w:rPr>
        <w:t xml:space="preserve"> : Mise en place d'un agent vocal souverain basé sur un modèle de langage local dédié aux citoyens niçois et aux aînés.</w:t>
      </w:r>
    </w:p>
    <w:p>
      <w:pPr>
        <w:pStyle w:val="ListBullet"/>
        <w:spacing w:before="40" w:after="100" w:line="276" w:lineRule="auto"/>
        <w:ind w:left="504"/>
      </w:pPr>
      <w:r>
        <w:rPr>
          <w:rFonts w:ascii="Arial" w:hAnsi="Arial"/>
          <w:b/>
          <w:color w:val="0F172A"/>
        </w:rPr>
        <w:t>Disponibilité 24h/24 et 7j/7</w:t>
      </w:r>
      <w:r>
        <w:rPr>
          <w:rFonts w:ascii="Arial" w:hAnsi="Arial"/>
          <w:color w:val="1E293B"/>
        </w:rPr>
        <w:t xml:space="preserve"> : Prise en charge immédiate des </w:t>
      </w:r>
      <w:r>
        <w:rPr>
          <w:rFonts w:ascii="Arial" w:hAnsi="Arial"/>
          <w:b/>
          <w:color w:val="0F172A"/>
        </w:rPr>
        <w:t>demandes d'aide d'urgence sociale</w:t>
      </w:r>
      <w:r>
        <w:rPr>
          <w:rFonts w:ascii="Arial" w:hAnsi="Arial"/>
          <w:color w:val="1E293B"/>
        </w:rPr>
        <w:t xml:space="preserve">, des </w:t>
      </w:r>
      <w:r>
        <w:rPr>
          <w:rFonts w:ascii="Arial" w:hAnsi="Arial"/>
          <w:b/>
          <w:color w:val="0F172A"/>
        </w:rPr>
        <w:t>signalements de sécurité et de proximité</w:t>
      </w:r>
      <w:r>
        <w:rPr>
          <w:rFonts w:ascii="Arial" w:hAnsi="Arial"/>
          <w:color w:val="1E293B"/>
        </w:rPr>
        <w:t xml:space="preserve"> et des démarches administratives.</w:t>
      </w:r>
    </w:p>
    <w:p>
      <w:pPr>
        <w:pStyle w:val="ListBullet"/>
        <w:spacing w:before="40" w:after="100" w:line="276" w:lineRule="auto"/>
        <w:ind w:left="504"/>
      </w:pPr>
      <w:r>
        <w:rPr>
          <w:rFonts w:ascii="Arial" w:hAnsi="Arial"/>
          <w:b/>
          <w:color w:val="0F172A"/>
        </w:rPr>
        <w:t>Zéro file d'attente</w:t>
      </w:r>
      <w:r>
        <w:rPr>
          <w:rFonts w:ascii="Arial" w:hAnsi="Arial"/>
          <w:color w:val="1E293B"/>
        </w:rPr>
        <w:t xml:space="preserve"> : Traitement instantané de 40 % des appels récurrents, libérant les agents humains pour l'accompagnement social personnalisé et les urgences graves.</w:t>
      </w:r>
    </w:p>
    <w:p>
      <w:pPr>
        <w:pStyle w:val="Heading2"/>
        <w:keepNext/>
        <w:spacing w:before="280" w:after="120"/>
      </w:pPr>
      <w:r>
        <w:rPr>
          <w:rFonts w:ascii="Georgia" w:hAnsi="Georgia"/>
          <w:b/>
          <w:color w:val="1E3A8A"/>
          <w:sz w:val="25"/>
        </w:rPr>
        <w:t>2.3 Propreté Augmentée &amp; Routage Intelligent de la Voie Publique</w:t>
      </w:r>
    </w:p>
    <w:p>
      <w:pPr>
        <w:pStyle w:val="ListBullet"/>
        <w:spacing w:before="40" w:after="100" w:line="276" w:lineRule="auto"/>
        <w:ind w:left="504"/>
      </w:pPr>
      <w:r>
        <w:rPr>
          <w:rFonts w:ascii="Arial" w:hAnsi="Arial"/>
          <w:b/>
          <w:color w:val="0F172A"/>
        </w:rPr>
        <w:t>Capteurs Embarqués VSA</w:t>
      </w:r>
      <w:r>
        <w:rPr>
          <w:rFonts w:ascii="Arial" w:hAnsi="Arial"/>
          <w:color w:val="1E293B"/>
        </w:rPr>
        <w:t xml:space="preserve"> : Caméras embarquées VSA sur les véhicules de propreté urbaine pour cartographier en temps réel l'état des rues.</w:t>
      </w:r>
    </w:p>
    <w:p>
      <w:pPr>
        <w:pStyle w:val="ListBullet"/>
        <w:spacing w:before="40" w:after="100" w:line="276" w:lineRule="auto"/>
        <w:ind w:left="504"/>
      </w:pPr>
      <w:r>
        <w:rPr>
          <w:rFonts w:ascii="Arial" w:hAnsi="Arial"/>
          <w:b/>
          <w:color w:val="0F172A"/>
        </w:rPr>
        <w:t>Détection automatisée</w:t>
      </w:r>
      <w:r>
        <w:rPr>
          <w:rFonts w:ascii="Arial" w:hAnsi="Arial"/>
          <w:color w:val="1E293B"/>
        </w:rPr>
        <w:t xml:space="preserve"> : Identification des corbeilles débordantes, graffitis et dépôts sauvages.</w:t>
      </w:r>
    </w:p>
    <w:p>
      <w:pPr>
        <w:pStyle w:val="ListBullet"/>
        <w:spacing w:before="40" w:after="100" w:line="276" w:lineRule="auto"/>
        <w:ind w:left="504"/>
      </w:pPr>
      <w:r>
        <w:rPr>
          <w:rFonts w:ascii="Arial" w:hAnsi="Arial"/>
          <w:b/>
          <w:color w:val="0F172A"/>
        </w:rPr>
        <w:t>Circuit prédictif</w:t>
      </w:r>
      <w:r>
        <w:rPr>
          <w:rFonts w:ascii="Arial" w:hAnsi="Arial"/>
          <w:color w:val="1E293B"/>
        </w:rPr>
        <w:t xml:space="preserve"> : Routage optimisé des bennes réduisant la consommation de carburant de 18 % et garantissant la résorption des anomalies sous 6 heures.</w:t>
      </w:r>
    </w:p>
    <w:p>
      <w:pPr>
        <w:pStyle w:val="Heading2"/>
        <w:keepNext/>
        <w:spacing w:before="280" w:after="120"/>
      </w:pPr>
      <w:r>
        <w:rPr>
          <w:rFonts w:ascii="Georgia" w:hAnsi="Georgia"/>
          <w:b/>
          <w:color w:val="1E3A8A"/>
          <w:sz w:val="25"/>
        </w:rPr>
        <w:t>2.4 Consultation Directe par Quartier via l'IA Einstein</w:t>
      </w:r>
    </w:p>
    <w:p>
      <w:pPr>
        <w:pStyle w:val="ListBullet"/>
        <w:spacing w:before="40" w:after="100" w:line="276" w:lineRule="auto"/>
        <w:ind w:left="504"/>
      </w:pPr>
      <w:r>
        <w:rPr>
          <w:rFonts w:ascii="Arial" w:hAnsi="Arial"/>
          <w:b/>
          <w:color w:val="0F172A"/>
        </w:rPr>
        <w:t>Démocratie Participative Augmentée</w:t>
      </w:r>
      <w:r>
        <w:rPr>
          <w:rFonts w:ascii="Arial" w:hAnsi="Arial"/>
          <w:color w:val="1E293B"/>
        </w:rPr>
        <w:t xml:space="preserve"> : Déploiement de la plateforme de démocratie participative augmentée par l'</w:t>
      </w:r>
      <w:r>
        <w:rPr>
          <w:rFonts w:ascii="Arial" w:hAnsi="Arial"/>
          <w:b/>
          <w:color w:val="0F172A"/>
        </w:rPr>
        <w:t>IA Einstein</w:t>
      </w:r>
      <w:r>
        <w:rPr>
          <w:rFonts w:ascii="Arial" w:hAnsi="Arial"/>
          <w:color w:val="1E293B"/>
        </w:rPr>
        <w:t xml:space="preserve"> pour consulter les Niçois quartier par quartier.</w:t>
      </w:r>
    </w:p>
    <w:p>
      <w:pPr>
        <w:pStyle w:val="ListBullet"/>
        <w:spacing w:before="40" w:after="100" w:line="276" w:lineRule="auto"/>
        <w:ind w:left="504"/>
      </w:pPr>
      <w:r>
        <w:rPr>
          <w:rFonts w:ascii="Arial" w:hAnsi="Arial"/>
          <w:b/>
          <w:color w:val="0F172A"/>
        </w:rPr>
        <w:t>Ingestion des avis citoyens par quartier</w:t>
      </w:r>
      <w:r>
        <w:rPr>
          <w:rFonts w:ascii="Arial" w:hAnsi="Arial"/>
          <w:color w:val="1E293B"/>
        </w:rPr>
        <w:t xml:space="preserve"> : Analyse sémantique continue des attentes des habitants (Vieux-Nice, Ariane, Moulins, Cimiez, Riquier, etc.).</w:t>
      </w:r>
    </w:p>
    <w:p>
      <w:pPr>
        <w:pStyle w:val="ListBullet"/>
        <w:spacing w:before="40" w:after="100" w:line="276" w:lineRule="auto"/>
        <w:ind w:left="504"/>
      </w:pPr>
      <w:r>
        <w:rPr>
          <w:rFonts w:ascii="Arial" w:hAnsi="Arial"/>
          <w:b/>
          <w:color w:val="0F172A"/>
        </w:rPr>
        <w:t>Cas d'école n°1 — Concertation Réaménagement de Quartier</w:t>
      </w:r>
      <w:r>
        <w:rPr>
          <w:rFonts w:ascii="Arial" w:hAnsi="Arial"/>
          <w:color w:val="1E293B"/>
        </w:rPr>
        <w:t xml:space="preserve"> : Ingestion de 5 000 contributions citoyennes en 48 heures pour dégager les consensus sur la piétonnisation et la sécurité.</w:t>
      </w:r>
    </w:p>
    <w:p>
      <w:pPr>
        <w:pStyle w:val="ListBullet"/>
        <w:spacing w:before="40" w:after="100" w:line="276" w:lineRule="auto"/>
        <w:ind w:left="504"/>
      </w:pPr>
      <w:r>
        <w:rPr>
          <w:rFonts w:ascii="Arial" w:hAnsi="Arial"/>
          <w:b/>
          <w:color w:val="0F172A"/>
        </w:rPr>
        <w:t>Cas d'école n°2 — Restitution Transparente</w:t>
      </w:r>
      <w:r>
        <w:rPr>
          <w:rFonts w:ascii="Arial" w:hAnsi="Arial"/>
          <w:color w:val="1E293B"/>
        </w:rPr>
        <w:t xml:space="preserve"> : Restitution instantanée et cartographiée des priorités d'investissement par quartier, sans filtre bureaucratique.</w:t>
      </w:r>
    </w:p>
    <w:p>
      <w:r>
        <w:br w:type="page"/>
      </w:r>
    </w:p>
    <w:p>
      <w:pPr>
        <w:pStyle w:val="Heading1"/>
        <w:keepNext/>
        <w:spacing w:before="360" w:after="160"/>
      </w:pPr>
      <w:r>
        <w:rPr>
          <w:rFonts w:ascii="Georgia" w:hAnsi="Georgia"/>
          <w:b/>
          <w:color w:val="0F172A"/>
          <w:sz w:val="30"/>
        </w:rPr>
        <w:t>3. Pôle 2 : Axe Métropole Nice Côte d'Azur (Budget, Cyber &amp; Monaco)</w:t>
      </w:r>
    </w:p>
    <w:p>
      <w:pPr>
        <w:pStyle w:val="Heading2"/>
        <w:keepNext/>
        <w:spacing w:before="280" w:after="120"/>
      </w:pPr>
      <w:r>
        <w:rPr>
          <w:rFonts w:ascii="Georgia" w:hAnsi="Georgia"/>
          <w:b/>
          <w:color w:val="1E3A8A"/>
          <w:sz w:val="25"/>
        </w:rPr>
        <w:t>3.1 Audit IA Commande Publique (+2,5 M€ / an Net)</w:t>
      </w:r>
    </w:p>
    <w:p>
      <w:pPr>
        <w:pStyle w:val="ListBullet"/>
        <w:spacing w:before="40" w:after="100" w:line="276" w:lineRule="auto"/>
        <w:ind w:left="504"/>
      </w:pPr>
      <w:r>
        <w:rPr>
          <w:rFonts w:ascii="Arial" w:hAnsi="Arial"/>
          <w:b/>
          <w:color w:val="0F172A"/>
        </w:rPr>
        <w:t>Ingestion des Marchés</w:t>
      </w:r>
      <w:r>
        <w:rPr>
          <w:rFonts w:ascii="Arial" w:hAnsi="Arial"/>
          <w:color w:val="1E293B"/>
        </w:rPr>
        <w:t xml:space="preserve"> : Analyse sémantique à 100 % des factures, devis et BPU sur les </w:t>
      </w:r>
      <w:r>
        <w:rPr>
          <w:rFonts w:ascii="Arial" w:hAnsi="Arial"/>
          <w:b/>
          <w:color w:val="0F172A"/>
        </w:rPr>
        <w:t>300 M€ de commande publique métropolitaine</w:t>
      </w:r>
      <w:r>
        <w:rPr>
          <w:rFonts w:ascii="Arial" w:hAnsi="Arial"/>
          <w:color w:val="1E293B"/>
        </w:rPr>
        <w:t>.</w:t>
      </w:r>
    </w:p>
    <w:p>
      <w:pPr>
        <w:pStyle w:val="ListBullet"/>
        <w:spacing w:before="40" w:after="100" w:line="276" w:lineRule="auto"/>
        <w:ind w:left="504"/>
      </w:pPr>
      <w:r>
        <w:rPr>
          <w:rFonts w:ascii="Arial" w:hAnsi="Arial"/>
          <w:b/>
          <w:color w:val="0F172A"/>
        </w:rPr>
        <w:t>Formule du gain certifié</w:t>
      </w:r>
      <w:r>
        <w:rPr>
          <w:rFonts w:ascii="Arial" w:hAnsi="Arial"/>
          <w:color w:val="1E293B"/>
        </w:rPr>
        <w:t xml:space="preserve"> : Filtrage automatisé de 0,5 % à 2,0 % de doublons, erreurs de facturation et dépassements de bordereaux (Benchmark DGFiP). Sur 300 M€, 0,83 % d'erreurs détectées génère </w:t>
      </w:r>
      <w:r>
        <w:rPr>
          <w:rFonts w:ascii="Arial" w:hAnsi="Arial"/>
          <w:b/>
          <w:color w:val="0F172A"/>
        </w:rPr>
        <w:t>+2,50 M€ / an d'économies nettes certifiées</w:t>
      </w:r>
      <w:r>
        <w:rPr>
          <w:rFonts w:ascii="Arial" w:hAnsi="Arial"/>
          <w:color w:val="1E293B"/>
        </w:rPr>
        <w:t xml:space="preserve"> pour le budget métropolitain.</w:t>
      </w:r>
    </w:p>
    <w:p>
      <w:pPr>
        <w:pStyle w:val="Heading2"/>
        <w:keepNext/>
        <w:spacing w:before="280" w:after="120"/>
      </w:pPr>
      <w:r>
        <w:rPr>
          <w:rFonts w:ascii="Georgia" w:hAnsi="Georgia"/>
          <w:b/>
          <w:color w:val="1E3A8A"/>
          <w:sz w:val="25"/>
        </w:rPr>
        <w:t>3.2 Bouclier Cyber-IA NIS 2 (1,8 M€ à 3 M€ Évités)</w:t>
      </w:r>
    </w:p>
    <w:p>
      <w:pPr>
        <w:pStyle w:val="ListBullet"/>
        <w:spacing w:before="40" w:after="100" w:line="276" w:lineRule="auto"/>
        <w:ind w:left="504"/>
      </w:pPr>
      <w:r>
        <w:rPr>
          <w:rFonts w:ascii="Arial" w:hAnsi="Arial"/>
          <w:b/>
          <w:color w:val="0F172A"/>
        </w:rPr>
        <w:t>Protection Inviolable du CSU</w:t>
      </w:r>
      <w:r>
        <w:rPr>
          <w:rFonts w:ascii="Arial" w:hAnsi="Arial"/>
          <w:color w:val="1E293B"/>
        </w:rPr>
        <w:t xml:space="preserve"> : SOC métropolitain 24/7 armé d'agents IA autonomes et isolation étanche (Air-Gap) du CSU.</w:t>
      </w:r>
    </w:p>
    <w:p>
      <w:pPr>
        <w:pStyle w:val="ListBullet"/>
        <w:spacing w:before="40" w:after="100" w:line="276" w:lineRule="auto"/>
        <w:ind w:left="504"/>
      </w:pPr>
      <w:r>
        <w:rPr>
          <w:rFonts w:ascii="Arial" w:hAnsi="Arial"/>
          <w:b/>
          <w:color w:val="0F172A"/>
        </w:rPr>
        <w:t>Formule du gain certifié</w:t>
      </w:r>
      <w:r>
        <w:rPr>
          <w:rFonts w:ascii="Arial" w:hAnsi="Arial"/>
          <w:color w:val="1E293B"/>
        </w:rPr>
        <w:t xml:space="preserve"> : Évitement des coûts directs et indirects d'une crise de ransomware (interruption des services, reconstruction du SI, audits d'urgence). Benchmark des villes touchées (Marseille, Lille, Caen) : </w:t>
      </w:r>
      <w:r>
        <w:rPr>
          <w:rFonts w:ascii="Arial" w:hAnsi="Arial"/>
          <w:b/>
          <w:color w:val="0F172A"/>
        </w:rPr>
        <w:t>1,8 M€ à 3,0 M€ de sinistre moyen évité par an</w:t>
      </w:r>
      <w:r>
        <w:rPr>
          <w:rFonts w:ascii="Arial" w:hAnsi="Arial"/>
          <w:color w:val="1E293B"/>
        </w:rPr>
        <w:t>.</w:t>
      </w:r>
    </w:p>
    <w:p>
      <w:pPr>
        <w:pStyle w:val="Heading2"/>
        <w:keepNext/>
        <w:spacing w:before="280" w:after="120"/>
      </w:pPr>
      <w:r>
        <w:rPr>
          <w:rFonts w:ascii="Georgia" w:hAnsi="Georgia"/>
          <w:b/>
          <w:color w:val="1E3A8A"/>
          <w:sz w:val="25"/>
        </w:rPr>
        <w:t>3.3 Monaco Cloud &amp; Redondance IT (1,5 M€ à 2,8 M€ / an)</w:t>
      </w:r>
    </w:p>
    <w:p>
      <w:pPr>
        <w:pStyle w:val="ListBullet"/>
        <w:spacing w:before="40" w:after="100" w:line="276" w:lineRule="auto"/>
        <w:ind w:left="504"/>
      </w:pPr>
      <w:r>
        <w:rPr>
          <w:rFonts w:ascii="Arial" w:hAnsi="Arial"/>
          <w:b/>
          <w:color w:val="0F172A"/>
        </w:rPr>
        <w:t>Partenariat d'Hébergement Souverain</w:t>
      </w:r>
      <w:r>
        <w:rPr>
          <w:rFonts w:ascii="Arial" w:hAnsi="Arial"/>
          <w:color w:val="1E293B"/>
        </w:rPr>
        <w:t xml:space="preserve"> : Migration souveraine vers Monaco Cloud (1er Cloud d'État UE certifié AMSN).</w:t>
      </w:r>
    </w:p>
    <w:p>
      <w:pPr>
        <w:pStyle w:val="ListBullet"/>
        <w:spacing w:before="40" w:after="100" w:line="276" w:lineRule="auto"/>
        <w:ind w:left="504"/>
      </w:pPr>
      <w:r>
        <w:rPr>
          <w:rFonts w:ascii="Arial" w:hAnsi="Arial"/>
          <w:b/>
          <w:color w:val="0F172A"/>
        </w:rPr>
        <w:t>Formule du gain certifié</w:t>
      </w:r>
      <w:r>
        <w:rPr>
          <w:rFonts w:ascii="Arial" w:hAnsi="Arial"/>
          <w:color w:val="1E293B"/>
        </w:rPr>
        <w:t xml:space="preserve"> : Réduction directe des coûts de fonctionnement IT (OPEX) de 1,5 M€ à 2,8 M€ / an + </w:t>
      </w:r>
      <w:r>
        <w:rPr>
          <w:rFonts w:ascii="Arial" w:hAnsi="Arial"/>
          <w:b/>
          <w:color w:val="0F172A"/>
        </w:rPr>
        <w:t>8 M€ à 12 M€ d'investissement en capital (CAPEX) évité</w:t>
      </w:r>
      <w:r>
        <w:rPr>
          <w:rFonts w:ascii="Arial" w:hAnsi="Arial"/>
          <w:color w:val="1E293B"/>
        </w:rPr>
        <w:t xml:space="preserve"> par non-construction d’un datacenter métropolitain propre.</w:t>
      </w:r>
    </w:p>
    <w:p>
      <w:r>
        <w:br w:type="page"/>
      </w:r>
    </w:p>
    <w:p>
      <w:pPr>
        <w:pStyle w:val="Heading1"/>
        <w:keepNext/>
        <w:spacing w:before="360" w:after="160"/>
      </w:pPr>
      <w:r>
        <w:rPr>
          <w:rFonts w:ascii="Georgia" w:hAnsi="Georgia"/>
          <w:b/>
          <w:color w:val="0F172A"/>
          <w:sz w:val="30"/>
        </w:rPr>
        <w:t>4. Alliance Binationale Nice-Monaco &amp; Hub Réglementaire</w:t>
      </w:r>
    </w:p>
    <w:p>
      <w:pPr>
        <w:pStyle w:val="Heading2"/>
        <w:keepNext/>
        <w:spacing w:before="280" w:after="120"/>
      </w:pPr>
      <w:r>
        <w:rPr>
          <w:rFonts w:ascii="Georgia" w:hAnsi="Georgia"/>
          <w:b/>
          <w:color w:val="1E3A8A"/>
          <w:sz w:val="25"/>
        </w:rPr>
        <w:t>4.1 Levier Binational : Clé de Voûte des Financements Européens</w:t>
      </w:r>
    </w:p>
    <w:p>
      <w:pPr>
        <w:pStyle w:val="ListBullet"/>
        <w:spacing w:before="40" w:after="100" w:line="276" w:lineRule="auto"/>
        <w:ind w:left="504"/>
      </w:pPr>
      <w:r>
        <w:rPr>
          <w:rFonts w:ascii="Arial" w:hAnsi="Arial"/>
          <w:b/>
          <w:color w:val="0F172A"/>
        </w:rPr>
        <w:t>L'Atout Juridique Binational</w:t>
      </w:r>
      <w:r>
        <w:rPr>
          <w:rFonts w:ascii="Arial" w:hAnsi="Arial"/>
          <w:color w:val="1E293B"/>
        </w:rPr>
        <w:t xml:space="preserve"> : La collaboration binationale avec la Principauté de Monaco n'est pas un simple accord d'affichage, mais le </w:t>
      </w:r>
      <w:r>
        <w:rPr>
          <w:rFonts w:ascii="Arial" w:hAnsi="Arial"/>
          <w:b/>
          <w:color w:val="0F172A"/>
        </w:rPr>
        <w:t>levier juridique et stratégique décisif pour capturer les financements européens</w:t>
      </w:r>
      <w:r>
        <w:rPr>
          <w:rFonts w:ascii="Arial" w:hAnsi="Arial"/>
          <w:color w:val="1E293B"/>
        </w:rPr>
        <w:t>.</w:t>
      </w:r>
    </w:p>
    <w:p>
      <w:pPr>
        <w:pStyle w:val="ListBullet"/>
        <w:spacing w:before="40" w:after="100" w:line="276" w:lineRule="auto"/>
        <w:ind w:left="504"/>
      </w:pPr>
      <w:r>
        <w:rPr>
          <w:rFonts w:ascii="Arial" w:hAnsi="Arial"/>
          <w:b/>
          <w:color w:val="0F172A"/>
        </w:rPr>
        <w:t>Priorité absolue aux projets binationaux transfrontaliers</w:t>
      </w:r>
      <w:r>
        <w:rPr>
          <w:rFonts w:ascii="Arial" w:hAnsi="Arial"/>
          <w:color w:val="1E293B"/>
        </w:rPr>
        <w:t xml:space="preserve"> : Le règlement EuroHPC JU (Lot 1 - 500 M€) et le programme Digital Europe accordent une bonification de note décisive aux dossiers binationaux démontrant une interopérabilité transfrontalière.</w:t>
      </w:r>
    </w:p>
    <w:p>
      <w:pPr>
        <w:pStyle w:val="ListBullet"/>
        <w:spacing w:before="40" w:after="100" w:line="276" w:lineRule="auto"/>
        <w:ind w:left="504"/>
      </w:pPr>
      <w:r>
        <w:rPr>
          <w:rFonts w:ascii="Arial" w:hAnsi="Arial"/>
          <w:b/>
          <w:color w:val="0F172A"/>
        </w:rPr>
        <w:t>Effet levier financier</w:t>
      </w:r>
      <w:r>
        <w:rPr>
          <w:rFonts w:ascii="Arial" w:hAnsi="Arial"/>
          <w:color w:val="1E293B"/>
        </w:rPr>
        <w:t xml:space="preserve"> : L'apport de fonds souverains monégasques (300 M€) sécurise le co-financement privé/public exigé par l'UE pour valider les 500 M€ de subvention directe.</w:t>
      </w:r>
    </w:p>
    <w:p>
      <w:pPr>
        <w:pStyle w:val="Heading2"/>
        <w:keepNext/>
        <w:spacing w:before="280" w:after="120"/>
      </w:pPr>
      <w:r>
        <w:rPr>
          <w:rFonts w:ascii="Georgia" w:hAnsi="Georgia"/>
          <w:b/>
          <w:color w:val="1E3A8A"/>
          <w:sz w:val="25"/>
        </w:rPr>
        <w:t>4.2 Nice, Centre d'Expertise AI Act de Référence pour la France</w:t>
      </w:r>
    </w:p>
    <w:p>
      <w:pPr>
        <w:pStyle w:val="ListBullet"/>
        <w:spacing w:before="40" w:after="100" w:line="276" w:lineRule="auto"/>
        <w:ind w:left="504"/>
      </w:pPr>
      <w:r>
        <w:rPr>
          <w:rFonts w:ascii="Arial" w:hAnsi="Arial"/>
          <w:b/>
          <w:color w:val="0F172A"/>
        </w:rPr>
        <w:t>L'Expertise Réglementaire Nationale</w:t>
      </w:r>
      <w:r>
        <w:rPr>
          <w:rFonts w:ascii="Arial" w:hAnsi="Arial"/>
          <w:color w:val="1E293B"/>
        </w:rPr>
        <w:t xml:space="preserve"> : Nice s'impose comme le </w:t>
      </w:r>
      <w:r>
        <w:rPr>
          <w:rFonts w:ascii="Arial" w:hAnsi="Arial"/>
          <w:b/>
          <w:color w:val="0F172A"/>
        </w:rPr>
        <w:t>centre d'expertise de référence pour LA FRANCE</w:t>
      </w:r>
      <w:r>
        <w:rPr>
          <w:rFonts w:ascii="Arial" w:hAnsi="Arial"/>
          <w:color w:val="1E293B"/>
        </w:rPr>
        <w:t xml:space="preserve"> en matière de conformité et de labellisation AI Act.</w:t>
      </w:r>
    </w:p>
    <w:p>
      <w:pPr>
        <w:pStyle w:val="ListBullet"/>
        <w:spacing w:before="40" w:after="100" w:line="276" w:lineRule="auto"/>
        <w:ind w:left="504"/>
      </w:pPr>
      <w:r>
        <w:rPr>
          <w:rFonts w:ascii="Arial" w:hAnsi="Arial"/>
          <w:b/>
          <w:color w:val="0F172A"/>
        </w:rPr>
        <w:t>Audit et certification pour la France</w:t>
      </w:r>
      <w:r>
        <w:rPr>
          <w:rFonts w:ascii="Arial" w:hAnsi="Arial"/>
          <w:color w:val="1E293B"/>
        </w:rPr>
        <w:t xml:space="preserve"> : Accompagnement des entreprises et collectivités nationales pour valider leurs algorithmes selon le Règlement (UE) 2024/1689.</w:t>
      </w:r>
    </w:p>
    <w:p>
      <w:pPr>
        <w:pStyle w:val="ListBullet"/>
        <w:spacing w:before="40" w:after="100" w:line="276" w:lineRule="auto"/>
        <w:ind w:left="504"/>
      </w:pPr>
      <w:r>
        <w:rPr>
          <w:rFonts w:ascii="Arial" w:hAnsi="Arial"/>
          <w:b/>
          <w:color w:val="0F172A"/>
        </w:rPr>
        <w:t>Hub Incertitude Zéro</w:t>
      </w:r>
      <w:r>
        <w:rPr>
          <w:rFonts w:ascii="Arial" w:hAnsi="Arial"/>
          <w:color w:val="1E293B"/>
        </w:rPr>
        <w:t xml:space="preserve"> : Garantie de sécurité juridique totale pour les PME innovantes.</w:t>
      </w:r>
    </w:p>
    <w:p>
      <w:r>
        <w:br w:type="page"/>
      </w:r>
    </w:p>
    <w:p>
      <w:pPr>
        <w:pStyle w:val="Heading1"/>
        <w:keepNext/>
        <w:spacing w:before="360" w:after="160"/>
      </w:pPr>
      <w:r>
        <w:rPr>
          <w:rFonts w:ascii="Georgia" w:hAnsi="Georgia"/>
          <w:b/>
          <w:color w:val="0F172A"/>
          <w:sz w:val="30"/>
        </w:rPr>
        <w:t>5. Feuille de Route Précise (Sept 2026-2029) &amp; Résumé Annuel</w:t>
      </w:r>
    </w:p>
    <w:p>
      <w:pPr>
        <w:pStyle w:val="Heading2"/>
        <w:keepNext/>
        <w:spacing w:before="280" w:after="120"/>
      </w:pPr>
      <w:r>
        <w:rPr>
          <w:rFonts w:ascii="Georgia" w:hAnsi="Georgia"/>
          <w:b/>
          <w:color w:val="1E3A8A"/>
          <w:sz w:val="25"/>
        </w:rPr>
        <w:t>5.1 Présidence Éric Ciotti &amp; Direction Benoît SIGWALD (2,5j/sem)</w:t>
      </w:r>
    </w:p>
    <w:p>
      <w:pPr>
        <w:pStyle w:val="ListBullet"/>
        <w:spacing w:before="40" w:after="100" w:line="276" w:lineRule="auto"/>
        <w:ind w:left="504"/>
      </w:pPr>
      <w:r>
        <w:rPr>
          <w:rFonts w:ascii="Arial" w:hAnsi="Arial"/>
          <w:b/>
          <w:color w:val="0F172A"/>
        </w:rPr>
        <w:t>Présidence du Comité de Pilotage Métropolitain</w:t>
      </w:r>
      <w:r>
        <w:rPr>
          <w:rFonts w:ascii="Arial" w:hAnsi="Arial"/>
          <w:color w:val="1E293B"/>
        </w:rPr>
        <w:t xml:space="preserve"> : </w:t>
      </w:r>
      <w:r>
        <w:rPr>
          <w:rFonts w:ascii="Arial" w:hAnsi="Arial"/>
          <w:b/>
          <w:color w:val="0F172A"/>
        </w:rPr>
        <w:t>M. Éric Ciotti</w:t>
      </w:r>
      <w:r>
        <w:rPr>
          <w:rFonts w:ascii="Arial" w:hAnsi="Arial"/>
          <w:color w:val="1E293B"/>
        </w:rPr>
        <w:t>, assurant l'arbitrage politique au plus haut niveau et le leadership face aux instances régionales et européennes.</w:t>
      </w:r>
    </w:p>
    <w:p>
      <w:pPr>
        <w:pStyle w:val="ListBullet"/>
        <w:spacing w:before="40" w:after="100" w:line="276" w:lineRule="auto"/>
        <w:ind w:left="504"/>
      </w:pPr>
      <w:r>
        <w:rPr>
          <w:rFonts w:ascii="Arial" w:hAnsi="Arial"/>
          <w:b/>
          <w:color w:val="0F172A"/>
        </w:rPr>
        <w:t>Direction de Projet AMO IA (Temps Partagé)</w:t>
      </w:r>
      <w:r>
        <w:rPr>
          <w:rFonts w:ascii="Arial" w:hAnsi="Arial"/>
          <w:color w:val="1E293B"/>
        </w:rPr>
        <w:t xml:space="preserve"> : </w:t>
      </w:r>
      <w:r>
        <w:rPr>
          <w:rFonts w:ascii="Arial" w:hAnsi="Arial"/>
          <w:b/>
          <w:color w:val="0F172A"/>
        </w:rPr>
        <w:t>M. Benoît SIGWALD</w:t>
      </w:r>
      <w:r>
        <w:rPr>
          <w:rFonts w:ascii="Arial" w:hAnsi="Arial"/>
          <w:color w:val="1E293B"/>
        </w:rPr>
        <w:t xml:space="preserve">, Senior AI Architect. Engagement à </w:t>
      </w:r>
      <w:r>
        <w:rPr>
          <w:rFonts w:ascii="Arial" w:hAnsi="Arial"/>
          <w:b/>
          <w:color w:val="0F172A"/>
        </w:rPr>
        <w:t>2,5 jours par semaine</w:t>
      </w:r>
      <w:r>
        <w:rPr>
          <w:rFonts w:ascii="Arial" w:hAnsi="Arial"/>
          <w:color w:val="1E293B"/>
        </w:rPr>
        <w:t xml:space="preserve">, réduisant la ligne AMO à </w:t>
      </w:r>
      <w:r>
        <w:rPr>
          <w:rFonts w:ascii="Arial" w:hAnsi="Arial"/>
          <w:b/>
          <w:color w:val="0F172A"/>
        </w:rPr>
        <w:t>65 k€ / an</w:t>
      </w:r>
      <w:r>
        <w:rPr>
          <w:rFonts w:ascii="Arial" w:hAnsi="Arial"/>
          <w:color w:val="1E293B"/>
        </w:rPr>
        <w:t xml:space="preserve"> et amenant le budget global à </w:t>
      </w:r>
      <w:r>
        <w:rPr>
          <w:rFonts w:ascii="Arial" w:hAnsi="Arial"/>
          <w:b/>
          <w:color w:val="0F172A"/>
        </w:rPr>
        <w:t>435 k€ / an</w:t>
      </w:r>
      <w:r>
        <w:rPr>
          <w:rFonts w:ascii="Arial" w:hAnsi="Arial"/>
          <w:color w:val="1E293B"/>
        </w:rPr>
        <w:t xml:space="preserve"> (reste à charge net métropolitain : </w:t>
      </w:r>
      <w:r>
        <w:rPr>
          <w:rFonts w:ascii="Arial" w:hAnsi="Arial"/>
          <w:b/>
          <w:color w:val="0F172A"/>
        </w:rPr>
        <w:t>~217 k€ / an</w:t>
      </w:r>
      <w:r>
        <w:rPr>
          <w:rFonts w:ascii="Arial" w:hAnsi="Arial"/>
          <w:color w:val="1E293B"/>
        </w:rPr>
        <w:t>).</w:t>
      </w:r>
    </w:p>
    <w:p>
      <w:pPr>
        <w:pStyle w:val="Heading2"/>
        <w:keepNext/>
        <w:spacing w:before="280" w:after="120"/>
      </w:pPr>
      <w:r>
        <w:rPr>
          <w:rFonts w:ascii="Georgia" w:hAnsi="Georgia"/>
          <w:b/>
          <w:color w:val="1E3A8A"/>
          <w:sz w:val="25"/>
        </w:rPr>
        <w:t>5.2 Échéancier Précis et Jalons par Date (Démarche 1er Septembre 2026)</w:t>
      </w:r>
    </w:p>
    <w:tbl>
      <w:tblPr>
        <w:tblW w:type="auto" w:w="0"/>
        <w:jc w:val="center"/>
        <w:tblLook w:firstColumn="1" w:firstRow="1" w:lastColumn="0" w:lastRow="0" w:noHBand="0" w:noVBand="1" w:val="04A0"/>
      </w:tblPr>
      <w:tblGrid>
        <w:gridCol w:w="2412"/>
        <w:gridCol w:w="2412"/>
        <w:gridCol w:w="2412"/>
        <w:gridCol w:w="2412"/>
      </w:tblGrid>
      <w:tr>
        <w:tc>
          <w:tcPr>
            <w:tcW w:type="dxa" w:w="2412"/>
            <w:shd w:fill="1E293B"/>
          </w:tcPr>
          <w:p>
            <w:pPr>
              <w:spacing w:before="60" w:after="60"/>
            </w:pPr>
            <w:r>
              <w:rPr>
                <w:rFonts w:ascii="Arial" w:hAnsi="Arial"/>
                <w:b/>
                <w:color w:val="FFFFFF"/>
                <w:sz w:val="17"/>
              </w:rPr>
              <w:t>Période &amp; Date Précise</w:t>
            </w:r>
          </w:p>
        </w:tc>
        <w:tc>
          <w:tcPr>
            <w:tcW w:type="dxa" w:w="2412"/>
            <w:shd w:fill="1E293B"/>
          </w:tcPr>
          <w:p>
            <w:pPr>
              <w:spacing w:before="60" w:after="60"/>
            </w:pPr>
            <w:r>
              <w:rPr>
                <w:rFonts w:ascii="Arial" w:hAnsi="Arial"/>
                <w:b/>
                <w:color w:val="FFFFFF"/>
                <w:sz w:val="17"/>
              </w:rPr>
              <w:t>Chantier / Livrable Stratégique</w:t>
            </w:r>
          </w:p>
        </w:tc>
        <w:tc>
          <w:tcPr>
            <w:tcW w:type="dxa" w:w="2412"/>
            <w:shd w:fill="1E293B"/>
          </w:tcPr>
          <w:p>
            <w:pPr>
              <w:spacing w:before="60" w:after="60"/>
            </w:pPr>
            <w:r>
              <w:rPr>
                <w:rFonts w:ascii="Arial" w:hAnsi="Arial"/>
                <w:b/>
                <w:color w:val="FFFFFF"/>
                <w:sz w:val="17"/>
              </w:rPr>
              <w:t>Budget Dédié</w:t>
            </w:r>
          </w:p>
        </w:tc>
        <w:tc>
          <w:tcPr>
            <w:tcW w:type="dxa" w:w="2412"/>
            <w:shd w:fill="1E293B"/>
          </w:tcPr>
          <w:p>
            <w:pPr>
              <w:spacing w:before="60" w:after="60"/>
            </w:pPr>
            <w:r>
              <w:rPr>
                <w:rFonts w:ascii="Arial" w:hAnsi="Arial"/>
                <w:b/>
                <w:color w:val="FFFFFF"/>
                <w:sz w:val="17"/>
              </w:rPr>
              <w:t>Impact &amp; Résultat Attendus</w:t>
            </w:r>
          </w:p>
        </w:tc>
      </w:tr>
      <w:tr>
        <w:tc>
          <w:tcPr>
            <w:tcW w:type="dxa" w:w="2412"/>
            <w:shd w:fill="F8FAFC"/>
          </w:tcPr>
          <w:p>
            <w:pPr>
              <w:spacing w:before="60" w:after="60"/>
            </w:pPr>
            <w:r>
              <w:rPr>
                <w:rFonts w:ascii="Arial" w:hAnsi="Arial"/>
                <w:color w:val="1E293B"/>
                <w:sz w:val="16"/>
              </w:rPr>
              <w:t>1er Septembre 2026</w:t>
            </w:r>
          </w:p>
        </w:tc>
        <w:tc>
          <w:tcPr>
            <w:tcW w:type="dxa" w:w="2412"/>
            <w:shd w:fill="F8FAFC"/>
          </w:tcPr>
          <w:p>
            <w:pPr>
              <w:spacing w:before="60" w:after="60"/>
            </w:pPr>
            <w:r>
              <w:rPr>
                <w:rFonts w:ascii="Arial" w:hAnsi="Arial"/>
                <w:color w:val="1E293B"/>
                <w:sz w:val="16"/>
              </w:rPr>
              <w:t>L1.1 Lancement Pacte &amp; Direction Projet (2.5j/sem)</w:t>
            </w:r>
          </w:p>
        </w:tc>
        <w:tc>
          <w:tcPr>
            <w:tcW w:type="dxa" w:w="2412"/>
            <w:shd w:fill="F8FAFC"/>
          </w:tcPr>
          <w:p>
            <w:pPr>
              <w:spacing w:before="60" w:after="60"/>
            </w:pPr>
            <w:r>
              <w:rPr>
                <w:rFonts w:ascii="Arial" w:hAnsi="Arial"/>
                <w:color w:val="1E293B"/>
                <w:sz w:val="16"/>
              </w:rPr>
              <w:t>16,25 k€</w:t>
            </w:r>
          </w:p>
        </w:tc>
        <w:tc>
          <w:tcPr>
            <w:tcW w:type="dxa" w:w="2412"/>
            <w:shd w:fill="F8FAFC"/>
          </w:tcPr>
          <w:p>
            <w:pPr>
              <w:spacing w:before="60" w:after="60"/>
            </w:pPr>
            <w:r>
              <w:rPr>
                <w:rFonts w:ascii="Arial" w:hAnsi="Arial"/>
                <w:color w:val="1E293B"/>
                <w:sz w:val="16"/>
              </w:rPr>
              <w:t>Cadrage opérationnel &amp; gouvernance.</w:t>
            </w:r>
          </w:p>
        </w:tc>
      </w:tr>
      <w:tr>
        <w:tc>
          <w:tcPr>
            <w:tcW w:type="dxa" w:w="2412"/>
            <w:shd w:fill="FFFFFF"/>
          </w:tcPr>
          <w:p>
            <w:pPr>
              <w:spacing w:before="60" w:after="60"/>
            </w:pPr>
            <w:r>
              <w:rPr>
                <w:rFonts w:ascii="Arial" w:hAnsi="Arial"/>
                <w:color w:val="1E293B"/>
                <w:sz w:val="16"/>
              </w:rPr>
              <w:t>15 Septembre 2026</w:t>
            </w:r>
          </w:p>
        </w:tc>
        <w:tc>
          <w:tcPr>
            <w:tcW w:type="dxa" w:w="2412"/>
            <w:shd w:fill="FFFFFF"/>
          </w:tcPr>
          <w:p>
            <w:pPr>
              <w:spacing w:before="60" w:after="60"/>
            </w:pPr>
            <w:r>
              <w:rPr>
                <w:rFonts w:ascii="Arial" w:hAnsi="Arial"/>
                <w:color w:val="1E293B"/>
                <w:sz w:val="16"/>
              </w:rPr>
              <w:t>L1.2 Bureau Candidature Binationale Gigafactory</w:t>
            </w:r>
          </w:p>
        </w:tc>
        <w:tc>
          <w:tcPr>
            <w:tcW w:type="dxa" w:w="2412"/>
            <w:shd w:fill="FFFFFF"/>
          </w:tcPr>
          <w:p>
            <w:pPr>
              <w:spacing w:before="60" w:after="60"/>
            </w:pPr>
            <w:r>
              <w:rPr>
                <w:rFonts w:ascii="Arial" w:hAnsi="Arial"/>
                <w:color w:val="1E293B"/>
                <w:sz w:val="16"/>
              </w:rPr>
              <w:t>35,00 k€</w:t>
            </w:r>
          </w:p>
        </w:tc>
        <w:tc>
          <w:tcPr>
            <w:tcW w:type="dxa" w:w="2412"/>
            <w:shd w:fill="FFFFFF"/>
          </w:tcPr>
          <w:p>
            <w:pPr>
              <w:spacing w:before="60" w:after="60"/>
            </w:pPr>
            <w:r>
              <w:rPr>
                <w:rFonts w:ascii="Arial" w:hAnsi="Arial"/>
                <w:color w:val="1E293B"/>
                <w:sz w:val="16"/>
              </w:rPr>
              <w:t>Dossier 500 M€ UE co-rédigé Monaco.</w:t>
            </w:r>
          </w:p>
        </w:tc>
      </w:tr>
      <w:tr>
        <w:tc>
          <w:tcPr>
            <w:tcW w:type="dxa" w:w="2412"/>
            <w:shd w:fill="F8FAFC"/>
          </w:tcPr>
          <w:p>
            <w:pPr>
              <w:spacing w:before="60" w:after="60"/>
            </w:pPr>
            <w:r>
              <w:rPr>
                <w:rFonts w:ascii="Arial" w:hAnsi="Arial"/>
                <w:color w:val="1E293B"/>
                <w:sz w:val="16"/>
              </w:rPr>
              <w:t>1er Octobre 2026</w:t>
            </w:r>
          </w:p>
        </w:tc>
        <w:tc>
          <w:tcPr>
            <w:tcW w:type="dxa" w:w="2412"/>
            <w:shd w:fill="F8FAFC"/>
          </w:tcPr>
          <w:p>
            <w:pPr>
              <w:spacing w:before="60" w:after="60"/>
            </w:pPr>
            <w:r>
              <w:rPr>
                <w:rFonts w:ascii="Arial" w:hAnsi="Arial"/>
                <w:color w:val="1E293B"/>
                <w:sz w:val="16"/>
              </w:rPr>
              <w:t>L1.3 Délibération Métropolitaine &amp; AI Act</w:t>
            </w:r>
          </w:p>
        </w:tc>
        <w:tc>
          <w:tcPr>
            <w:tcW w:type="dxa" w:w="2412"/>
            <w:shd w:fill="F8FAFC"/>
          </w:tcPr>
          <w:p>
            <w:pPr>
              <w:spacing w:before="60" w:after="60"/>
            </w:pPr>
            <w:r>
              <w:rPr>
                <w:rFonts w:ascii="Arial" w:hAnsi="Arial"/>
                <w:color w:val="1E293B"/>
                <w:sz w:val="16"/>
              </w:rPr>
              <w:t>20,00 k€</w:t>
            </w:r>
          </w:p>
        </w:tc>
        <w:tc>
          <w:tcPr>
            <w:tcW w:type="dxa" w:w="2412"/>
            <w:shd w:fill="F8FAFC"/>
          </w:tcPr>
          <w:p>
            <w:pPr>
              <w:spacing w:before="60" w:after="60"/>
            </w:pPr>
            <w:r>
              <w:rPr>
                <w:rFonts w:ascii="Arial" w:hAnsi="Arial"/>
                <w:color w:val="1E293B"/>
                <w:sz w:val="16"/>
              </w:rPr>
              <w:t>Vote cadre juridique &amp; éthique.</w:t>
            </w:r>
          </w:p>
        </w:tc>
      </w:tr>
      <w:tr>
        <w:tc>
          <w:tcPr>
            <w:tcW w:type="dxa" w:w="2412"/>
            <w:shd w:fill="FFFFFF"/>
          </w:tcPr>
          <w:p>
            <w:pPr>
              <w:spacing w:before="60" w:after="60"/>
            </w:pPr>
            <w:r>
              <w:rPr>
                <w:rFonts w:ascii="Arial" w:hAnsi="Arial"/>
                <w:color w:val="1E293B"/>
                <w:sz w:val="16"/>
              </w:rPr>
              <w:t>15 Octobre 2026</w:t>
            </w:r>
          </w:p>
        </w:tc>
        <w:tc>
          <w:tcPr>
            <w:tcW w:type="dxa" w:w="2412"/>
            <w:shd w:fill="FFFFFF"/>
          </w:tcPr>
          <w:p>
            <w:pPr>
              <w:spacing w:before="60" w:after="60"/>
            </w:pPr>
            <w:r>
              <w:rPr>
                <w:rFonts w:ascii="Arial" w:hAnsi="Arial"/>
                <w:color w:val="1E293B"/>
                <w:sz w:val="16"/>
              </w:rPr>
              <w:t>L1.4 Audit CSU &amp; Fibre Monaco Cloud</w:t>
            </w:r>
          </w:p>
        </w:tc>
        <w:tc>
          <w:tcPr>
            <w:tcW w:type="dxa" w:w="2412"/>
            <w:shd w:fill="FFFFFF"/>
          </w:tcPr>
          <w:p>
            <w:pPr>
              <w:spacing w:before="60" w:after="60"/>
            </w:pPr>
            <w:r>
              <w:rPr>
                <w:rFonts w:ascii="Arial" w:hAnsi="Arial"/>
                <w:color w:val="1E293B"/>
                <w:sz w:val="16"/>
              </w:rPr>
              <w:t>38,75 k€</w:t>
            </w:r>
          </w:p>
        </w:tc>
        <w:tc>
          <w:tcPr>
            <w:tcW w:type="dxa" w:w="2412"/>
            <w:shd w:fill="FFFFFF"/>
          </w:tcPr>
          <w:p>
            <w:pPr>
              <w:spacing w:before="60" w:after="60"/>
            </w:pPr>
            <w:r>
              <w:rPr>
                <w:rFonts w:ascii="Arial" w:hAnsi="Arial"/>
                <w:color w:val="1E293B"/>
                <w:sz w:val="16"/>
              </w:rPr>
              <w:t>Cahier des charges interconnexion.</w:t>
            </w:r>
          </w:p>
        </w:tc>
      </w:tr>
      <w:tr>
        <w:tc>
          <w:tcPr>
            <w:tcW w:type="dxa" w:w="2412"/>
            <w:shd w:fill="F8FAFC"/>
          </w:tcPr>
          <w:p>
            <w:pPr>
              <w:spacing w:before="60" w:after="60"/>
            </w:pPr>
            <w:r>
              <w:rPr>
                <w:rFonts w:ascii="Arial" w:hAnsi="Arial"/>
                <w:color w:val="1E293B"/>
                <w:sz w:val="16"/>
              </w:rPr>
              <w:t>12 Novembre 2026</w:t>
            </w:r>
          </w:p>
        </w:tc>
        <w:tc>
          <w:tcPr>
            <w:tcW w:type="dxa" w:w="2412"/>
            <w:shd w:fill="F8FAFC"/>
          </w:tcPr>
          <w:p>
            <w:pPr>
              <w:spacing w:before="60" w:after="60"/>
            </w:pPr>
            <w:r>
              <w:rPr>
                <w:rFonts w:ascii="Arial" w:hAnsi="Arial"/>
                <w:color w:val="1E293B"/>
                <w:sz w:val="16"/>
              </w:rPr>
              <w:t>L2.1 Dépôt Dossier Gigafactory UE (COUPERET)</w:t>
            </w:r>
          </w:p>
        </w:tc>
        <w:tc>
          <w:tcPr>
            <w:tcW w:type="dxa" w:w="2412"/>
            <w:shd w:fill="F8FAFC"/>
          </w:tcPr>
          <w:p>
            <w:pPr>
              <w:spacing w:before="60" w:after="60"/>
            </w:pPr>
            <w:r>
              <w:rPr>
                <w:rFonts w:ascii="Arial" w:hAnsi="Arial"/>
                <w:color w:val="1E293B"/>
                <w:sz w:val="16"/>
              </w:rPr>
              <w:t>10,00 k€</w:t>
            </w:r>
          </w:p>
        </w:tc>
        <w:tc>
          <w:tcPr>
            <w:tcW w:type="dxa" w:w="2412"/>
            <w:shd w:fill="F8FAFC"/>
          </w:tcPr>
          <w:p>
            <w:pPr>
              <w:spacing w:before="60" w:after="60"/>
            </w:pPr>
            <w:r>
              <w:rPr>
                <w:rFonts w:ascii="Arial" w:hAnsi="Arial"/>
                <w:color w:val="1E293B"/>
                <w:sz w:val="16"/>
              </w:rPr>
              <w:t>Candidature officielle 500 M€ UE.</w:t>
            </w:r>
          </w:p>
        </w:tc>
      </w:tr>
      <w:tr>
        <w:tc>
          <w:tcPr>
            <w:tcW w:type="dxa" w:w="2412"/>
            <w:shd w:fill="FFFFFF"/>
          </w:tcPr>
          <w:p>
            <w:pPr>
              <w:spacing w:before="60" w:after="60"/>
            </w:pPr>
            <w:r>
              <w:rPr>
                <w:rFonts w:ascii="Arial" w:hAnsi="Arial"/>
                <w:color w:val="1E293B"/>
                <w:sz w:val="16"/>
              </w:rPr>
              <w:t>15 Décembre 2026</w:t>
            </w:r>
          </w:p>
        </w:tc>
        <w:tc>
          <w:tcPr>
            <w:tcW w:type="dxa" w:w="2412"/>
            <w:shd w:fill="FFFFFF"/>
          </w:tcPr>
          <w:p>
            <w:pPr>
              <w:spacing w:before="60" w:after="60"/>
            </w:pPr>
            <w:r>
              <w:rPr>
                <w:rFonts w:ascii="Arial" w:hAnsi="Arial"/>
                <w:color w:val="1E293B"/>
                <w:sz w:val="16"/>
              </w:rPr>
              <w:t>L2.2 Filtrage VSA CSU (4 300 caméras)</w:t>
            </w:r>
          </w:p>
        </w:tc>
        <w:tc>
          <w:tcPr>
            <w:tcW w:type="dxa" w:w="2412"/>
            <w:shd w:fill="FFFFFF"/>
          </w:tcPr>
          <w:p>
            <w:pPr>
              <w:spacing w:before="60" w:after="60"/>
            </w:pPr>
            <w:r>
              <w:rPr>
                <w:rFonts w:ascii="Arial" w:hAnsi="Arial"/>
                <w:color w:val="1E293B"/>
                <w:sz w:val="16"/>
              </w:rPr>
              <w:t>55,00 k€</w:t>
            </w:r>
          </w:p>
        </w:tc>
        <w:tc>
          <w:tcPr>
            <w:tcW w:type="dxa" w:w="2412"/>
            <w:shd w:fill="FFFFFF"/>
          </w:tcPr>
          <w:p>
            <w:pPr>
              <w:spacing w:before="60" w:after="60"/>
            </w:pPr>
            <w:r>
              <w:rPr>
                <w:rFonts w:ascii="Arial" w:hAnsi="Arial"/>
                <w:color w:val="1E293B"/>
                <w:sz w:val="16"/>
              </w:rPr>
              <w:t>Alertes incivilités en temps réel.</w:t>
            </w:r>
          </w:p>
        </w:tc>
      </w:tr>
      <w:tr>
        <w:tc>
          <w:tcPr>
            <w:tcW w:type="dxa" w:w="2412"/>
            <w:shd w:fill="F8FAFC"/>
          </w:tcPr>
          <w:p>
            <w:pPr>
              <w:spacing w:before="60" w:after="60"/>
            </w:pPr>
            <w:r>
              <w:rPr>
                <w:rFonts w:ascii="Arial" w:hAnsi="Arial"/>
                <w:color w:val="1E293B"/>
                <w:sz w:val="16"/>
              </w:rPr>
              <w:t>15 Janvier 2027</w:t>
            </w:r>
          </w:p>
        </w:tc>
        <w:tc>
          <w:tcPr>
            <w:tcW w:type="dxa" w:w="2412"/>
            <w:shd w:fill="F8FAFC"/>
          </w:tcPr>
          <w:p>
            <w:pPr>
              <w:spacing w:before="60" w:after="60"/>
            </w:pPr>
            <w:r>
              <w:rPr>
                <w:rFonts w:ascii="Arial" w:hAnsi="Arial"/>
                <w:color w:val="1E293B"/>
                <w:sz w:val="16"/>
              </w:rPr>
              <w:t>L2.3 Géolocalisation &amp; Dispatching PM</w:t>
            </w:r>
          </w:p>
        </w:tc>
        <w:tc>
          <w:tcPr>
            <w:tcW w:type="dxa" w:w="2412"/>
            <w:shd w:fill="F8FAFC"/>
          </w:tcPr>
          <w:p>
            <w:pPr>
              <w:spacing w:before="60" w:after="60"/>
            </w:pPr>
            <w:r>
              <w:rPr>
                <w:rFonts w:ascii="Arial" w:hAnsi="Arial"/>
                <w:color w:val="1E293B"/>
                <w:sz w:val="16"/>
              </w:rPr>
              <w:t>33,75 k€</w:t>
            </w:r>
          </w:p>
        </w:tc>
        <w:tc>
          <w:tcPr>
            <w:tcW w:type="dxa" w:w="2412"/>
            <w:shd w:fill="F8FAFC"/>
          </w:tcPr>
          <w:p>
            <w:pPr>
              <w:spacing w:before="60" w:after="60"/>
            </w:pPr>
            <w:r>
              <w:rPr>
                <w:rFonts w:ascii="Arial" w:hAnsi="Arial"/>
                <w:color w:val="1E293B"/>
                <w:sz w:val="16"/>
              </w:rPr>
              <w:t>Patrouilles physiques &lt; 6 min.</w:t>
            </w:r>
          </w:p>
        </w:tc>
      </w:tr>
      <w:tr>
        <w:tc>
          <w:tcPr>
            <w:tcW w:type="dxa" w:w="2412"/>
            <w:shd w:fill="FFFFFF"/>
          </w:tcPr>
          <w:p>
            <w:pPr>
              <w:spacing w:before="60" w:after="60"/>
            </w:pPr>
            <w:r>
              <w:rPr>
                <w:rFonts w:ascii="Arial" w:hAnsi="Arial"/>
                <w:color w:val="1E293B"/>
                <w:sz w:val="16"/>
              </w:rPr>
              <w:t>1er Février 2027</w:t>
            </w:r>
          </w:p>
        </w:tc>
        <w:tc>
          <w:tcPr>
            <w:tcW w:type="dxa" w:w="2412"/>
            <w:shd w:fill="FFFFFF"/>
          </w:tcPr>
          <w:p>
            <w:pPr>
              <w:spacing w:before="60" w:after="60"/>
            </w:pPr>
            <w:r>
              <w:rPr>
                <w:rFonts w:ascii="Arial" w:hAnsi="Arial"/>
                <w:color w:val="1E293B"/>
                <w:sz w:val="16"/>
              </w:rPr>
              <w:t>L2.4 Ingestion Marchés Publics (Pilote 50M€)</w:t>
            </w:r>
          </w:p>
        </w:tc>
        <w:tc>
          <w:tcPr>
            <w:tcW w:type="dxa" w:w="2412"/>
            <w:shd w:fill="FFFFFF"/>
          </w:tcPr>
          <w:p>
            <w:pPr>
              <w:spacing w:before="60" w:after="60"/>
            </w:pPr>
            <w:r>
              <w:rPr>
                <w:rFonts w:ascii="Arial" w:hAnsi="Arial"/>
                <w:color w:val="1E293B"/>
                <w:sz w:val="16"/>
              </w:rPr>
              <w:t>16,25 k€</w:t>
            </w:r>
          </w:p>
        </w:tc>
        <w:tc>
          <w:tcPr>
            <w:tcW w:type="dxa" w:w="2412"/>
            <w:shd w:fill="FFFFFF"/>
          </w:tcPr>
          <w:p>
            <w:pPr>
              <w:spacing w:before="60" w:after="60"/>
            </w:pPr>
            <w:r>
              <w:rPr>
                <w:rFonts w:ascii="Arial" w:hAnsi="Arial"/>
                <w:color w:val="1E293B"/>
                <w:sz w:val="16"/>
              </w:rPr>
              <w:t>Ingénierie &amp; recettes sémantiques.</w:t>
            </w:r>
          </w:p>
        </w:tc>
      </w:tr>
      <w:tr>
        <w:tc>
          <w:tcPr>
            <w:tcW w:type="dxa" w:w="2412"/>
            <w:shd w:fill="F8FAFC"/>
          </w:tcPr>
          <w:p>
            <w:pPr>
              <w:spacing w:before="60" w:after="60"/>
            </w:pPr>
            <w:r>
              <w:rPr>
                <w:rFonts w:ascii="Arial" w:hAnsi="Arial"/>
                <w:color w:val="1E293B"/>
                <w:sz w:val="16"/>
              </w:rPr>
              <w:t>15 Mars 2027</w:t>
            </w:r>
          </w:p>
        </w:tc>
        <w:tc>
          <w:tcPr>
            <w:tcW w:type="dxa" w:w="2412"/>
            <w:shd w:fill="F8FAFC"/>
          </w:tcPr>
          <w:p>
            <w:pPr>
              <w:spacing w:before="60" w:after="60"/>
            </w:pPr>
            <w:r>
              <w:rPr>
                <w:rFonts w:ascii="Arial" w:hAnsi="Arial"/>
                <w:color w:val="1E293B"/>
                <w:sz w:val="16"/>
              </w:rPr>
              <w:t>L3.1 Audit Commande Publique Généralisé (300M€)</w:t>
            </w:r>
          </w:p>
        </w:tc>
        <w:tc>
          <w:tcPr>
            <w:tcW w:type="dxa" w:w="2412"/>
            <w:shd w:fill="F8FAFC"/>
          </w:tcPr>
          <w:p>
            <w:pPr>
              <w:spacing w:before="60" w:after="60"/>
            </w:pPr>
            <w:r>
              <w:rPr>
                <w:rFonts w:ascii="Arial" w:hAnsi="Arial"/>
                <w:color w:val="1E293B"/>
                <w:sz w:val="16"/>
              </w:rPr>
              <w:t>45,00 k€</w:t>
            </w:r>
          </w:p>
        </w:tc>
        <w:tc>
          <w:tcPr>
            <w:tcW w:type="dxa" w:w="2412"/>
            <w:shd w:fill="F8FAFC"/>
          </w:tcPr>
          <w:p>
            <w:pPr>
              <w:spacing w:before="60" w:after="60"/>
            </w:pPr>
            <w:r>
              <w:rPr>
                <w:rFonts w:ascii="Arial" w:hAnsi="Arial"/>
                <w:color w:val="1E293B"/>
                <w:sz w:val="16"/>
              </w:rPr>
              <w:t>Filtrage erreurs &amp; doublons BPU.</w:t>
            </w:r>
          </w:p>
        </w:tc>
      </w:tr>
      <w:tr>
        <w:tc>
          <w:tcPr>
            <w:tcW w:type="dxa" w:w="2412"/>
            <w:shd w:fill="FFFFFF"/>
          </w:tcPr>
          <w:p>
            <w:pPr>
              <w:spacing w:before="60" w:after="60"/>
            </w:pPr>
            <w:r>
              <w:rPr>
                <w:rFonts w:ascii="Arial" w:hAnsi="Arial"/>
                <w:color w:val="1E293B"/>
                <w:sz w:val="16"/>
              </w:rPr>
              <w:t>1er Avril 2027</w:t>
            </w:r>
          </w:p>
        </w:tc>
        <w:tc>
          <w:tcPr>
            <w:tcW w:type="dxa" w:w="2412"/>
            <w:shd w:fill="FFFFFF"/>
          </w:tcPr>
          <w:p>
            <w:pPr>
              <w:spacing w:before="60" w:after="60"/>
            </w:pPr>
            <w:r>
              <w:rPr>
                <w:rFonts w:ascii="Arial" w:hAnsi="Arial"/>
                <w:color w:val="1E293B"/>
                <w:sz w:val="16"/>
              </w:rPr>
              <w:t>L3.2 SOC Cyber NIS 2 Autonome Air-Gap</w:t>
            </w:r>
          </w:p>
        </w:tc>
        <w:tc>
          <w:tcPr>
            <w:tcW w:type="dxa" w:w="2412"/>
            <w:shd w:fill="FFFFFF"/>
          </w:tcPr>
          <w:p>
            <w:pPr>
              <w:spacing w:before="60" w:after="60"/>
            </w:pPr>
            <w:r>
              <w:rPr>
                <w:rFonts w:ascii="Arial" w:hAnsi="Arial"/>
                <w:color w:val="1E293B"/>
                <w:sz w:val="16"/>
              </w:rPr>
              <w:t>28,75 k€</w:t>
            </w:r>
          </w:p>
        </w:tc>
        <w:tc>
          <w:tcPr>
            <w:tcW w:type="dxa" w:w="2412"/>
            <w:shd w:fill="FFFFFF"/>
          </w:tcPr>
          <w:p>
            <w:pPr>
              <w:spacing w:before="60" w:after="60"/>
            </w:pPr>
            <w:r>
              <w:rPr>
                <w:rFonts w:ascii="Arial" w:hAnsi="Arial"/>
                <w:color w:val="1E293B"/>
                <w:sz w:val="16"/>
              </w:rPr>
              <w:t>Protection inviolable du CSU.</w:t>
            </w:r>
          </w:p>
        </w:tc>
      </w:tr>
      <w:tr>
        <w:tc>
          <w:tcPr>
            <w:tcW w:type="dxa" w:w="2412"/>
            <w:shd w:fill="F8FAFC"/>
          </w:tcPr>
          <w:p>
            <w:pPr>
              <w:spacing w:before="60" w:after="60"/>
            </w:pPr>
            <w:r>
              <w:rPr>
                <w:rFonts w:ascii="Arial" w:hAnsi="Arial"/>
                <w:color w:val="1E293B"/>
                <w:sz w:val="16"/>
              </w:rPr>
              <w:t>15 Mai 2027</w:t>
            </w:r>
          </w:p>
        </w:tc>
        <w:tc>
          <w:tcPr>
            <w:tcW w:type="dxa" w:w="2412"/>
            <w:shd w:fill="F8FAFC"/>
          </w:tcPr>
          <w:p>
            <w:pPr>
              <w:spacing w:before="60" w:after="60"/>
            </w:pPr>
            <w:r>
              <w:rPr>
                <w:rFonts w:ascii="Arial" w:hAnsi="Arial"/>
                <w:color w:val="1E293B"/>
                <w:sz w:val="16"/>
              </w:rPr>
              <w:t>L3.3 IA Einstein Concertation (1ers Quartiers)</w:t>
            </w:r>
          </w:p>
        </w:tc>
        <w:tc>
          <w:tcPr>
            <w:tcW w:type="dxa" w:w="2412"/>
            <w:shd w:fill="F8FAFC"/>
          </w:tcPr>
          <w:p>
            <w:pPr>
              <w:spacing w:before="60" w:after="60"/>
            </w:pPr>
            <w:r>
              <w:rPr>
                <w:rFonts w:ascii="Arial" w:hAnsi="Arial"/>
                <w:color w:val="1E293B"/>
                <w:sz w:val="16"/>
              </w:rPr>
              <w:t>15,00 k€</w:t>
            </w:r>
          </w:p>
        </w:tc>
        <w:tc>
          <w:tcPr>
            <w:tcW w:type="dxa" w:w="2412"/>
            <w:shd w:fill="F8FAFC"/>
          </w:tcPr>
          <w:p>
            <w:pPr>
              <w:spacing w:before="60" w:after="60"/>
            </w:pPr>
            <w:r>
              <w:rPr>
                <w:rFonts w:ascii="Arial" w:hAnsi="Arial"/>
                <w:color w:val="1E293B"/>
                <w:sz w:val="16"/>
              </w:rPr>
              <w:t>Restitution citoyenne augmentée.</w:t>
            </w:r>
          </w:p>
        </w:tc>
      </w:tr>
      <w:tr>
        <w:tc>
          <w:tcPr>
            <w:tcW w:type="dxa" w:w="2412"/>
            <w:shd w:fill="FFFFFF"/>
          </w:tcPr>
          <w:p>
            <w:pPr>
              <w:spacing w:before="60" w:after="60"/>
            </w:pPr>
            <w:r>
              <w:rPr>
                <w:rFonts w:ascii="Arial" w:hAnsi="Arial"/>
                <w:color w:val="1E293B"/>
                <w:sz w:val="16"/>
              </w:rPr>
              <w:t>15 Juin 2027</w:t>
            </w:r>
          </w:p>
        </w:tc>
        <w:tc>
          <w:tcPr>
            <w:tcW w:type="dxa" w:w="2412"/>
            <w:shd w:fill="FFFFFF"/>
          </w:tcPr>
          <w:p>
            <w:pPr>
              <w:spacing w:before="60" w:after="60"/>
            </w:pPr>
            <w:r>
              <w:rPr>
                <w:rFonts w:ascii="Arial" w:hAnsi="Arial"/>
                <w:color w:val="1E293B"/>
                <w:sz w:val="16"/>
              </w:rPr>
              <w:t>L4.1 Généralisation Audit Commande Publique</w:t>
            </w:r>
          </w:p>
        </w:tc>
        <w:tc>
          <w:tcPr>
            <w:tcW w:type="dxa" w:w="2412"/>
            <w:shd w:fill="FFFFFF"/>
          </w:tcPr>
          <w:p>
            <w:pPr>
              <w:spacing w:before="60" w:after="60"/>
            </w:pPr>
            <w:r>
              <w:rPr>
                <w:rFonts w:ascii="Arial" w:hAnsi="Arial"/>
                <w:color w:val="1E293B"/>
                <w:sz w:val="16"/>
              </w:rPr>
              <w:t>45,00 k€</w:t>
            </w:r>
          </w:p>
        </w:tc>
        <w:tc>
          <w:tcPr>
            <w:tcW w:type="dxa" w:w="2412"/>
            <w:shd w:fill="FFFFFF"/>
          </w:tcPr>
          <w:p>
            <w:pPr>
              <w:spacing w:before="60" w:after="60"/>
            </w:pPr>
            <w:r>
              <w:rPr>
                <w:rFonts w:ascii="Arial" w:hAnsi="Arial"/>
                <w:color w:val="1E293B"/>
                <w:sz w:val="16"/>
              </w:rPr>
              <w:t>Rentrée de +2,5 M€/an certifiés.</w:t>
            </w:r>
          </w:p>
        </w:tc>
      </w:tr>
      <w:tr>
        <w:tc>
          <w:tcPr>
            <w:tcW w:type="dxa" w:w="2412"/>
            <w:shd w:fill="F8FAFC"/>
          </w:tcPr>
          <w:p>
            <w:pPr>
              <w:spacing w:before="60" w:after="60"/>
            </w:pPr>
            <w:r>
              <w:rPr>
                <w:rFonts w:ascii="Arial" w:hAnsi="Arial"/>
                <w:color w:val="1E293B"/>
                <w:sz w:val="16"/>
              </w:rPr>
              <w:t>15 Juillet 2027</w:t>
            </w:r>
          </w:p>
        </w:tc>
        <w:tc>
          <w:tcPr>
            <w:tcW w:type="dxa" w:w="2412"/>
            <w:shd w:fill="F8FAFC"/>
          </w:tcPr>
          <w:p>
            <w:pPr>
              <w:spacing w:before="60" w:after="60"/>
            </w:pPr>
            <w:r>
              <w:rPr>
                <w:rFonts w:ascii="Arial" w:hAnsi="Arial"/>
                <w:color w:val="1E293B"/>
                <w:sz w:val="16"/>
              </w:rPr>
              <w:t>L4.2 Recette Sécurité Monaco Cloud AMSN</w:t>
            </w:r>
          </w:p>
        </w:tc>
        <w:tc>
          <w:tcPr>
            <w:tcW w:type="dxa" w:w="2412"/>
            <w:shd w:fill="F8FAFC"/>
          </w:tcPr>
          <w:p>
            <w:pPr>
              <w:spacing w:before="60" w:after="60"/>
            </w:pPr>
            <w:r>
              <w:rPr>
                <w:rFonts w:ascii="Arial" w:hAnsi="Arial"/>
                <w:color w:val="1E293B"/>
                <w:sz w:val="16"/>
              </w:rPr>
              <w:t>23,75 k€</w:t>
            </w:r>
          </w:p>
        </w:tc>
        <w:tc>
          <w:tcPr>
            <w:tcW w:type="dxa" w:w="2412"/>
            <w:shd w:fill="F8FAFC"/>
          </w:tcPr>
          <w:p>
            <w:pPr>
              <w:spacing w:before="60" w:after="60"/>
            </w:pPr>
            <w:r>
              <w:rPr>
                <w:rFonts w:ascii="Arial" w:hAnsi="Arial"/>
                <w:color w:val="1E293B"/>
                <w:sz w:val="16"/>
              </w:rPr>
              <w:t>Certification Cloud Souverain.</w:t>
            </w:r>
          </w:p>
        </w:tc>
      </w:tr>
      <w:tr>
        <w:tc>
          <w:tcPr>
            <w:tcW w:type="dxa" w:w="2412"/>
            <w:shd w:fill="FFFFFF"/>
          </w:tcPr>
          <w:p>
            <w:pPr>
              <w:spacing w:before="60" w:after="60"/>
            </w:pPr>
            <w:r>
              <w:rPr>
                <w:rFonts w:ascii="Arial" w:hAnsi="Arial"/>
                <w:color w:val="1E293B"/>
                <w:sz w:val="16"/>
              </w:rPr>
              <w:t>31 Août 2027</w:t>
            </w:r>
          </w:p>
        </w:tc>
        <w:tc>
          <w:tcPr>
            <w:tcW w:type="dxa" w:w="2412"/>
            <w:shd w:fill="FFFFFF"/>
          </w:tcPr>
          <w:p>
            <w:pPr>
              <w:spacing w:before="60" w:after="60"/>
            </w:pPr>
            <w:r>
              <w:rPr>
                <w:rFonts w:ascii="Arial" w:hAnsi="Arial"/>
                <w:color w:val="1E293B"/>
                <w:sz w:val="16"/>
              </w:rPr>
              <w:t>L4.3 Bilan Année 1 &amp; Arbitrages Citoyens</w:t>
            </w:r>
          </w:p>
        </w:tc>
        <w:tc>
          <w:tcPr>
            <w:tcW w:type="dxa" w:w="2412"/>
            <w:shd w:fill="FFFFFF"/>
          </w:tcPr>
          <w:p>
            <w:pPr>
              <w:spacing w:before="60" w:after="60"/>
            </w:pPr>
            <w:r>
              <w:rPr>
                <w:rFonts w:ascii="Arial" w:hAnsi="Arial"/>
                <w:color w:val="1E293B"/>
                <w:sz w:val="16"/>
              </w:rPr>
              <w:t>20,00 k€</w:t>
            </w:r>
          </w:p>
        </w:tc>
        <w:tc>
          <w:tcPr>
            <w:tcW w:type="dxa" w:w="2412"/>
            <w:shd w:fill="FFFFFF"/>
          </w:tcPr>
          <w:p>
            <w:pPr>
              <w:spacing w:before="60" w:after="60"/>
            </w:pPr>
            <w:r>
              <w:rPr>
                <w:rFonts w:ascii="Arial" w:hAnsi="Arial"/>
                <w:color w:val="1E293B"/>
                <w:sz w:val="16"/>
              </w:rPr>
              <w:t>+2,5 M€ d'économies &amp; bilan VSA.</w:t>
            </w:r>
          </w:p>
        </w:tc>
      </w:tr>
      <w:tr>
        <w:tc>
          <w:tcPr>
            <w:tcW w:type="dxa" w:w="2412"/>
            <w:shd w:fill="F8FAFC"/>
          </w:tcPr>
          <w:p>
            <w:pPr>
              <w:spacing w:before="60" w:after="60"/>
            </w:pPr>
            <w:r>
              <w:rPr>
                <w:rFonts w:ascii="Arial" w:hAnsi="Arial"/>
                <w:color w:val="1E293B"/>
                <w:sz w:val="16"/>
              </w:rPr>
              <w:t>Sept 2027 — Fév 2028</w:t>
            </w:r>
          </w:p>
        </w:tc>
        <w:tc>
          <w:tcPr>
            <w:tcW w:type="dxa" w:w="2412"/>
            <w:shd w:fill="F8FAFC"/>
          </w:tcPr>
          <w:p>
            <w:pPr>
              <w:spacing w:before="60" w:after="60"/>
            </w:pPr>
            <w:r>
              <w:rPr>
                <w:rFonts w:ascii="Arial" w:hAnsi="Arial"/>
                <w:color w:val="1E293B"/>
                <w:sz w:val="16"/>
              </w:rPr>
              <w:t>L5.1 Guichet Vocal Allo Niçois Séniors 24/7</w:t>
            </w:r>
          </w:p>
        </w:tc>
        <w:tc>
          <w:tcPr>
            <w:tcW w:type="dxa" w:w="2412"/>
            <w:shd w:fill="F8FAFC"/>
          </w:tcPr>
          <w:p>
            <w:pPr>
              <w:spacing w:before="60" w:after="60"/>
            </w:pPr>
            <w:r>
              <w:rPr>
                <w:rFonts w:ascii="Arial" w:hAnsi="Arial"/>
                <w:color w:val="1E293B"/>
                <w:sz w:val="16"/>
              </w:rPr>
              <w:t>85,00 k€</w:t>
            </w:r>
          </w:p>
        </w:tc>
        <w:tc>
          <w:tcPr>
            <w:tcW w:type="dxa" w:w="2412"/>
            <w:shd w:fill="F8FAFC"/>
          </w:tcPr>
          <w:p>
            <w:pPr>
              <w:spacing w:before="60" w:after="60"/>
            </w:pPr>
            <w:r>
              <w:rPr>
                <w:rFonts w:ascii="Arial" w:hAnsi="Arial"/>
                <w:color w:val="1E293B"/>
                <w:sz w:val="16"/>
              </w:rPr>
              <w:t>Assistance 24/7 &amp; d'urgence.</w:t>
            </w:r>
          </w:p>
        </w:tc>
      </w:tr>
      <w:tr>
        <w:tc>
          <w:tcPr>
            <w:tcW w:type="dxa" w:w="2412"/>
            <w:shd w:fill="FFFFFF"/>
          </w:tcPr>
          <w:p>
            <w:pPr>
              <w:spacing w:before="60" w:after="60"/>
            </w:pPr>
            <w:r>
              <w:rPr>
                <w:rFonts w:ascii="Arial" w:hAnsi="Arial"/>
                <w:color w:val="1E293B"/>
                <w:sz w:val="16"/>
              </w:rPr>
              <w:t>Sept 2027 — Fév 2028</w:t>
            </w:r>
          </w:p>
        </w:tc>
        <w:tc>
          <w:tcPr>
            <w:tcW w:type="dxa" w:w="2412"/>
            <w:shd w:fill="FFFFFF"/>
          </w:tcPr>
          <w:p>
            <w:pPr>
              <w:spacing w:before="60" w:after="60"/>
            </w:pPr>
            <w:r>
              <w:rPr>
                <w:rFonts w:ascii="Arial" w:hAnsi="Arial"/>
                <w:color w:val="1E293B"/>
                <w:sz w:val="16"/>
              </w:rPr>
              <w:t>L5.2 VSA Propreté &amp; Routage Bennes</w:t>
            </w:r>
          </w:p>
        </w:tc>
        <w:tc>
          <w:tcPr>
            <w:tcW w:type="dxa" w:w="2412"/>
            <w:shd w:fill="FFFFFF"/>
          </w:tcPr>
          <w:p>
            <w:pPr>
              <w:spacing w:before="60" w:after="60"/>
            </w:pPr>
            <w:r>
              <w:rPr>
                <w:rFonts w:ascii="Arial" w:hAnsi="Arial"/>
                <w:color w:val="1E293B"/>
                <w:sz w:val="16"/>
              </w:rPr>
              <w:t>65,00 k€</w:t>
            </w:r>
          </w:p>
        </w:tc>
        <w:tc>
          <w:tcPr>
            <w:tcW w:type="dxa" w:w="2412"/>
            <w:shd w:fill="FFFFFF"/>
          </w:tcPr>
          <w:p>
            <w:pPr>
              <w:spacing w:before="60" w:after="60"/>
            </w:pPr>
            <w:r>
              <w:rPr>
                <w:rFonts w:ascii="Arial" w:hAnsi="Arial"/>
                <w:color w:val="1E293B"/>
                <w:sz w:val="16"/>
              </w:rPr>
              <w:t>Rues propres &amp; -18% carburant.</w:t>
            </w:r>
          </w:p>
        </w:tc>
      </w:tr>
      <w:tr>
        <w:tc>
          <w:tcPr>
            <w:tcW w:type="dxa" w:w="2412"/>
            <w:shd w:fill="F8FAFC"/>
          </w:tcPr>
          <w:p>
            <w:pPr>
              <w:spacing w:before="60" w:after="60"/>
            </w:pPr>
            <w:r>
              <w:rPr>
                <w:rFonts w:ascii="Arial" w:hAnsi="Arial"/>
                <w:color w:val="1E293B"/>
                <w:sz w:val="16"/>
              </w:rPr>
              <w:t>Mars 2028 — Août 2028</w:t>
            </w:r>
          </w:p>
        </w:tc>
        <w:tc>
          <w:tcPr>
            <w:tcW w:type="dxa" w:w="2412"/>
            <w:shd w:fill="F8FAFC"/>
          </w:tcPr>
          <w:p>
            <w:pPr>
              <w:spacing w:before="60" w:after="60"/>
            </w:pPr>
            <w:r>
              <w:rPr>
                <w:rFonts w:ascii="Arial" w:hAnsi="Arial"/>
                <w:color w:val="1E293B"/>
                <w:sz w:val="16"/>
              </w:rPr>
              <w:t>L6.1 Extension Zone Franche Numérique</w:t>
            </w:r>
          </w:p>
        </w:tc>
        <w:tc>
          <w:tcPr>
            <w:tcW w:type="dxa" w:w="2412"/>
            <w:shd w:fill="F8FAFC"/>
          </w:tcPr>
          <w:p>
            <w:pPr>
              <w:spacing w:before="60" w:after="60"/>
            </w:pPr>
            <w:r>
              <w:rPr>
                <w:rFonts w:ascii="Arial" w:hAnsi="Arial"/>
                <w:color w:val="1E293B"/>
                <w:sz w:val="16"/>
              </w:rPr>
              <w:t>85,00 k€</w:t>
            </w:r>
          </w:p>
        </w:tc>
        <w:tc>
          <w:tcPr>
            <w:tcW w:type="dxa" w:w="2412"/>
            <w:shd w:fill="F8FAFC"/>
          </w:tcPr>
          <w:p>
            <w:pPr>
              <w:spacing w:before="60" w:after="60"/>
            </w:pPr>
            <w:r>
              <w:rPr>
                <w:rFonts w:ascii="Arial" w:hAnsi="Arial"/>
                <w:color w:val="1E293B"/>
                <w:sz w:val="16"/>
              </w:rPr>
              <w:t>Attraction PME &amp; Data Center.</w:t>
            </w:r>
          </w:p>
        </w:tc>
      </w:tr>
      <w:tr>
        <w:tc>
          <w:tcPr>
            <w:tcW w:type="dxa" w:w="2412"/>
            <w:shd w:fill="FFFFFF"/>
          </w:tcPr>
          <w:p>
            <w:pPr>
              <w:spacing w:before="60" w:after="60"/>
            </w:pPr>
            <w:r>
              <w:rPr>
                <w:rFonts w:ascii="Arial" w:hAnsi="Arial"/>
                <w:color w:val="1E293B"/>
                <w:sz w:val="16"/>
              </w:rPr>
              <w:t>Mars 2028 — Août 2028</w:t>
            </w:r>
          </w:p>
        </w:tc>
        <w:tc>
          <w:tcPr>
            <w:tcW w:type="dxa" w:w="2412"/>
            <w:shd w:fill="FFFFFF"/>
          </w:tcPr>
          <w:p>
            <w:pPr>
              <w:spacing w:before="60" w:after="60"/>
            </w:pPr>
            <w:r>
              <w:rPr>
                <w:rFonts w:ascii="Arial" w:hAnsi="Arial"/>
                <w:color w:val="1E293B"/>
                <w:sz w:val="16"/>
              </w:rPr>
              <w:t>L6.2 Concertation Einstein Récurrente</w:t>
            </w:r>
          </w:p>
        </w:tc>
        <w:tc>
          <w:tcPr>
            <w:tcW w:type="dxa" w:w="2412"/>
            <w:shd w:fill="FFFFFF"/>
          </w:tcPr>
          <w:p>
            <w:pPr>
              <w:spacing w:before="60" w:after="60"/>
            </w:pPr>
            <w:r>
              <w:rPr>
                <w:rFonts w:ascii="Arial" w:hAnsi="Arial"/>
                <w:color w:val="1E293B"/>
                <w:sz w:val="16"/>
              </w:rPr>
              <w:t>60,00 k€</w:t>
            </w:r>
          </w:p>
        </w:tc>
        <w:tc>
          <w:tcPr>
            <w:tcW w:type="dxa" w:w="2412"/>
            <w:shd w:fill="FFFFFF"/>
          </w:tcPr>
          <w:p>
            <w:pPr>
              <w:spacing w:before="60" w:after="60"/>
            </w:pPr>
            <w:r>
              <w:rPr>
                <w:rFonts w:ascii="Arial" w:hAnsi="Arial"/>
                <w:color w:val="1E293B"/>
                <w:sz w:val="16"/>
              </w:rPr>
              <w:t>Ingestion avis par quartier.</w:t>
            </w:r>
          </w:p>
        </w:tc>
      </w:tr>
      <w:tr>
        <w:tc>
          <w:tcPr>
            <w:tcW w:type="dxa" w:w="2412"/>
            <w:shd w:fill="F8FAFC"/>
          </w:tcPr>
          <w:p>
            <w:pPr>
              <w:spacing w:before="60" w:after="60"/>
            </w:pPr>
            <w:r>
              <w:rPr>
                <w:rFonts w:ascii="Arial" w:hAnsi="Arial"/>
                <w:color w:val="1E293B"/>
                <w:sz w:val="16"/>
              </w:rPr>
              <w:t>1er Janvier 2029</w:t>
            </w:r>
          </w:p>
        </w:tc>
        <w:tc>
          <w:tcPr>
            <w:tcW w:type="dxa" w:w="2412"/>
            <w:shd w:fill="F8FAFC"/>
          </w:tcPr>
          <w:p>
            <w:pPr>
              <w:spacing w:before="60" w:after="60"/>
            </w:pPr>
            <w:r>
              <w:rPr>
                <w:rFonts w:ascii="Arial" w:hAnsi="Arial"/>
                <w:color w:val="1E293B"/>
                <w:sz w:val="16"/>
              </w:rPr>
              <w:t>L7.1 Supercalculateur AI Gigafactory</w:t>
            </w:r>
          </w:p>
        </w:tc>
        <w:tc>
          <w:tcPr>
            <w:tcW w:type="dxa" w:w="2412"/>
            <w:shd w:fill="F8FAFC"/>
          </w:tcPr>
          <w:p>
            <w:pPr>
              <w:spacing w:before="60" w:after="60"/>
            </w:pPr>
            <w:r>
              <w:rPr>
                <w:rFonts w:ascii="Arial" w:hAnsi="Arial"/>
                <w:color w:val="1E293B"/>
                <w:sz w:val="16"/>
              </w:rPr>
              <w:t>160,00 k€</w:t>
            </w:r>
          </w:p>
        </w:tc>
        <w:tc>
          <w:tcPr>
            <w:tcW w:type="dxa" w:w="2412"/>
            <w:shd w:fill="F8FAFC"/>
          </w:tcPr>
          <w:p>
            <w:pPr>
              <w:spacing w:before="60" w:after="60"/>
            </w:pPr>
            <w:r>
              <w:rPr>
                <w:rFonts w:ascii="Arial" w:hAnsi="Arial"/>
                <w:color w:val="1E293B"/>
                <w:sz w:val="16"/>
              </w:rPr>
              <w:t>Mise en service opérationnelle.</w:t>
            </w:r>
          </w:p>
        </w:tc>
      </w:tr>
      <w:tr>
        <w:tc>
          <w:tcPr>
            <w:tcW w:type="dxa" w:w="2412"/>
            <w:shd w:fill="FFFFFF"/>
          </w:tcPr>
          <w:p>
            <w:pPr>
              <w:spacing w:before="60" w:after="60"/>
            </w:pPr>
            <w:r>
              <w:rPr>
                <w:rFonts w:ascii="Arial" w:hAnsi="Arial"/>
                <w:color w:val="1E293B"/>
                <w:sz w:val="16"/>
              </w:rPr>
              <w:t>Sept 2028 — Août 2029</w:t>
            </w:r>
          </w:p>
        </w:tc>
        <w:tc>
          <w:tcPr>
            <w:tcW w:type="dxa" w:w="2412"/>
            <w:shd w:fill="FFFFFF"/>
          </w:tcPr>
          <w:p>
            <w:pPr>
              <w:spacing w:before="60" w:after="60"/>
            </w:pPr>
            <w:r>
              <w:rPr>
                <w:rFonts w:ascii="Arial" w:hAnsi="Arial"/>
                <w:color w:val="1E293B"/>
                <w:sz w:val="16"/>
              </w:rPr>
              <w:t>L7.2 Industrialisation IA Frugale &amp; Cyber</w:t>
            </w:r>
          </w:p>
        </w:tc>
        <w:tc>
          <w:tcPr>
            <w:tcW w:type="dxa" w:w="2412"/>
            <w:shd w:fill="FFFFFF"/>
          </w:tcPr>
          <w:p>
            <w:pPr>
              <w:spacing w:before="60" w:after="60"/>
            </w:pPr>
            <w:r>
              <w:rPr>
                <w:rFonts w:ascii="Arial" w:hAnsi="Arial"/>
                <w:color w:val="1E293B"/>
                <w:sz w:val="16"/>
              </w:rPr>
              <w:t>170,00 k€</w:t>
            </w:r>
          </w:p>
        </w:tc>
        <w:tc>
          <w:tcPr>
            <w:tcW w:type="dxa" w:w="2412"/>
            <w:shd w:fill="FFFFFF"/>
          </w:tcPr>
          <w:p>
            <w:pPr>
              <w:spacing w:before="60" w:after="60"/>
            </w:pPr>
            <w:r>
              <w:rPr>
                <w:rFonts w:ascii="Arial" w:hAnsi="Arial"/>
                <w:color w:val="1E293B"/>
                <w:sz w:val="16"/>
              </w:rPr>
              <w:t>Pérennisation &amp; Hub AI Act.</w:t>
            </w:r>
          </w:p>
        </w:tc>
      </w:tr>
    </w:tbl>
    <w:p>
      <w:pPr>
        <w:spacing w:after="200"/>
      </w:pPr>
    </w:p>
    <w:p>
      <w:pPr>
        <w:pStyle w:val="Heading2"/>
        <w:keepNext/>
        <w:spacing w:before="280" w:after="120"/>
      </w:pPr>
      <w:r>
        <w:rPr>
          <w:rFonts w:ascii="Georgia" w:hAnsi="Georgia"/>
          <w:b/>
          <w:color w:val="1E3A8A"/>
          <w:sz w:val="25"/>
        </w:rPr>
        <w:t>5.3 Résumé Consolidé du Coût par Année Budgétaire</w:t>
      </w:r>
    </w:p>
    <w:p>
      <w:pPr>
        <w:pStyle w:val="ListBullet"/>
        <w:spacing w:before="40" w:after="100" w:line="276" w:lineRule="auto"/>
        <w:ind w:left="504"/>
      </w:pPr>
      <w:r>
        <w:rPr>
          <w:rFonts w:ascii="Arial" w:hAnsi="Arial"/>
          <w:b/>
          <w:color w:val="0F172A"/>
        </w:rPr>
        <w:t>Rendement Budgétaire Net</w:t>
      </w:r>
      <w:r>
        <w:rPr>
          <w:rFonts w:ascii="Arial" w:hAnsi="Arial"/>
          <w:color w:val="1E293B"/>
        </w:rPr>
        <w:t xml:space="preserve"> : Pour chaque année d'exécution, la dépense brute de </w:t>
      </w:r>
      <w:r>
        <w:rPr>
          <w:rFonts w:ascii="Arial" w:hAnsi="Arial"/>
          <w:b/>
          <w:color w:val="0F172A"/>
        </w:rPr>
        <w:t>435 000 €</w:t>
      </w:r>
      <w:r>
        <w:rPr>
          <w:rFonts w:ascii="Arial" w:hAnsi="Arial"/>
          <w:color w:val="1E293B"/>
        </w:rPr>
        <w:t xml:space="preserve"> est co-financée à 50 % par l'UE, ne laissant que </w:t>
      </w:r>
      <w:r>
        <w:rPr>
          <w:rFonts w:ascii="Arial" w:hAnsi="Arial"/>
          <w:b/>
          <w:color w:val="0F172A"/>
        </w:rPr>
        <w:t>217 500 € net</w:t>
      </w:r>
      <w:r>
        <w:rPr>
          <w:rFonts w:ascii="Arial" w:hAnsi="Arial"/>
          <w:color w:val="1E293B"/>
        </w:rPr>
        <w:t xml:space="preserve"> à la Métropole, face à </w:t>
      </w:r>
      <w:r>
        <w:rPr>
          <w:rFonts w:ascii="Arial" w:hAnsi="Arial"/>
          <w:b/>
          <w:color w:val="0F172A"/>
        </w:rPr>
        <w:t>+2 500 000 € d'économies certifiées</w:t>
      </w:r>
      <w:r>
        <w:rPr>
          <w:rFonts w:ascii="Arial" w:hAnsi="Arial"/>
          <w:color w:val="1E293B"/>
        </w:rPr>
        <w:t xml:space="preserve">, dégageant un bénéfice net réinjecté dans le service public de </w:t>
      </w:r>
      <w:r>
        <w:rPr>
          <w:rFonts w:ascii="Arial" w:hAnsi="Arial"/>
          <w:b/>
          <w:color w:val="0F172A"/>
        </w:rPr>
        <w:t>+2 282 500 € par an</w:t>
      </w:r>
      <w:r>
        <w:rPr>
          <w:rFonts w:ascii="Arial" w:hAnsi="Arial"/>
          <w:color w:val="1E293B"/>
        </w:rPr>
        <w:t>.</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1E293B"/>
          </w:tcPr>
          <w:p>
            <w:pPr>
              <w:spacing w:before="60" w:after="60"/>
            </w:pPr>
            <w:r>
              <w:rPr>
                <w:rFonts w:ascii="Arial" w:hAnsi="Arial"/>
                <w:b/>
                <w:color w:val="FFFFFF"/>
                <w:sz w:val="16"/>
              </w:rPr>
              <w:t>Année Budgétaire</w:t>
            </w:r>
          </w:p>
        </w:tc>
        <w:tc>
          <w:tcPr>
            <w:tcW w:type="dxa" w:w="1378"/>
            <w:shd w:fill="1E293B"/>
          </w:tcPr>
          <w:p>
            <w:pPr>
              <w:spacing w:before="60" w:after="60"/>
            </w:pPr>
            <w:r>
              <w:rPr>
                <w:rFonts w:ascii="Arial" w:hAnsi="Arial"/>
                <w:b/>
                <w:color w:val="FFFFFF"/>
                <w:sz w:val="16"/>
              </w:rPr>
              <w:t>Période Précise de Réalisation</w:t>
            </w:r>
          </w:p>
        </w:tc>
        <w:tc>
          <w:tcPr>
            <w:tcW w:type="dxa" w:w="1378"/>
            <w:shd w:fill="1E293B"/>
          </w:tcPr>
          <w:p>
            <w:pPr>
              <w:spacing w:before="60" w:after="60"/>
            </w:pPr>
            <w:r>
              <w:rPr>
                <w:rFonts w:ascii="Arial" w:hAnsi="Arial"/>
                <w:b/>
                <w:color w:val="FFFFFF"/>
                <w:sz w:val="16"/>
              </w:rPr>
              <w:t>Budget Brut</w:t>
            </w:r>
          </w:p>
        </w:tc>
        <w:tc>
          <w:tcPr>
            <w:tcW w:type="dxa" w:w="1378"/>
            <w:shd w:fill="1E293B"/>
          </w:tcPr>
          <w:p>
            <w:pPr>
              <w:spacing w:before="60" w:after="60"/>
            </w:pPr>
            <w:r>
              <w:rPr>
                <w:rFonts w:ascii="Arial" w:hAnsi="Arial"/>
                <w:b/>
                <w:color w:val="FFFFFF"/>
                <w:sz w:val="16"/>
              </w:rPr>
              <w:t>Co-financement UE (50%)</w:t>
            </w:r>
          </w:p>
        </w:tc>
        <w:tc>
          <w:tcPr>
            <w:tcW w:type="dxa" w:w="1378"/>
            <w:shd w:fill="1E293B"/>
          </w:tcPr>
          <w:p>
            <w:pPr>
              <w:spacing w:before="60" w:after="60"/>
            </w:pPr>
            <w:r>
              <w:rPr>
                <w:rFonts w:ascii="Arial" w:hAnsi="Arial"/>
                <w:b/>
                <w:color w:val="FFFFFF"/>
                <w:sz w:val="16"/>
              </w:rPr>
              <w:t>Reste à Charge Net</w:t>
            </w:r>
          </w:p>
        </w:tc>
        <w:tc>
          <w:tcPr>
            <w:tcW w:type="dxa" w:w="1378"/>
            <w:shd w:fill="1E293B"/>
          </w:tcPr>
          <w:p>
            <w:pPr>
              <w:spacing w:before="60" w:after="60"/>
            </w:pPr>
            <w:r>
              <w:rPr>
                <w:rFonts w:ascii="Arial" w:hAnsi="Arial"/>
                <w:b/>
                <w:color w:val="FFFFFF"/>
                <w:sz w:val="16"/>
              </w:rPr>
              <w:t>Gains Certifiés</w:t>
            </w:r>
          </w:p>
        </w:tc>
        <w:tc>
          <w:tcPr>
            <w:tcW w:type="dxa" w:w="1378"/>
            <w:shd w:fill="1E293B"/>
          </w:tcPr>
          <w:p>
            <w:pPr>
              <w:spacing w:before="60" w:after="60"/>
            </w:pPr>
            <w:r>
              <w:rPr>
                <w:rFonts w:ascii="Arial" w:hAnsi="Arial"/>
                <w:b/>
                <w:color w:val="FFFFFF"/>
                <w:sz w:val="16"/>
              </w:rPr>
              <w:t>Bénéfice Net Métropole</w:t>
            </w:r>
          </w:p>
        </w:tc>
      </w:tr>
      <w:tr>
        <w:tc>
          <w:tcPr>
            <w:tcW w:type="dxa" w:w="1378"/>
            <w:shd w:fill="F8FAFC"/>
          </w:tcPr>
          <w:p>
            <w:pPr>
              <w:spacing w:before="60" w:after="60"/>
            </w:pPr>
            <w:r>
              <w:rPr>
                <w:rFonts w:ascii="Arial" w:hAnsi="Arial"/>
                <w:color w:val="1E293B"/>
                <w:sz w:val="16"/>
              </w:rPr>
              <w:t>ANNÉE 1</w:t>
            </w:r>
          </w:p>
        </w:tc>
        <w:tc>
          <w:tcPr>
            <w:tcW w:type="dxa" w:w="1378"/>
            <w:shd w:fill="F8FAFC"/>
          </w:tcPr>
          <w:p>
            <w:pPr>
              <w:spacing w:before="60" w:after="60"/>
            </w:pPr>
            <w:r>
              <w:rPr>
                <w:rFonts w:ascii="Arial" w:hAnsi="Arial"/>
                <w:color w:val="1E293B"/>
                <w:sz w:val="16"/>
              </w:rPr>
              <w:t>Septembre 2026 — Août 2027</w:t>
            </w:r>
          </w:p>
        </w:tc>
        <w:tc>
          <w:tcPr>
            <w:tcW w:type="dxa" w:w="1378"/>
            <w:shd w:fill="F8FAFC"/>
          </w:tcPr>
          <w:p>
            <w:pPr>
              <w:spacing w:before="60" w:after="60"/>
            </w:pPr>
            <w:r>
              <w:rPr>
                <w:rFonts w:ascii="Arial" w:hAnsi="Arial"/>
                <w:color w:val="1E293B"/>
                <w:sz w:val="16"/>
              </w:rPr>
              <w:t>435 000 €</w:t>
            </w:r>
          </w:p>
        </w:tc>
        <w:tc>
          <w:tcPr>
            <w:tcW w:type="dxa" w:w="1378"/>
            <w:shd w:fill="F8FAFC"/>
          </w:tcPr>
          <w:p>
            <w:pPr>
              <w:spacing w:before="60" w:after="60"/>
            </w:pPr>
            <w:r>
              <w:rPr>
                <w:rFonts w:ascii="Arial" w:hAnsi="Arial"/>
                <w:color w:val="1E293B"/>
                <w:sz w:val="16"/>
              </w:rPr>
              <w:t>217 500 €</w:t>
            </w:r>
          </w:p>
        </w:tc>
        <w:tc>
          <w:tcPr>
            <w:tcW w:type="dxa" w:w="1378"/>
            <w:shd w:fill="F8FAFC"/>
          </w:tcPr>
          <w:p>
            <w:pPr>
              <w:spacing w:before="60" w:after="60"/>
            </w:pPr>
            <w:r>
              <w:rPr>
                <w:rFonts w:ascii="Arial" w:hAnsi="Arial"/>
                <w:color w:val="1E293B"/>
                <w:sz w:val="16"/>
              </w:rPr>
              <w:t>217 500 €</w:t>
            </w:r>
          </w:p>
        </w:tc>
        <w:tc>
          <w:tcPr>
            <w:tcW w:type="dxa" w:w="1378"/>
            <w:shd w:fill="F8FAFC"/>
          </w:tcPr>
          <w:p>
            <w:pPr>
              <w:spacing w:before="60" w:after="60"/>
            </w:pPr>
            <w:r>
              <w:rPr>
                <w:rFonts w:ascii="Arial" w:hAnsi="Arial"/>
                <w:color w:val="1E293B"/>
                <w:sz w:val="16"/>
              </w:rPr>
              <w:t>+2 500 000 €</w:t>
            </w:r>
          </w:p>
        </w:tc>
        <w:tc>
          <w:tcPr>
            <w:tcW w:type="dxa" w:w="1378"/>
            <w:shd w:fill="F8FAFC"/>
          </w:tcPr>
          <w:p>
            <w:pPr>
              <w:spacing w:before="60" w:after="60"/>
            </w:pPr>
            <w:r>
              <w:rPr>
                <w:rFonts w:ascii="Arial" w:hAnsi="Arial"/>
                <w:color w:val="1E293B"/>
                <w:sz w:val="16"/>
              </w:rPr>
              <w:t>+2 282 500 €</w:t>
            </w:r>
          </w:p>
        </w:tc>
      </w:tr>
      <w:tr>
        <w:tc>
          <w:tcPr>
            <w:tcW w:type="dxa" w:w="1378"/>
            <w:shd w:fill="FFFFFF"/>
          </w:tcPr>
          <w:p>
            <w:pPr>
              <w:spacing w:before="60" w:after="60"/>
            </w:pPr>
            <w:r>
              <w:rPr>
                <w:rFonts w:ascii="Arial" w:hAnsi="Arial"/>
                <w:color w:val="1E293B"/>
                <w:sz w:val="16"/>
              </w:rPr>
              <w:t>ANNÉE 2</w:t>
            </w:r>
          </w:p>
        </w:tc>
        <w:tc>
          <w:tcPr>
            <w:tcW w:type="dxa" w:w="1378"/>
            <w:shd w:fill="FFFFFF"/>
          </w:tcPr>
          <w:p>
            <w:pPr>
              <w:spacing w:before="60" w:after="60"/>
            </w:pPr>
            <w:r>
              <w:rPr>
                <w:rFonts w:ascii="Arial" w:hAnsi="Arial"/>
                <w:color w:val="1E293B"/>
                <w:sz w:val="16"/>
              </w:rPr>
              <w:t>Septembre 2027 — Août 2028</w:t>
            </w:r>
          </w:p>
        </w:tc>
        <w:tc>
          <w:tcPr>
            <w:tcW w:type="dxa" w:w="1378"/>
            <w:shd w:fill="FFFFFF"/>
          </w:tcPr>
          <w:p>
            <w:pPr>
              <w:spacing w:before="60" w:after="60"/>
            </w:pPr>
            <w:r>
              <w:rPr>
                <w:rFonts w:ascii="Arial" w:hAnsi="Arial"/>
                <w:color w:val="1E293B"/>
                <w:sz w:val="16"/>
              </w:rPr>
              <w:t>435 000 €</w:t>
            </w:r>
          </w:p>
        </w:tc>
        <w:tc>
          <w:tcPr>
            <w:tcW w:type="dxa" w:w="1378"/>
            <w:shd w:fill="FFFFFF"/>
          </w:tcPr>
          <w:p>
            <w:pPr>
              <w:spacing w:before="60" w:after="60"/>
            </w:pPr>
            <w:r>
              <w:rPr>
                <w:rFonts w:ascii="Arial" w:hAnsi="Arial"/>
                <w:color w:val="1E293B"/>
                <w:sz w:val="16"/>
              </w:rPr>
              <w:t>217 500 €</w:t>
            </w:r>
          </w:p>
        </w:tc>
        <w:tc>
          <w:tcPr>
            <w:tcW w:type="dxa" w:w="1378"/>
            <w:shd w:fill="FFFFFF"/>
          </w:tcPr>
          <w:p>
            <w:pPr>
              <w:spacing w:before="60" w:after="60"/>
            </w:pPr>
            <w:r>
              <w:rPr>
                <w:rFonts w:ascii="Arial" w:hAnsi="Arial"/>
                <w:color w:val="1E293B"/>
                <w:sz w:val="16"/>
              </w:rPr>
              <w:t>217 500 €</w:t>
            </w:r>
          </w:p>
        </w:tc>
        <w:tc>
          <w:tcPr>
            <w:tcW w:type="dxa" w:w="1378"/>
            <w:shd w:fill="FFFFFF"/>
          </w:tcPr>
          <w:p>
            <w:pPr>
              <w:spacing w:before="60" w:after="60"/>
            </w:pPr>
            <w:r>
              <w:rPr>
                <w:rFonts w:ascii="Arial" w:hAnsi="Arial"/>
                <w:color w:val="1E293B"/>
                <w:sz w:val="16"/>
              </w:rPr>
              <w:t>+2 500 000 €</w:t>
            </w:r>
          </w:p>
        </w:tc>
        <w:tc>
          <w:tcPr>
            <w:tcW w:type="dxa" w:w="1378"/>
            <w:shd w:fill="FFFFFF"/>
          </w:tcPr>
          <w:p>
            <w:pPr>
              <w:spacing w:before="60" w:after="60"/>
            </w:pPr>
            <w:r>
              <w:rPr>
                <w:rFonts w:ascii="Arial" w:hAnsi="Arial"/>
                <w:color w:val="1E293B"/>
                <w:sz w:val="16"/>
              </w:rPr>
              <w:t>+2 282 500 €</w:t>
            </w:r>
          </w:p>
        </w:tc>
      </w:tr>
      <w:tr>
        <w:tc>
          <w:tcPr>
            <w:tcW w:type="dxa" w:w="1378"/>
            <w:shd w:fill="F8FAFC"/>
          </w:tcPr>
          <w:p>
            <w:pPr>
              <w:spacing w:before="60" w:after="60"/>
            </w:pPr>
            <w:r>
              <w:rPr>
                <w:rFonts w:ascii="Arial" w:hAnsi="Arial"/>
                <w:color w:val="1E293B"/>
                <w:sz w:val="16"/>
              </w:rPr>
              <w:t>ANNÉE 3</w:t>
            </w:r>
          </w:p>
        </w:tc>
        <w:tc>
          <w:tcPr>
            <w:tcW w:type="dxa" w:w="1378"/>
            <w:shd w:fill="F8FAFC"/>
          </w:tcPr>
          <w:p>
            <w:pPr>
              <w:spacing w:before="60" w:after="60"/>
            </w:pPr>
            <w:r>
              <w:rPr>
                <w:rFonts w:ascii="Arial" w:hAnsi="Arial"/>
                <w:color w:val="1E293B"/>
                <w:sz w:val="16"/>
              </w:rPr>
              <w:t>Septembre 2028 — Août 2029</w:t>
            </w:r>
          </w:p>
        </w:tc>
        <w:tc>
          <w:tcPr>
            <w:tcW w:type="dxa" w:w="1378"/>
            <w:shd w:fill="F8FAFC"/>
          </w:tcPr>
          <w:p>
            <w:pPr>
              <w:spacing w:before="60" w:after="60"/>
            </w:pPr>
            <w:r>
              <w:rPr>
                <w:rFonts w:ascii="Arial" w:hAnsi="Arial"/>
                <w:color w:val="1E293B"/>
                <w:sz w:val="16"/>
              </w:rPr>
              <w:t>435 000 €</w:t>
            </w:r>
          </w:p>
        </w:tc>
        <w:tc>
          <w:tcPr>
            <w:tcW w:type="dxa" w:w="1378"/>
            <w:shd w:fill="F8FAFC"/>
          </w:tcPr>
          <w:p>
            <w:pPr>
              <w:spacing w:before="60" w:after="60"/>
            </w:pPr>
            <w:r>
              <w:rPr>
                <w:rFonts w:ascii="Arial" w:hAnsi="Arial"/>
                <w:color w:val="1E293B"/>
                <w:sz w:val="16"/>
              </w:rPr>
              <w:t>217 500 €</w:t>
            </w:r>
          </w:p>
        </w:tc>
        <w:tc>
          <w:tcPr>
            <w:tcW w:type="dxa" w:w="1378"/>
            <w:shd w:fill="F8FAFC"/>
          </w:tcPr>
          <w:p>
            <w:pPr>
              <w:spacing w:before="60" w:after="60"/>
            </w:pPr>
            <w:r>
              <w:rPr>
                <w:rFonts w:ascii="Arial" w:hAnsi="Arial"/>
                <w:color w:val="1E293B"/>
                <w:sz w:val="16"/>
              </w:rPr>
              <w:t>217 500 €</w:t>
            </w:r>
          </w:p>
        </w:tc>
        <w:tc>
          <w:tcPr>
            <w:tcW w:type="dxa" w:w="1378"/>
            <w:shd w:fill="F8FAFC"/>
          </w:tcPr>
          <w:p>
            <w:pPr>
              <w:spacing w:before="60" w:after="60"/>
            </w:pPr>
            <w:r>
              <w:rPr>
                <w:rFonts w:ascii="Arial" w:hAnsi="Arial"/>
                <w:color w:val="1E293B"/>
                <w:sz w:val="16"/>
              </w:rPr>
              <w:t>+2 500 000 €</w:t>
            </w:r>
          </w:p>
        </w:tc>
        <w:tc>
          <w:tcPr>
            <w:tcW w:type="dxa" w:w="1378"/>
            <w:shd w:fill="F8FAFC"/>
          </w:tcPr>
          <w:p>
            <w:pPr>
              <w:spacing w:before="60" w:after="60"/>
            </w:pPr>
            <w:r>
              <w:rPr>
                <w:rFonts w:ascii="Arial" w:hAnsi="Arial"/>
                <w:color w:val="1E293B"/>
                <w:sz w:val="16"/>
              </w:rPr>
              <w:t>+2 282 500 €</w:t>
            </w:r>
          </w:p>
        </w:tc>
      </w:tr>
      <w:tr>
        <w:tc>
          <w:tcPr>
            <w:tcW w:type="dxa" w:w="1378"/>
            <w:shd w:fill="0F172A"/>
          </w:tcPr>
          <w:p>
            <w:pPr>
              <w:spacing w:before="60" w:after="60"/>
            </w:pPr>
            <w:r>
              <w:rPr>
                <w:rFonts w:ascii="Arial" w:hAnsi="Arial"/>
                <w:b/>
                <w:color w:val="FFFFFF"/>
                <w:sz w:val="16"/>
              </w:rPr>
              <w:t>TOTAL 3 ANS</w:t>
            </w:r>
          </w:p>
        </w:tc>
        <w:tc>
          <w:tcPr>
            <w:tcW w:type="dxa" w:w="1378"/>
            <w:shd w:fill="0F172A"/>
          </w:tcPr>
          <w:p>
            <w:pPr>
              <w:spacing w:before="60" w:after="60"/>
            </w:pPr>
            <w:r>
              <w:rPr>
                <w:rFonts w:ascii="Arial" w:hAnsi="Arial"/>
                <w:b/>
                <w:color w:val="FFFFFF"/>
                <w:sz w:val="16"/>
              </w:rPr>
              <w:t>1er Sept 2026 — 31 Août 2029</w:t>
            </w:r>
          </w:p>
        </w:tc>
        <w:tc>
          <w:tcPr>
            <w:tcW w:type="dxa" w:w="1378"/>
            <w:shd w:fill="0F172A"/>
          </w:tcPr>
          <w:p>
            <w:pPr>
              <w:spacing w:before="60" w:after="60"/>
            </w:pPr>
            <w:r>
              <w:rPr>
                <w:rFonts w:ascii="Arial" w:hAnsi="Arial"/>
                <w:b/>
                <w:color w:val="FFFFFF"/>
                <w:sz w:val="16"/>
              </w:rPr>
              <w:t>1 305 000 €</w:t>
            </w:r>
          </w:p>
        </w:tc>
        <w:tc>
          <w:tcPr>
            <w:tcW w:type="dxa" w:w="1378"/>
            <w:shd w:fill="0F172A"/>
          </w:tcPr>
          <w:p>
            <w:pPr>
              <w:spacing w:before="60" w:after="60"/>
            </w:pPr>
            <w:r>
              <w:rPr>
                <w:rFonts w:ascii="Arial" w:hAnsi="Arial"/>
                <w:b/>
                <w:color w:val="FFFFFF"/>
                <w:sz w:val="16"/>
              </w:rPr>
              <w:t>652 500 €</w:t>
            </w:r>
          </w:p>
        </w:tc>
        <w:tc>
          <w:tcPr>
            <w:tcW w:type="dxa" w:w="1378"/>
            <w:shd w:fill="0F172A"/>
          </w:tcPr>
          <w:p>
            <w:pPr>
              <w:spacing w:before="60" w:after="60"/>
            </w:pPr>
            <w:r>
              <w:rPr>
                <w:rFonts w:ascii="Arial" w:hAnsi="Arial"/>
                <w:b/>
                <w:color w:val="FFFFFF"/>
                <w:sz w:val="16"/>
              </w:rPr>
              <w:t>652 500 €</w:t>
            </w:r>
          </w:p>
        </w:tc>
        <w:tc>
          <w:tcPr>
            <w:tcW w:type="dxa" w:w="1378"/>
            <w:shd w:fill="0F172A"/>
          </w:tcPr>
          <w:p>
            <w:pPr>
              <w:spacing w:before="60" w:after="60"/>
            </w:pPr>
            <w:r>
              <w:rPr>
                <w:rFonts w:ascii="Arial" w:hAnsi="Arial"/>
                <w:b/>
                <w:color w:val="FFFFFF"/>
                <w:sz w:val="16"/>
              </w:rPr>
              <w:t>+7 500 000 €</w:t>
            </w:r>
          </w:p>
        </w:tc>
        <w:tc>
          <w:tcPr>
            <w:tcW w:type="dxa" w:w="1378"/>
            <w:shd w:fill="0F172A"/>
          </w:tcPr>
          <w:p>
            <w:pPr>
              <w:spacing w:before="60" w:after="60"/>
            </w:pPr>
            <w:r>
              <w:rPr>
                <w:rFonts w:ascii="Arial" w:hAnsi="Arial"/>
                <w:b/>
                <w:color w:val="FFFFFF"/>
                <w:sz w:val="16"/>
              </w:rPr>
              <w:t>+6 847 500 €</w:t>
            </w:r>
          </w:p>
        </w:tc>
      </w:tr>
    </w:tbl>
    <w:p>
      <w:r>
        <w:br w:type="page"/>
      </w:r>
    </w:p>
    <w:p>
      <w:pPr>
        <w:pStyle w:val="Heading1"/>
        <w:keepNext/>
        <w:spacing w:before="360" w:after="160"/>
      </w:pPr>
      <w:r>
        <w:rPr>
          <w:rFonts w:ascii="Georgia" w:hAnsi="Georgia"/>
          <w:b/>
          <w:color w:val="0F172A"/>
          <w:sz w:val="30"/>
        </w:rPr>
        <w:t>6. Annexe : Justifications des Gains &amp; Sources Documentaires</w:t>
      </w:r>
    </w:p>
    <w:p>
      <w:pPr>
        <w:pStyle w:val="ListBullet"/>
        <w:spacing w:before="40" w:after="100" w:line="276" w:lineRule="auto"/>
        <w:ind w:left="504"/>
      </w:pPr>
      <w:r>
        <w:rPr>
          <w:rFonts w:ascii="Arial" w:hAnsi="Arial"/>
          <w:b/>
          <w:color w:val="0F172A"/>
        </w:rPr>
        <w:t>1. Calcul des gains Audit Commande Publique (+2,5 M€/an)</w:t>
      </w:r>
      <w:r>
        <w:rPr>
          <w:rFonts w:ascii="Arial" w:hAnsi="Arial"/>
          <w:color w:val="1E293B"/>
        </w:rPr>
        <w:t xml:space="preserve"> : Ingestion de 300 M€ de factures/BPU. Taux d'erreur moyen documenté par la DGFiP : 0,5% à 2,0%. Hypothèse conservatrice retenue à 0,83% = 2,50 M€/an d'économies nettes certifiées.</w:t>
      </w:r>
    </w:p>
    <w:p>
      <w:pPr>
        <w:pStyle w:val="ListBullet"/>
        <w:spacing w:before="40" w:after="100" w:line="276" w:lineRule="auto"/>
        <w:ind w:left="504"/>
      </w:pPr>
      <w:r>
        <w:rPr>
          <w:rFonts w:ascii="Arial" w:hAnsi="Arial"/>
          <w:b/>
          <w:color w:val="0F172A"/>
        </w:rPr>
        <w:t>2. Calcul des coûts évités Cybersécurité NIS 2 (1,8 M€ à 3 M€/an)</w:t>
      </w:r>
      <w:r>
        <w:rPr>
          <w:rFonts w:ascii="Arial" w:hAnsi="Arial"/>
          <w:color w:val="1E293B"/>
        </w:rPr>
        <w:t xml:space="preserve"> : Coût moyen d'une crise de ransomware pour une métropole (Marseille, Lille, Caen) : 5 M€ à 10 M€ tous les 3 ans = 1,8 M€ à 3,3 M€/an d'amortissement de risque évité.</w:t>
      </w:r>
    </w:p>
    <w:p>
      <w:pPr>
        <w:pStyle w:val="ListBullet"/>
        <w:spacing w:before="40" w:after="100" w:line="276" w:lineRule="auto"/>
        <w:ind w:left="504"/>
      </w:pPr>
      <w:r>
        <w:rPr>
          <w:rFonts w:ascii="Arial" w:hAnsi="Arial"/>
          <w:b/>
          <w:color w:val="0F172A"/>
        </w:rPr>
        <w:t>3. Calcul des économies Monaco Cloud (1,5 M€ à 2,8 M€/an + 8-12M€ CAPEX)</w:t>
      </w:r>
      <w:r>
        <w:rPr>
          <w:rFonts w:ascii="Arial" w:hAnsi="Arial"/>
          <w:color w:val="1E293B"/>
        </w:rPr>
        <w:t xml:space="preserve"> : Économie de maintenance et d'hébergement privé (OPEX) + non-construction d'un Datacenter propre (CAPEX).</w:t>
      </w:r>
    </w:p>
    <w:p>
      <w:pPr>
        <w:pStyle w:val="ListBullet"/>
        <w:spacing w:before="40" w:after="100" w:line="276" w:lineRule="auto"/>
        <w:ind w:left="504"/>
      </w:pPr>
      <w:r>
        <w:rPr>
          <w:rFonts w:ascii="Arial" w:hAnsi="Arial"/>
          <w:b/>
          <w:color w:val="0F172A"/>
        </w:rPr>
        <w:t>4. Note Strategique « Opération Prométhée » — Le Grand Continent (Juillet 2026)</w:t>
      </w:r>
      <w:r>
        <w:rPr>
          <w:rFonts w:ascii="Arial" w:hAnsi="Arial"/>
          <w:color w:val="1E293B"/>
        </w:rPr>
        <w:t xml:space="preserve"> : Plan national souverain de 700 Md$ sur 3 ans (12 GW, 1 700 chercheurs).</w:t>
      </w:r>
    </w:p>
    <w:p>
      <w:pPr>
        <w:pStyle w:val="ListBullet"/>
        <w:spacing w:before="40" w:after="100" w:line="276" w:lineRule="auto"/>
        <w:ind w:left="504"/>
      </w:pPr>
      <w:r>
        <w:rPr>
          <w:rFonts w:ascii="Arial" w:hAnsi="Arial"/>
          <w:b/>
          <w:color w:val="0F172A"/>
        </w:rPr>
        <w:t>5. Appel d'Offres Européen AI Gigafactories (30 Juillet 2026)</w:t>
      </w:r>
      <w:r>
        <w:rPr>
          <w:rFonts w:ascii="Arial" w:hAnsi="Arial"/>
          <w:color w:val="1E293B"/>
        </w:rPr>
        <w:t xml:space="preserve"> : Programme EuroHPC JU (Lot 1) — 30 Md€ d'enveloppe, subvention directe de 500 M€ par site.</w:t>
      </w:r>
    </w:p>
    <w:p>
      <w:pPr>
        <w:pStyle w:val="ListBullet"/>
        <w:spacing w:before="40" w:after="100" w:line="276" w:lineRule="auto"/>
        <w:ind w:left="504"/>
      </w:pPr>
      <w:r>
        <w:rPr>
          <w:rFonts w:ascii="Arial" w:hAnsi="Arial"/>
          <w:b/>
          <w:color w:val="0F172A"/>
        </w:rPr>
        <w:t>6. AI Act Européen — Règlement (UE) 2024/1689 du 13 juin 2024</w:t>
      </w:r>
      <w:r>
        <w:rPr>
          <w:rFonts w:ascii="Arial" w:hAnsi="Arial"/>
          <w:color w:val="1E293B"/>
        </w:rPr>
        <w:t xml:space="preserve"> : Encadrement légal et labellisation des systèmes IA.</w:t>
      </w:r>
    </w:p>
    <w:p>
      <w:pPr>
        <w:pStyle w:val="ListBullet"/>
        <w:spacing w:before="40" w:after="100" w:line="276" w:lineRule="auto"/>
        <w:ind w:left="504"/>
      </w:pPr>
      <w:r>
        <w:rPr>
          <w:rFonts w:ascii="Arial" w:hAnsi="Arial"/>
          <w:b/>
          <w:color w:val="0F172A"/>
        </w:rPr>
        <w:t>7. Loi n° 2023-380 du 19 mai 2023 (Loi JOP 2024 - Art. 10)</w:t>
      </w:r>
      <w:r>
        <w:rPr>
          <w:rFonts w:ascii="Arial" w:hAnsi="Arial"/>
          <w:color w:val="1E293B"/>
        </w:rPr>
        <w:t xml:space="preserve"> : Cadre expérimental VSA pour la détection d'événements sur la voie publique.</w:t>
      </w:r>
    </w:p>
    <w:p>
      <w:pPr>
        <w:pStyle w:val="ListBullet"/>
        <w:spacing w:before="40" w:after="100" w:line="276" w:lineRule="auto"/>
        <w:ind w:left="504"/>
      </w:pPr>
      <w:r>
        <w:rPr>
          <w:rFonts w:ascii="Arial" w:hAnsi="Arial"/>
          <w:b/>
          <w:color w:val="0F172A"/>
        </w:rPr>
        <w:t>8. Jurisprudence du Conseil d'État (30 janvier 2026 - Commune de Nice)</w:t>
      </w:r>
      <w:r>
        <w:rPr>
          <w:rFonts w:ascii="Arial" w:hAnsi="Arial"/>
          <w:color w:val="1E293B"/>
        </w:rPr>
        <w:t xml:space="preserve"> : Validation des protocoles municipaux d'expérimentation VSA.</w:t>
      </w:r>
    </w:p>
    <w:p>
      <w:pPr>
        <w:pStyle w:val="ListBullet"/>
        <w:spacing w:before="40" w:after="100" w:line="276" w:lineRule="auto"/>
        <w:ind w:left="504"/>
      </w:pPr>
      <w:r>
        <w:rPr>
          <w:rFonts w:ascii="Arial" w:hAnsi="Arial"/>
          <w:b/>
          <w:color w:val="0F172A"/>
        </w:rPr>
        <w:t>9. Rapport Institut 3IA Côte d'Azur &amp; UCA (2025/2026)</w:t>
      </w:r>
      <w:r>
        <w:rPr>
          <w:rFonts w:ascii="Arial" w:hAnsi="Arial"/>
          <w:color w:val="1E293B"/>
        </w:rPr>
        <w:t xml:space="preserve"> : Bilan des &gt; 100 chaires de recherche d'excellence en IA.</w:t>
      </w:r>
    </w:p>
    <w:p>
      <w:pPr>
        <w:pStyle w:val="ListBullet"/>
        <w:spacing w:before="40" w:after="100" w:line="276" w:lineRule="auto"/>
        <w:ind w:left="504"/>
      </w:pPr>
      <w:r>
        <w:rPr>
          <w:rFonts w:ascii="Arial" w:hAnsi="Arial"/>
          <w:b/>
          <w:color w:val="0F172A"/>
        </w:rPr>
        <w:t>10. Technopole Sophia Antipolis &amp; Invest in Côte d'Azur (2025/2026)</w:t>
      </w:r>
      <w:r>
        <w:rPr>
          <w:rFonts w:ascii="Arial" w:hAnsi="Arial"/>
          <w:color w:val="1E293B"/>
        </w:rPr>
        <w:t xml:space="preserve"> : Chiffres clés (2 700 entreprises, 46 000 emplois, 5 500 chercheurs).</w:t>
      </w:r>
    </w:p>
    <w:p>
      <w:pPr>
        <w:pStyle w:val="ListBullet"/>
        <w:spacing w:before="40" w:after="100" w:line="276" w:lineRule="auto"/>
        <w:ind w:left="504"/>
      </w:pPr>
      <w:r>
        <w:rPr>
          <w:rFonts w:ascii="Arial" w:hAnsi="Arial"/>
          <w:b/>
          <w:color w:val="0F172A"/>
        </w:rPr>
        <w:t>11. Programme Extended Monaco &amp; Monaco Cloud (gouv.mc / monacocloud.mc)</w:t>
      </w:r>
      <w:r>
        <w:rPr>
          <w:rFonts w:ascii="Arial" w:hAnsi="Arial"/>
          <w:color w:val="1E293B"/>
        </w:rPr>
        <w:t xml:space="preserve"> : Data Center Souverain d'État certifié AMSN.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