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334155"/>
          <w:sz w:val="17"/>
        </w:rPr>
        <w:t>ARX CONSULTING — DOCUMENT STRATÉGIQUE MÉTROPOLITAIN</w:t>
      </w:r>
    </w:p>
    <w:p>
      <w:pPr>
        <w:pStyle w:val="Title"/>
        <w:spacing w:before="0" w:after="80"/>
      </w:pPr>
      <w:r>
        <w:rPr>
          <w:rFonts w:ascii="Georgia" w:hAnsi="Georgia"/>
          <w:b/>
          <w:color w:val="0F172A"/>
          <w:sz w:val="52"/>
        </w:rPr>
        <w:t>LE PACTE NICE IA</w:t>
      </w:r>
    </w:p>
    <w:p>
      <w:pPr>
        <w:spacing w:before="0" w:after="120"/>
      </w:pPr>
      <w:r>
        <w:rPr>
          <w:rFonts w:ascii="Arial" w:hAnsi="Arial"/>
          <w:color w:val="1E3A8A"/>
          <w:sz w:val="22"/>
        </w:rPr>
        <w:t>Doctrine Stratégique, Rigueur Budgétaire &amp; Alliance Transfrontalière (2026-2029)</w:t>
      </w:r>
    </w:p>
    <w:p>
      <w:pPr>
        <w:spacing w:before="0" w:after="320"/>
      </w:pPr>
      <w:r>
        <w:rPr>
          <w:rFonts w:ascii="Arial" w:hAnsi="Arial"/>
          <w:i/>
          <w:color w:val="64748B"/>
          <w:sz w:val="18"/>
        </w:rPr>
        <w:t>Rédigé pour M. Éric Ciotti par Benoît SIGWALD — Directeur du Projet Pacte Nice IA &amp; Senior AI Architect — Août 2026</w:t>
      </w:r>
    </w:p>
    <w:p>
      <w:pPr>
        <w:pStyle w:val="Heading1"/>
        <w:keepNext/>
        <w:spacing w:before="360" w:after="160"/>
      </w:pPr>
      <w:r>
        <w:rPr>
          <w:rFonts w:ascii="Georgia" w:hAnsi="Georgia"/>
          <w:b/>
          <w:color w:val="0F172A"/>
          <w:sz w:val="30"/>
        </w:rPr>
        <w:t>Index</w:t>
      </w:r>
    </w:p>
    <w:tbl>
      <w:tblPr>
        <w:tblW w:type="auto" w:w="0"/>
        <w:jc w:val="center"/>
        <w:tblLook w:firstColumn="1" w:firstRow="1" w:lastColumn="0" w:lastRow="0" w:noHBand="0" w:noVBand="1" w:val="04A0"/>
      </w:tblPr>
      <w:tblGrid>
        <w:gridCol w:w="4896"/>
        <w:gridCol w:w="4896"/>
      </w:tblGrid>
      <w:tr>
        <w:tc>
          <w:tcPr>
            <w:tcW w:type="dxa" w:w="4896"/>
          </w:tcPr>
          <w:p>
            <w:pPr>
              <w:spacing w:before="30" w:after="30"/>
            </w:pPr>
            <w:r>
              <w:rPr>
                <w:rFonts w:ascii="Arial" w:hAnsi="Arial"/>
                <w:b/>
                <w:color w:val="0F172A"/>
                <w:sz w:val="18"/>
              </w:rPr>
              <w:t>Index</w:t>
            </w:r>
          </w:p>
        </w:tc>
        <w:tc>
          <w:tcPr>
            <w:tcW w:type="dxa" w:w="4896"/>
          </w:tcPr>
          <w:p>
            <w:pPr>
              <w:spacing w:before="30" w:after="30"/>
              <w:jc w:val="right"/>
            </w:pPr>
            <w:r>
              <w:rPr>
                <w:rFonts w:ascii="Arial" w:hAnsi="Arial"/>
                <w:b/>
                <w:color w:val="0F172A"/>
                <w:sz w:val="18"/>
              </w:rPr>
              <w:t>1</w:t>
            </w:r>
          </w:p>
        </w:tc>
      </w:tr>
      <w:tr>
        <w:tc>
          <w:tcPr>
            <w:tcW w:type="dxa" w:w="4896"/>
          </w:tcPr>
          <w:p>
            <w:pPr>
              <w:spacing w:before="30" w:after="30"/>
            </w:pPr>
            <w:r>
              <w:rPr>
                <w:rFonts w:ascii="Georgia" w:hAnsi="Georgia"/>
                <w:b/>
                <w:color w:val="0F172A"/>
                <w:sz w:val="18"/>
              </w:rPr>
              <w:t>Résumé Exécutif &amp; Chiffrage Consolidé pour M. le Maire</w:t>
            </w:r>
          </w:p>
        </w:tc>
        <w:tc>
          <w:tcPr>
            <w:tcW w:type="dxa" w:w="4896"/>
          </w:tcPr>
          <w:p>
            <w:pPr>
              <w:spacing w:before="30" w:after="30"/>
              <w:jc w:val="right"/>
            </w:pPr>
            <w:r>
              <w:rPr>
                <w:rFonts w:ascii="Arial" w:hAnsi="Arial"/>
                <w:b/>
                <w:color w:val="0F172A"/>
                <w:sz w:val="18"/>
              </w:rPr>
              <w:t>1</w:t>
            </w:r>
          </w:p>
        </w:tc>
      </w:tr>
      <w:tr>
        <w:tc>
          <w:tcPr>
            <w:tcW w:type="dxa" w:w="4896"/>
          </w:tcPr>
          <w:p>
            <w:pPr>
              <w:spacing w:before="30" w:after="30"/>
            </w:pPr>
            <w:r>
              <w:rPr>
                <w:rFonts w:ascii="Georgia" w:hAnsi="Georgia"/>
                <w:b/>
                <w:color w:val="0F172A"/>
                <w:sz w:val="18"/>
              </w:rPr>
              <w:t>1. Diagnostic Territorial &amp; Opportunités Européennes</w:t>
            </w:r>
          </w:p>
        </w:tc>
        <w:tc>
          <w:tcPr>
            <w:tcW w:type="dxa" w:w="4896"/>
          </w:tcPr>
          <w:p>
            <w:pPr>
              <w:spacing w:before="30" w:after="30"/>
              <w:jc w:val="right"/>
            </w:pPr>
            <w:r>
              <w:rPr>
                <w:rFonts w:ascii="Arial" w:hAnsi="Arial"/>
                <w:b/>
                <w:color w:val="0F172A"/>
                <w:sz w:val="18"/>
              </w:rPr>
              <w:t>2</w:t>
            </w:r>
          </w:p>
        </w:tc>
      </w:tr>
      <w:tr>
        <w:tc>
          <w:tcPr>
            <w:tcW w:type="dxa" w:w="4896"/>
          </w:tcPr>
          <w:p>
            <w:pPr>
              <w:spacing w:before="30" w:after="30"/>
            </w:pPr>
            <w:r>
              <w:rPr>
                <w:rFonts w:ascii="Georgia" w:hAnsi="Georgia"/>
                <w:b/>
                <w:color w:val="0F172A"/>
                <w:sz w:val="18"/>
              </w:rPr>
              <w:t>1.1 Alignement Institutionnel &amp; Leadership</w:t>
            </w:r>
          </w:p>
        </w:tc>
        <w:tc>
          <w:tcPr>
            <w:tcW w:type="dxa" w:w="4896"/>
          </w:tcPr>
          <w:p>
            <w:pPr>
              <w:spacing w:before="30" w:after="30"/>
              <w:jc w:val="right"/>
            </w:pPr>
            <w:r>
              <w:rPr>
                <w:rFonts w:ascii="Arial" w:hAnsi="Arial"/>
                <w:b/>
                <w:color w:val="0F172A"/>
                <w:sz w:val="18"/>
              </w:rPr>
              <w:t>2</w:t>
            </w:r>
          </w:p>
        </w:tc>
      </w:tr>
      <w:tr>
        <w:tc>
          <w:tcPr>
            <w:tcW w:type="dxa" w:w="4896"/>
          </w:tcPr>
          <w:p>
            <w:pPr>
              <w:spacing w:before="30" w:after="30"/>
            </w:pPr>
            <w:r>
              <w:rPr>
                <w:rFonts w:ascii="Georgia" w:hAnsi="Georgia"/>
                <w:b/>
                <w:color w:val="0F172A"/>
                <w:sz w:val="18"/>
              </w:rPr>
              <w:t>1.2 Le Terreau Azuréen : Sophia Antipolis, Grasse, Cannes &amp; Poids National</w:t>
            </w:r>
          </w:p>
        </w:tc>
        <w:tc>
          <w:tcPr>
            <w:tcW w:type="dxa" w:w="4896"/>
          </w:tcPr>
          <w:p>
            <w:pPr>
              <w:spacing w:before="30" w:after="30"/>
              <w:jc w:val="right"/>
            </w:pPr>
            <w:r>
              <w:rPr>
                <w:rFonts w:ascii="Arial" w:hAnsi="Arial"/>
                <w:b/>
                <w:color w:val="0F172A"/>
                <w:sz w:val="18"/>
              </w:rPr>
              <w:t>2</w:t>
            </w:r>
          </w:p>
        </w:tc>
      </w:tr>
      <w:tr>
        <w:tc>
          <w:tcPr>
            <w:tcW w:type="dxa" w:w="4896"/>
          </w:tcPr>
          <w:p>
            <w:pPr>
              <w:spacing w:before="30" w:after="30"/>
            </w:pPr>
            <w:r>
              <w:rPr>
                <w:rFonts w:ascii="Georgia" w:hAnsi="Georgia"/>
                <w:b/>
                <w:color w:val="0F172A"/>
                <w:sz w:val="18"/>
              </w:rPr>
              <w:t>1.3 Atouts Monaco, Flux Transfrontaliers &amp; Extension Business</w:t>
            </w:r>
          </w:p>
        </w:tc>
        <w:tc>
          <w:tcPr>
            <w:tcW w:type="dxa" w:w="4896"/>
          </w:tcPr>
          <w:p>
            <w:pPr>
              <w:spacing w:before="30" w:after="30"/>
              <w:jc w:val="right"/>
            </w:pPr>
            <w:r>
              <w:rPr>
                <w:rFonts w:ascii="Arial" w:hAnsi="Arial"/>
                <w:b/>
                <w:color w:val="0F172A"/>
                <w:sz w:val="18"/>
              </w:rPr>
              <w:t>3</w:t>
            </w:r>
          </w:p>
        </w:tc>
      </w:tr>
      <w:tr>
        <w:tc>
          <w:tcPr>
            <w:tcW w:type="dxa" w:w="4896"/>
          </w:tcPr>
          <w:p>
            <w:pPr>
              <w:spacing w:before="30" w:after="30"/>
            </w:pPr>
            <w:r>
              <w:rPr>
                <w:rFonts w:ascii="Georgia" w:hAnsi="Georgia"/>
                <w:b/>
                <w:color w:val="0F172A"/>
                <w:sz w:val="18"/>
              </w:rPr>
              <w:t>1.4 L'Opportunité Historique : 30 Md€ UE &amp; 7 AI Gigafactories</w:t>
            </w:r>
          </w:p>
        </w:tc>
        <w:tc>
          <w:tcPr>
            <w:tcW w:type="dxa" w:w="4896"/>
          </w:tcPr>
          <w:p>
            <w:pPr>
              <w:spacing w:before="30" w:after="30"/>
              <w:jc w:val="right"/>
            </w:pPr>
            <w:r>
              <w:rPr>
                <w:rFonts w:ascii="Arial" w:hAnsi="Arial"/>
                <w:b/>
                <w:color w:val="0F172A"/>
                <w:sz w:val="18"/>
              </w:rPr>
              <w:t>4</w:t>
            </w:r>
          </w:p>
        </w:tc>
      </w:tr>
      <w:tr>
        <w:tc>
          <w:tcPr>
            <w:tcW w:type="dxa" w:w="4896"/>
          </w:tcPr>
          <w:p>
            <w:pPr>
              <w:spacing w:before="30" w:after="30"/>
            </w:pPr>
            <w:r>
              <w:rPr>
                <w:rFonts w:ascii="Georgia" w:hAnsi="Georgia"/>
                <w:b/>
                <w:color w:val="0F172A"/>
                <w:sz w:val="18"/>
              </w:rPr>
              <w:t>1.5 Structuration Opérationnelle &amp; Capture des Subventions</w:t>
            </w:r>
          </w:p>
        </w:tc>
        <w:tc>
          <w:tcPr>
            <w:tcW w:type="dxa" w:w="4896"/>
          </w:tcPr>
          <w:p>
            <w:pPr>
              <w:spacing w:before="30" w:after="30"/>
              <w:jc w:val="right"/>
            </w:pPr>
            <w:r>
              <w:rPr>
                <w:rFonts w:ascii="Arial" w:hAnsi="Arial"/>
                <w:b/>
                <w:color w:val="0F172A"/>
                <w:sz w:val="18"/>
              </w:rPr>
              <w:t>4</w:t>
            </w:r>
          </w:p>
        </w:tc>
      </w:tr>
      <w:tr>
        <w:tc>
          <w:tcPr>
            <w:tcW w:type="dxa" w:w="4896"/>
          </w:tcPr>
          <w:p>
            <w:pPr>
              <w:spacing w:before="30" w:after="30"/>
            </w:pPr>
            <w:r>
              <w:rPr>
                <w:rFonts w:ascii="Georgia" w:hAnsi="Georgia"/>
                <w:b/>
                <w:color w:val="0F172A"/>
                <w:sz w:val="18"/>
              </w:rPr>
              <w:t>2. Pôle 1 : Axe Ville de Nice (Sécurité &amp; Cadre de Vie)</w:t>
            </w:r>
          </w:p>
        </w:tc>
        <w:tc>
          <w:tcPr>
            <w:tcW w:type="dxa" w:w="4896"/>
          </w:tcPr>
          <w:p>
            <w:pPr>
              <w:spacing w:before="30" w:after="30"/>
              <w:jc w:val="right"/>
            </w:pPr>
            <w:r>
              <w:rPr>
                <w:rFonts w:ascii="Arial" w:hAnsi="Arial"/>
                <w:b/>
                <w:color w:val="0F172A"/>
                <w:sz w:val="18"/>
              </w:rPr>
              <w:t>5</w:t>
            </w:r>
          </w:p>
        </w:tc>
      </w:tr>
      <w:tr>
        <w:tc>
          <w:tcPr>
            <w:tcW w:type="dxa" w:w="4896"/>
          </w:tcPr>
          <w:p>
            <w:pPr>
              <w:spacing w:before="30" w:after="30"/>
            </w:pPr>
            <w:r>
              <w:rPr>
                <w:rFonts w:ascii="Georgia" w:hAnsi="Georgia"/>
                <w:b/>
                <w:color w:val="0F172A"/>
                <w:sz w:val="18"/>
              </w:rPr>
              <w:t>2.1 CSU Augmenté : Moins d'Écrans, Plus de Policiers dans la Rue</w:t>
            </w:r>
          </w:p>
        </w:tc>
        <w:tc>
          <w:tcPr>
            <w:tcW w:type="dxa" w:w="4896"/>
          </w:tcPr>
          <w:p>
            <w:pPr>
              <w:spacing w:before="30" w:after="30"/>
              <w:jc w:val="right"/>
            </w:pPr>
            <w:r>
              <w:rPr>
                <w:rFonts w:ascii="Arial" w:hAnsi="Arial"/>
                <w:b/>
                <w:color w:val="0F172A"/>
                <w:sz w:val="18"/>
              </w:rPr>
              <w:t>5</w:t>
            </w:r>
          </w:p>
        </w:tc>
      </w:tr>
      <w:tr>
        <w:tc>
          <w:tcPr>
            <w:tcW w:type="dxa" w:w="4896"/>
          </w:tcPr>
          <w:p>
            <w:pPr>
              <w:spacing w:before="30" w:after="30"/>
            </w:pPr>
            <w:r>
              <w:rPr>
                <w:rFonts w:ascii="Georgia" w:hAnsi="Georgia"/>
                <w:b/>
                <w:color w:val="0F172A"/>
                <w:sz w:val="18"/>
              </w:rPr>
              <w:t>2.2 Guichet Vocal Allo Niçois 24/7 : Demandes d'Aide &amp; Sécurité</w:t>
            </w:r>
          </w:p>
        </w:tc>
        <w:tc>
          <w:tcPr>
            <w:tcW w:type="dxa" w:w="4896"/>
          </w:tcPr>
          <w:p>
            <w:pPr>
              <w:spacing w:before="30" w:after="30"/>
              <w:jc w:val="right"/>
            </w:pPr>
            <w:r>
              <w:rPr>
                <w:rFonts w:ascii="Arial" w:hAnsi="Arial"/>
                <w:b/>
                <w:color w:val="0F172A"/>
                <w:sz w:val="18"/>
              </w:rPr>
              <w:t>5</w:t>
            </w:r>
          </w:p>
        </w:tc>
      </w:tr>
      <w:tr>
        <w:tc>
          <w:tcPr>
            <w:tcW w:type="dxa" w:w="4896"/>
          </w:tcPr>
          <w:p>
            <w:pPr>
              <w:spacing w:before="30" w:after="30"/>
            </w:pPr>
            <w:r>
              <w:rPr>
                <w:rFonts w:ascii="Georgia" w:hAnsi="Georgia"/>
                <w:b/>
                <w:color w:val="0F172A"/>
                <w:sz w:val="18"/>
              </w:rPr>
              <w:t>2.3 Propreté Augmentée &amp; Routage Intelligent de la Voie Publique</w:t>
            </w:r>
          </w:p>
        </w:tc>
        <w:tc>
          <w:tcPr>
            <w:tcW w:type="dxa" w:w="4896"/>
          </w:tcPr>
          <w:p>
            <w:pPr>
              <w:spacing w:before="30" w:after="30"/>
              <w:jc w:val="right"/>
            </w:pPr>
            <w:r>
              <w:rPr>
                <w:rFonts w:ascii="Arial" w:hAnsi="Arial"/>
                <w:b/>
                <w:color w:val="0F172A"/>
                <w:sz w:val="18"/>
              </w:rPr>
              <w:t>5</w:t>
            </w:r>
          </w:p>
        </w:tc>
      </w:tr>
      <w:tr>
        <w:tc>
          <w:tcPr>
            <w:tcW w:type="dxa" w:w="4896"/>
          </w:tcPr>
          <w:p>
            <w:pPr>
              <w:spacing w:before="30" w:after="30"/>
            </w:pPr>
            <w:r>
              <w:rPr>
                <w:rFonts w:ascii="Georgia" w:hAnsi="Georgia"/>
                <w:b/>
                <w:color w:val="0F172A"/>
                <w:sz w:val="18"/>
              </w:rPr>
              <w:t>2.4 Consultation Directe par Quartier via l'IA Einstein</w:t>
            </w:r>
          </w:p>
        </w:tc>
        <w:tc>
          <w:tcPr>
            <w:tcW w:type="dxa" w:w="4896"/>
          </w:tcPr>
          <w:p>
            <w:pPr>
              <w:spacing w:before="30" w:after="30"/>
              <w:jc w:val="right"/>
            </w:pPr>
            <w:r>
              <w:rPr>
                <w:rFonts w:ascii="Arial" w:hAnsi="Arial"/>
                <w:b/>
                <w:color w:val="0F172A"/>
                <w:sz w:val="18"/>
              </w:rPr>
              <w:t>5</w:t>
            </w:r>
          </w:p>
        </w:tc>
      </w:tr>
      <w:tr>
        <w:tc>
          <w:tcPr>
            <w:tcW w:type="dxa" w:w="4896"/>
          </w:tcPr>
          <w:p>
            <w:pPr>
              <w:spacing w:before="30" w:after="30"/>
            </w:pPr>
            <w:r>
              <w:rPr>
                <w:rFonts w:ascii="Georgia" w:hAnsi="Georgia"/>
                <w:b/>
                <w:color w:val="0F172A"/>
                <w:sz w:val="18"/>
              </w:rPr>
              <w:t>3. Pôle 2 : Axe Métropole Nice Côte d'Azur (Budget, Cyber &amp; Monaco)</w:t>
            </w:r>
          </w:p>
        </w:tc>
        <w:tc>
          <w:tcPr>
            <w:tcW w:type="dxa" w:w="4896"/>
          </w:tcPr>
          <w:p>
            <w:pPr>
              <w:spacing w:before="30" w:after="30"/>
              <w:jc w:val="right"/>
            </w:pPr>
            <w:r>
              <w:rPr>
                <w:rFonts w:ascii="Arial" w:hAnsi="Arial"/>
                <w:b/>
                <w:color w:val="0F172A"/>
                <w:sz w:val="18"/>
              </w:rPr>
              <w:t>7</w:t>
            </w:r>
          </w:p>
        </w:tc>
      </w:tr>
      <w:tr>
        <w:tc>
          <w:tcPr>
            <w:tcW w:type="dxa" w:w="4896"/>
          </w:tcPr>
          <w:p>
            <w:pPr>
              <w:spacing w:before="30" w:after="30"/>
            </w:pPr>
            <w:r>
              <w:rPr>
                <w:rFonts w:ascii="Georgia" w:hAnsi="Georgia"/>
                <w:b/>
                <w:color w:val="0F172A"/>
                <w:sz w:val="18"/>
              </w:rPr>
              <w:t>3.1 Audit IA Commande Publique (+2,5 M€ / an Net)</w:t>
            </w:r>
          </w:p>
        </w:tc>
        <w:tc>
          <w:tcPr>
            <w:tcW w:type="dxa" w:w="4896"/>
          </w:tcPr>
          <w:p>
            <w:pPr>
              <w:spacing w:before="30" w:after="30"/>
              <w:jc w:val="right"/>
            </w:pPr>
            <w:r>
              <w:rPr>
                <w:rFonts w:ascii="Arial" w:hAnsi="Arial"/>
                <w:b/>
                <w:color w:val="0F172A"/>
                <w:sz w:val="18"/>
              </w:rPr>
              <w:t>7</w:t>
            </w:r>
          </w:p>
        </w:tc>
      </w:tr>
      <w:tr>
        <w:tc>
          <w:tcPr>
            <w:tcW w:type="dxa" w:w="4896"/>
          </w:tcPr>
          <w:p>
            <w:pPr>
              <w:spacing w:before="30" w:after="30"/>
            </w:pPr>
            <w:r>
              <w:rPr>
                <w:rFonts w:ascii="Georgia" w:hAnsi="Georgia"/>
                <w:b/>
                <w:color w:val="0F172A"/>
                <w:sz w:val="18"/>
              </w:rPr>
              <w:t>3.2 Bouclier Cyber-IA NIS 2 (1,8 M€ à 3 M€ Évités)</w:t>
            </w:r>
          </w:p>
        </w:tc>
        <w:tc>
          <w:tcPr>
            <w:tcW w:type="dxa" w:w="4896"/>
          </w:tcPr>
          <w:p>
            <w:pPr>
              <w:spacing w:before="30" w:after="30"/>
              <w:jc w:val="right"/>
            </w:pPr>
            <w:r>
              <w:rPr>
                <w:rFonts w:ascii="Arial" w:hAnsi="Arial"/>
                <w:b/>
                <w:color w:val="0F172A"/>
                <w:sz w:val="18"/>
              </w:rPr>
              <w:t>7</w:t>
            </w:r>
          </w:p>
        </w:tc>
      </w:tr>
      <w:tr>
        <w:tc>
          <w:tcPr>
            <w:tcW w:type="dxa" w:w="4896"/>
          </w:tcPr>
          <w:p>
            <w:pPr>
              <w:spacing w:before="30" w:after="30"/>
            </w:pPr>
            <w:r>
              <w:rPr>
                <w:rFonts w:ascii="Georgia" w:hAnsi="Georgia"/>
                <w:b/>
                <w:color w:val="0F172A"/>
                <w:sz w:val="18"/>
              </w:rPr>
              <w:t>3.3 Monaco Cloud &amp; Redondance IT (1,5 M€ à 2,8 M€ / an)</w:t>
            </w:r>
          </w:p>
        </w:tc>
        <w:tc>
          <w:tcPr>
            <w:tcW w:type="dxa" w:w="4896"/>
          </w:tcPr>
          <w:p>
            <w:pPr>
              <w:spacing w:before="30" w:after="30"/>
              <w:jc w:val="right"/>
            </w:pPr>
            <w:r>
              <w:rPr>
                <w:rFonts w:ascii="Arial" w:hAnsi="Arial"/>
                <w:b/>
                <w:color w:val="0F172A"/>
                <w:sz w:val="18"/>
              </w:rPr>
              <w:t>7</w:t>
            </w:r>
          </w:p>
        </w:tc>
      </w:tr>
      <w:tr>
        <w:tc>
          <w:tcPr>
            <w:tcW w:type="dxa" w:w="4896"/>
          </w:tcPr>
          <w:p>
            <w:pPr>
              <w:spacing w:before="30" w:after="30"/>
            </w:pPr>
            <w:r>
              <w:rPr>
                <w:rFonts w:ascii="Georgia" w:hAnsi="Georgia"/>
                <w:b/>
                <w:color w:val="0F172A"/>
                <w:sz w:val="18"/>
              </w:rPr>
              <w:t>4. Alliance Binationale Nice-Monaco &amp; Hub Réglementaire</w:t>
            </w:r>
          </w:p>
        </w:tc>
        <w:tc>
          <w:tcPr>
            <w:tcW w:type="dxa" w:w="4896"/>
          </w:tcPr>
          <w:p>
            <w:pPr>
              <w:spacing w:before="30" w:after="30"/>
              <w:jc w:val="right"/>
            </w:pPr>
            <w:r>
              <w:rPr>
                <w:rFonts w:ascii="Arial" w:hAnsi="Arial"/>
                <w:b/>
                <w:color w:val="0F172A"/>
                <w:sz w:val="18"/>
              </w:rPr>
              <w:t>8</w:t>
            </w:r>
          </w:p>
        </w:tc>
      </w:tr>
      <w:tr>
        <w:tc>
          <w:tcPr>
            <w:tcW w:type="dxa" w:w="4896"/>
          </w:tcPr>
          <w:p>
            <w:pPr>
              <w:spacing w:before="30" w:after="30"/>
            </w:pPr>
            <w:r>
              <w:rPr>
                <w:rFonts w:ascii="Georgia" w:hAnsi="Georgia"/>
                <w:b/>
                <w:color w:val="0F172A"/>
                <w:sz w:val="18"/>
              </w:rPr>
              <w:t>4.1 Levier Binational : Clé de Voûte des Financements Européens</w:t>
            </w:r>
          </w:p>
        </w:tc>
        <w:tc>
          <w:tcPr>
            <w:tcW w:type="dxa" w:w="4896"/>
          </w:tcPr>
          <w:p>
            <w:pPr>
              <w:spacing w:before="30" w:after="30"/>
              <w:jc w:val="right"/>
            </w:pPr>
            <w:r>
              <w:rPr>
                <w:rFonts w:ascii="Arial" w:hAnsi="Arial"/>
                <w:b/>
                <w:color w:val="0F172A"/>
                <w:sz w:val="18"/>
              </w:rPr>
              <w:t>8</w:t>
            </w:r>
          </w:p>
        </w:tc>
      </w:tr>
      <w:tr>
        <w:tc>
          <w:tcPr>
            <w:tcW w:type="dxa" w:w="4896"/>
          </w:tcPr>
          <w:p>
            <w:pPr>
              <w:spacing w:before="30" w:after="30"/>
            </w:pPr>
            <w:r>
              <w:rPr>
                <w:rFonts w:ascii="Georgia" w:hAnsi="Georgia"/>
                <w:b/>
                <w:color w:val="0F172A"/>
                <w:sz w:val="18"/>
              </w:rPr>
              <w:t>4.2 Nice, Centre d'Expertise AI Act de Référence pour la France</w:t>
            </w:r>
          </w:p>
        </w:tc>
        <w:tc>
          <w:tcPr>
            <w:tcW w:type="dxa" w:w="4896"/>
          </w:tcPr>
          <w:p>
            <w:pPr>
              <w:spacing w:before="30" w:after="30"/>
              <w:jc w:val="right"/>
            </w:pPr>
            <w:r>
              <w:rPr>
                <w:rFonts w:ascii="Arial" w:hAnsi="Arial"/>
                <w:b/>
                <w:color w:val="0F172A"/>
                <w:sz w:val="18"/>
              </w:rPr>
              <w:t>8</w:t>
            </w:r>
          </w:p>
        </w:tc>
      </w:tr>
      <w:tr>
        <w:tc>
          <w:tcPr>
            <w:tcW w:type="dxa" w:w="4896"/>
          </w:tcPr>
          <w:p>
            <w:pPr>
              <w:spacing w:before="30" w:after="30"/>
            </w:pPr>
            <w:r>
              <w:rPr>
                <w:rFonts w:ascii="Georgia" w:hAnsi="Georgia"/>
                <w:b/>
                <w:color w:val="0F172A"/>
                <w:sz w:val="18"/>
              </w:rPr>
              <w:t>4.3 Pôle d'Excellence PME/PMI &amp; Bibliothèque de Cas d'Usage Souverains</w:t>
            </w:r>
          </w:p>
        </w:tc>
        <w:tc>
          <w:tcPr>
            <w:tcW w:type="dxa" w:w="4896"/>
          </w:tcPr>
          <w:p>
            <w:pPr>
              <w:spacing w:before="30" w:after="30"/>
              <w:jc w:val="right"/>
            </w:pPr>
            <w:r>
              <w:rPr>
                <w:rFonts w:ascii="Arial" w:hAnsi="Arial"/>
                <w:b/>
                <w:color w:val="0F172A"/>
                <w:sz w:val="18"/>
              </w:rPr>
              <w:t>8</w:t>
            </w:r>
          </w:p>
        </w:tc>
      </w:tr>
      <w:tr>
        <w:tc>
          <w:tcPr>
            <w:tcW w:type="dxa" w:w="4896"/>
          </w:tcPr>
          <w:p>
            <w:pPr>
              <w:spacing w:before="30" w:after="30"/>
            </w:pPr>
            <w:r>
              <w:rPr>
                <w:rFonts w:ascii="Georgia" w:hAnsi="Georgia"/>
                <w:b/>
                <w:color w:val="0F172A"/>
                <w:sz w:val="18"/>
              </w:rPr>
              <w:t>4.4 Pôle d'Excellence pour les Niçoises et les Niçois</w:t>
            </w:r>
          </w:p>
        </w:tc>
        <w:tc>
          <w:tcPr>
            <w:tcW w:type="dxa" w:w="4896"/>
          </w:tcPr>
          <w:p>
            <w:pPr>
              <w:spacing w:before="30" w:after="30"/>
              <w:jc w:val="right"/>
            </w:pPr>
            <w:r>
              <w:rPr>
                <w:rFonts w:ascii="Arial" w:hAnsi="Arial"/>
                <w:b/>
                <w:color w:val="0F172A"/>
                <w:sz w:val="18"/>
              </w:rPr>
              <w:t>9</w:t>
            </w:r>
          </w:p>
        </w:tc>
      </w:tr>
      <w:tr>
        <w:tc>
          <w:tcPr>
            <w:tcW w:type="dxa" w:w="4896"/>
          </w:tcPr>
          <w:p>
            <w:pPr>
              <w:spacing w:before="30" w:after="30"/>
            </w:pPr>
            <w:r>
              <w:rPr>
                <w:rFonts w:ascii="Georgia" w:hAnsi="Georgia"/>
                <w:b/>
                <w:color w:val="0F172A"/>
                <w:sz w:val="18"/>
              </w:rPr>
              <w:t>5. Feuille de Route Précise (Sept 2026-2029) &amp; Résumé Annuel</w:t>
            </w:r>
          </w:p>
        </w:tc>
        <w:tc>
          <w:tcPr>
            <w:tcW w:type="dxa" w:w="4896"/>
          </w:tcPr>
          <w:p>
            <w:pPr>
              <w:spacing w:before="30" w:after="30"/>
              <w:jc w:val="right"/>
            </w:pPr>
            <w:r>
              <w:rPr>
                <w:rFonts w:ascii="Arial" w:hAnsi="Arial"/>
                <w:b/>
                <w:color w:val="0F172A"/>
                <w:sz w:val="18"/>
              </w:rPr>
              <w:t>9</w:t>
            </w:r>
          </w:p>
        </w:tc>
      </w:tr>
      <w:tr>
        <w:tc>
          <w:tcPr>
            <w:tcW w:type="dxa" w:w="4896"/>
          </w:tcPr>
          <w:p>
            <w:pPr>
              <w:spacing w:before="30" w:after="30"/>
            </w:pPr>
            <w:r>
              <w:rPr>
                <w:rFonts w:ascii="Georgia" w:hAnsi="Georgia"/>
                <w:b/>
                <w:color w:val="0F172A"/>
                <w:sz w:val="18"/>
              </w:rPr>
              <w:t>5.1 Présidence Éric Ciotti &amp; Direction Benoît SIGWALD (2,5j/sem)</w:t>
            </w:r>
          </w:p>
        </w:tc>
        <w:tc>
          <w:tcPr>
            <w:tcW w:type="dxa" w:w="4896"/>
          </w:tcPr>
          <w:p>
            <w:pPr>
              <w:spacing w:before="30" w:after="30"/>
              <w:jc w:val="right"/>
            </w:pPr>
            <w:r>
              <w:rPr>
                <w:rFonts w:ascii="Arial" w:hAnsi="Arial"/>
                <w:b/>
                <w:color w:val="0F172A"/>
                <w:sz w:val="18"/>
              </w:rPr>
              <w:t>9</w:t>
            </w:r>
          </w:p>
        </w:tc>
      </w:tr>
      <w:tr>
        <w:tc>
          <w:tcPr>
            <w:tcW w:type="dxa" w:w="4896"/>
          </w:tcPr>
          <w:p>
            <w:pPr>
              <w:spacing w:before="30" w:after="30"/>
            </w:pPr>
            <w:r>
              <w:rPr>
                <w:rFonts w:ascii="Georgia" w:hAnsi="Georgia"/>
                <w:b/>
                <w:color w:val="0F172A"/>
                <w:sz w:val="18"/>
              </w:rPr>
              <w:t>5.2 Échéancier Précis et Jalons par Date (Démarche 1er Septembre 2026)</w:t>
            </w:r>
          </w:p>
        </w:tc>
        <w:tc>
          <w:tcPr>
            <w:tcW w:type="dxa" w:w="4896"/>
          </w:tcPr>
          <w:p>
            <w:pPr>
              <w:spacing w:before="30" w:after="30"/>
              <w:jc w:val="right"/>
            </w:pPr>
            <w:r>
              <w:rPr>
                <w:rFonts w:ascii="Arial" w:hAnsi="Arial"/>
                <w:b/>
                <w:color w:val="0F172A"/>
                <w:sz w:val="18"/>
              </w:rPr>
              <w:t>9</w:t>
            </w:r>
          </w:p>
        </w:tc>
      </w:tr>
      <w:tr>
        <w:tc>
          <w:tcPr>
            <w:tcW w:type="dxa" w:w="4896"/>
          </w:tcPr>
          <w:p>
            <w:pPr>
              <w:spacing w:before="30" w:after="30"/>
            </w:pPr>
            <w:r>
              <w:rPr>
                <w:rFonts w:ascii="Georgia" w:hAnsi="Georgia"/>
                <w:b/>
                <w:color w:val="0F172A"/>
                <w:sz w:val="18"/>
              </w:rPr>
              <w:t>5.3 Résumé Consolidé du Coût par Axe Institutionnel (Mairie, Métropole, Monaco)</w:t>
            </w:r>
          </w:p>
        </w:tc>
        <w:tc>
          <w:tcPr>
            <w:tcW w:type="dxa" w:w="4896"/>
          </w:tcPr>
          <w:p>
            <w:pPr>
              <w:spacing w:before="30" w:after="30"/>
              <w:jc w:val="right"/>
            </w:pPr>
            <w:r>
              <w:rPr>
                <w:rFonts w:ascii="Arial" w:hAnsi="Arial"/>
                <w:b/>
                <w:color w:val="0F172A"/>
                <w:sz w:val="18"/>
              </w:rPr>
              <w:t>10</w:t>
            </w:r>
          </w:p>
        </w:tc>
      </w:tr>
      <w:tr>
        <w:tc>
          <w:tcPr>
            <w:tcW w:type="dxa" w:w="4896"/>
          </w:tcPr>
          <w:p>
            <w:pPr>
              <w:spacing w:before="30" w:after="30"/>
            </w:pPr>
            <w:r>
              <w:rPr>
                <w:rFonts w:ascii="Georgia" w:hAnsi="Georgia"/>
                <w:b/>
                <w:color w:val="0F172A"/>
                <w:sz w:val="18"/>
              </w:rPr>
              <w:t>6. Annexe : Justifications des Gains &amp; Sources Documentaires</w:t>
            </w:r>
          </w:p>
        </w:tc>
        <w:tc>
          <w:tcPr>
            <w:tcW w:type="dxa" w:w="4896"/>
          </w:tcPr>
          <w:p>
            <w:pPr>
              <w:spacing w:before="30" w:after="30"/>
              <w:jc w:val="right"/>
            </w:pPr>
            <w:r>
              <w:rPr>
                <w:rFonts w:ascii="Arial" w:hAnsi="Arial"/>
                <w:b/>
                <w:color w:val="0F172A"/>
                <w:sz w:val="18"/>
              </w:rPr>
              <w:t>11</w:t>
            </w:r>
          </w:p>
        </w:tc>
      </w:tr>
    </w:tbl>
    <w:p>
      <w:pPr>
        <w:pStyle w:val="Heading1"/>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ind w:left="504"/>
      </w:pPr>
      <w:r>
        <w:rPr>
          <w:rFonts w:ascii="Arial" w:hAnsi="Arial"/>
          <w:b/>
          <w:color w:val="0F172A"/>
        </w:rPr>
        <w:t>La Thèse Stratégique</w:t>
      </w:r>
      <w:r>
        <w:rPr>
          <w:rFonts w:ascii="Arial" w:hAnsi="Arial"/>
          <w:color w:val="1E293B"/>
        </w:rPr>
        <w:t xml:space="preserve"> : La course aux modèles de frontière se joue à l’échelle des superpuissances. Pour Nice, la vraie bataille stratégique réside dans </w:t>
      </w:r>
      <w:r>
        <w:rPr>
          <w:rFonts w:ascii="Arial" w:hAnsi="Arial"/>
          <w:b/>
          <w:color w:val="0F172A"/>
        </w:rPr>
        <w:t>l'usage concret, la sécurité publique, la souveraineté et la rigueur budgétaire</w:t>
      </w:r>
      <w:r>
        <w:rPr>
          <w:rFonts w:ascii="Arial" w:hAnsi="Arial"/>
          <w:color w:val="1E293B"/>
        </w:rPr>
        <w:t xml:space="preserve">, en </w:t>
      </w:r>
      <w:r>
        <w:rPr>
          <w:rFonts w:ascii="Arial" w:hAnsi="Arial"/>
          <w:b/>
          <w:color w:val="0F172A"/>
        </w:rPr>
        <w:t>maximisant nos atouts phares comme Sophia Antipolis</w:t>
      </w:r>
      <w:r>
        <w:rPr>
          <w:rFonts w:ascii="Arial" w:hAnsi="Arial"/>
          <w:color w:val="1E293B"/>
        </w:rPr>
        <w:t xml:space="preserve"> et en </w:t>
      </w:r>
      <w:r>
        <w:rPr>
          <w:rFonts w:ascii="Arial" w:hAnsi="Arial"/>
          <w:b/>
          <w:color w:val="0F172A"/>
        </w:rPr>
        <w:t>resserrant les liens industriels et souverains avec Monaco</w:t>
      </w:r>
      <w:r>
        <w:rPr>
          <w:rFonts w:ascii="Arial" w:hAnsi="Arial"/>
          <w:color w:val="1E293B"/>
        </w:rPr>
        <w:t>.</w:t>
      </w:r>
    </w:p>
    <w:p>
      <w:pPr>
        <w:pStyle w:val="ListBullet"/>
        <w:spacing w:before="40" w:after="100" w:line="276" w:lineRule="auto"/>
        <w:ind w:left="504"/>
      </w:pPr>
      <w:r>
        <w:rPr>
          <w:rFonts w:ascii="Arial" w:hAnsi="Arial"/>
          <w:b/>
          <w:color w:val="0F172A"/>
        </w:rPr>
        <w:t>La Vision Politique</w:t>
      </w:r>
      <w:r>
        <w:rPr>
          <w:rFonts w:ascii="Arial" w:hAnsi="Arial"/>
          <w:color w:val="1E293B"/>
        </w:rPr>
        <w:t xml:space="preserve"> : Aucune collectivité n'a encore préempté la position de </w:t>
      </w:r>
      <w:r>
        <w:rPr>
          <w:rFonts w:ascii="Arial" w:hAnsi="Arial"/>
          <w:b/>
          <w:color w:val="0F172A"/>
        </w:rPr>
        <w:t>« Capitale de l'IA de sécurité et d'efficience publique »</w:t>
      </w:r>
      <w:r>
        <w:rPr>
          <w:rFonts w:ascii="Arial" w:hAnsi="Arial"/>
          <w:color w:val="1E293B"/>
        </w:rPr>
        <w:t>. Nice doit être la première sous la conduite de M. Éric Ciotti.</w:t>
      </w:r>
    </w:p>
    <w:tbl>
      <w:tblPr>
        <w:tblW w:type="auto" w:w="0"/>
        <w:jc w:val="center"/>
        <w:tblLook w:firstColumn="1" w:firstRow="1" w:lastColumn="0" w:lastRow="0" w:noHBand="0" w:noVBand="1" w:val="04A0"/>
      </w:tblPr>
      <w:tblGrid>
        <w:gridCol w:w="2448"/>
        <w:gridCol w:w="2448"/>
        <w:gridCol w:w="2448"/>
        <w:gridCol w:w="2448"/>
      </w:tblGrid>
      <w:tr>
        <w:tc>
          <w:tcPr>
            <w:tcW w:type="dxa" w:w="2448"/>
            <w:shd w:fill="1E293B"/>
          </w:tcPr>
          <w:p>
            <w:pPr>
              <w:spacing w:before="80" w:after="80"/>
            </w:pPr>
            <w:r>
              <w:rPr>
                <w:rFonts w:ascii="Arial" w:hAnsi="Arial"/>
                <w:b/>
                <w:color w:val="FFFFFF"/>
                <w:sz w:val="18"/>
              </w:rPr>
              <w:t>Pilier Stratégique</w:t>
            </w:r>
          </w:p>
        </w:tc>
        <w:tc>
          <w:tcPr>
            <w:tcW w:type="dxa" w:w="2448"/>
            <w:shd w:fill="1E293B"/>
          </w:tcPr>
          <w:p>
            <w:pPr>
              <w:spacing w:before="80" w:after="80"/>
            </w:pPr>
            <w:r>
              <w:rPr>
                <w:rFonts w:ascii="Arial" w:hAnsi="Arial"/>
                <w:b/>
                <w:color w:val="FFFFFF"/>
                <w:sz w:val="18"/>
              </w:rPr>
              <w:t>Levier IA Appliqué</w:t>
            </w:r>
          </w:p>
        </w:tc>
        <w:tc>
          <w:tcPr>
            <w:tcW w:type="dxa" w:w="2448"/>
            <w:shd w:fill="1E293B"/>
          </w:tcPr>
          <w:p>
            <w:pPr>
              <w:spacing w:before="80" w:after="80"/>
            </w:pPr>
            <w:r>
              <w:rPr>
                <w:rFonts w:ascii="Arial" w:hAnsi="Arial"/>
                <w:b/>
                <w:color w:val="FFFFFF"/>
                <w:sz w:val="18"/>
              </w:rPr>
              <w:t>Chiffre Clé &amp; Impact</w:t>
            </w:r>
          </w:p>
        </w:tc>
        <w:tc>
          <w:tcPr>
            <w:tcW w:type="dxa" w:w="2448"/>
            <w:shd w:fill="1E293B"/>
          </w:tcPr>
          <w:p>
            <w:pPr>
              <w:spacing w:before="80" w:after="80"/>
            </w:pPr>
            <w:r>
              <w:rPr>
                <w:rFonts w:ascii="Arial" w:hAnsi="Arial"/>
                <w:b/>
                <w:color w:val="FFFFFF"/>
                <w:sz w:val="18"/>
              </w:rPr>
              <w:t>Justification / Source</w:t>
            </w:r>
          </w:p>
        </w:tc>
      </w:tr>
      <w:tr>
        <w:tc>
          <w:tcPr>
            <w:tcW w:type="dxa" w:w="2448"/>
            <w:shd w:fill="F8FAFC"/>
          </w:tcPr>
          <w:p>
            <w:pPr>
              <w:spacing w:before="80" w:after="80"/>
            </w:pPr>
            <w:r>
              <w:rPr>
                <w:rFonts w:ascii="Arial" w:hAnsi="Arial"/>
                <w:color w:val="1E293B"/>
                <w:sz w:val="17"/>
              </w:rPr>
              <w:t>1. CSU Augmenté &amp; Sécurité</w:t>
            </w:r>
          </w:p>
        </w:tc>
        <w:tc>
          <w:tcPr>
            <w:tcW w:type="dxa" w:w="2448"/>
            <w:shd w:fill="F8FAFC"/>
          </w:tcPr>
          <w:p>
            <w:pPr>
              <w:spacing w:before="80" w:after="80"/>
            </w:pPr>
            <w:r>
              <w:rPr>
                <w:rFonts w:ascii="Arial" w:hAnsi="Arial"/>
                <w:color w:val="1E293B"/>
                <w:sz w:val="17"/>
              </w:rPr>
              <w:t>VSA 4 300+ caméras &amp; alertes</w:t>
            </w:r>
          </w:p>
        </w:tc>
        <w:tc>
          <w:tcPr>
            <w:tcW w:type="dxa" w:w="2448"/>
            <w:shd w:fill="F8FAFC"/>
          </w:tcPr>
          <w:p>
            <w:pPr>
              <w:spacing w:before="80" w:after="80"/>
            </w:pPr>
            <w:r>
              <w:rPr>
                <w:rFonts w:ascii="Arial" w:hAnsi="Arial"/>
                <w:color w:val="1E293B"/>
                <w:sz w:val="17"/>
              </w:rPr>
              <w:t>Incivilités -65 %</w:t>
            </w:r>
          </w:p>
        </w:tc>
        <w:tc>
          <w:tcPr>
            <w:tcW w:type="dxa" w:w="2448"/>
            <w:shd w:fill="F8FAFC"/>
          </w:tcPr>
          <w:p>
            <w:pPr>
              <w:spacing w:before="80" w:after="80"/>
            </w:pPr>
            <w:r>
              <w:rPr>
                <w:rFonts w:ascii="Arial" w:hAnsi="Arial"/>
                <w:color w:val="1E293B"/>
                <w:sz w:val="17"/>
              </w:rPr>
              <w:t>Moins d'écrans, plus de PM en rue.</w:t>
            </w:r>
          </w:p>
        </w:tc>
      </w:tr>
      <w:tr>
        <w:tc>
          <w:tcPr>
            <w:tcW w:type="dxa" w:w="2448"/>
            <w:shd w:fill="FFFFFF"/>
          </w:tcPr>
          <w:p>
            <w:pPr>
              <w:spacing w:before="80" w:after="80"/>
            </w:pPr>
            <w:r>
              <w:rPr>
                <w:rFonts w:ascii="Arial" w:hAnsi="Arial"/>
                <w:color w:val="1E293B"/>
                <w:sz w:val="17"/>
              </w:rPr>
              <w:t>2. Audit Commande Publique</w:t>
            </w:r>
          </w:p>
        </w:tc>
        <w:tc>
          <w:tcPr>
            <w:tcW w:type="dxa" w:w="2448"/>
            <w:shd w:fill="FFFFFF"/>
          </w:tcPr>
          <w:p>
            <w:pPr>
              <w:spacing w:before="80" w:after="80"/>
            </w:pPr>
            <w:r>
              <w:rPr>
                <w:rFonts w:ascii="Arial" w:hAnsi="Arial"/>
                <w:color w:val="1E293B"/>
                <w:sz w:val="17"/>
              </w:rPr>
              <w:t>Ingestion sémantique factures (300 M€)</w:t>
            </w:r>
          </w:p>
        </w:tc>
        <w:tc>
          <w:tcPr>
            <w:tcW w:type="dxa" w:w="2448"/>
            <w:shd w:fill="FFFFFF"/>
          </w:tcPr>
          <w:p>
            <w:pPr>
              <w:spacing w:before="80" w:after="80"/>
            </w:pPr>
            <w:r>
              <w:rPr>
                <w:rFonts w:ascii="Arial" w:hAnsi="Arial"/>
                <w:color w:val="1E293B"/>
                <w:sz w:val="17"/>
              </w:rPr>
              <w:t>+2,50 M€ / an NET</w:t>
            </w:r>
          </w:p>
        </w:tc>
        <w:tc>
          <w:tcPr>
            <w:tcW w:type="dxa" w:w="2448"/>
            <w:shd w:fill="FFFFFF"/>
          </w:tcPr>
          <w:p>
            <w:pPr>
              <w:spacing w:before="80" w:after="80"/>
            </w:pPr>
            <w:r>
              <w:rPr>
                <w:rFonts w:ascii="Arial" w:hAnsi="Arial"/>
                <w:color w:val="1E293B"/>
                <w:sz w:val="17"/>
              </w:rPr>
              <w:t>Erreurs &amp; doublons filtrés.</w:t>
            </w:r>
          </w:p>
        </w:tc>
      </w:tr>
      <w:tr>
        <w:tc>
          <w:tcPr>
            <w:tcW w:type="dxa" w:w="2448"/>
            <w:shd w:fill="F8FAFC"/>
          </w:tcPr>
          <w:p>
            <w:pPr>
              <w:spacing w:before="80" w:after="80"/>
            </w:pPr>
            <w:r>
              <w:rPr>
                <w:rFonts w:ascii="Arial" w:hAnsi="Arial"/>
                <w:color w:val="1E293B"/>
                <w:sz w:val="17"/>
              </w:rPr>
              <w:t>3. Bouclier Cyber-IA (NIS 2)</w:t>
            </w:r>
          </w:p>
        </w:tc>
        <w:tc>
          <w:tcPr>
            <w:tcW w:type="dxa" w:w="2448"/>
            <w:shd w:fill="F8FAFC"/>
          </w:tcPr>
          <w:p>
            <w:pPr>
              <w:spacing w:before="80" w:after="80"/>
            </w:pPr>
            <w:r>
              <w:rPr>
                <w:rFonts w:ascii="Arial" w:hAnsi="Arial"/>
                <w:color w:val="1E293B"/>
                <w:sz w:val="17"/>
              </w:rPr>
              <w:t>SOC IA 24/7 souverain &amp; Air-Gap</w:t>
            </w:r>
          </w:p>
        </w:tc>
        <w:tc>
          <w:tcPr>
            <w:tcW w:type="dxa" w:w="2448"/>
            <w:shd w:fill="F8FAFC"/>
          </w:tcPr>
          <w:p>
            <w:pPr>
              <w:spacing w:before="80" w:after="80"/>
            </w:pPr>
            <w:r>
              <w:rPr>
                <w:rFonts w:ascii="Arial" w:hAnsi="Arial"/>
                <w:color w:val="1E293B"/>
                <w:sz w:val="17"/>
              </w:rPr>
              <w:t>1,8 à 3 M€ / an</w:t>
            </w:r>
          </w:p>
        </w:tc>
        <w:tc>
          <w:tcPr>
            <w:tcW w:type="dxa" w:w="2448"/>
            <w:shd w:fill="F8FAFC"/>
          </w:tcPr>
          <w:p>
            <w:pPr>
              <w:spacing w:before="80" w:after="80"/>
            </w:pPr>
            <w:r>
              <w:rPr>
                <w:rFonts w:ascii="Arial" w:hAnsi="Arial"/>
                <w:color w:val="1E293B"/>
                <w:sz w:val="17"/>
              </w:rPr>
              <w:t>Crises ransomware évitées.</w:t>
            </w:r>
          </w:p>
        </w:tc>
      </w:tr>
      <w:tr>
        <w:tc>
          <w:tcPr>
            <w:tcW w:type="dxa" w:w="2448"/>
            <w:shd w:fill="FFFFFF"/>
          </w:tcPr>
          <w:p>
            <w:pPr>
              <w:spacing w:before="80" w:after="80"/>
            </w:pPr>
            <w:r>
              <w:rPr>
                <w:rFonts w:ascii="Arial" w:hAnsi="Arial"/>
                <w:color w:val="1E293B"/>
                <w:sz w:val="17"/>
              </w:rPr>
              <w:t>4. Monaco Cloud &amp; Zone Franche</w:t>
            </w:r>
          </w:p>
        </w:tc>
        <w:tc>
          <w:tcPr>
            <w:tcW w:type="dxa" w:w="2448"/>
            <w:shd w:fill="FFFFFF"/>
          </w:tcPr>
          <w:p>
            <w:pPr>
              <w:spacing w:before="80" w:after="80"/>
            </w:pPr>
            <w:r>
              <w:rPr>
                <w:rFonts w:ascii="Arial" w:hAnsi="Arial"/>
                <w:color w:val="1E293B"/>
                <w:sz w:val="17"/>
              </w:rPr>
              <w:t>Data Center Souverain (AMSN) &amp; Zone Franche</w:t>
            </w:r>
          </w:p>
        </w:tc>
        <w:tc>
          <w:tcPr>
            <w:tcW w:type="dxa" w:w="2448"/>
            <w:shd w:fill="FFFFFF"/>
          </w:tcPr>
          <w:p>
            <w:pPr>
              <w:spacing w:before="80" w:after="80"/>
            </w:pPr>
            <w:r>
              <w:rPr>
                <w:rFonts w:ascii="Arial" w:hAnsi="Arial"/>
                <w:color w:val="1E293B"/>
                <w:sz w:val="17"/>
              </w:rPr>
              <w:t>1,5 à 2,8 M€ / an</w:t>
            </w:r>
          </w:p>
        </w:tc>
        <w:tc>
          <w:tcPr>
            <w:tcW w:type="dxa" w:w="2448"/>
            <w:shd w:fill="FFFFFF"/>
          </w:tcPr>
          <w:p>
            <w:pPr>
              <w:spacing w:before="80" w:after="80"/>
            </w:pPr>
            <w:r>
              <w:rPr>
                <w:rFonts w:ascii="Arial" w:hAnsi="Arial"/>
                <w:color w:val="1E293B"/>
                <w:sz w:val="17"/>
              </w:rPr>
              <w:t>Économies IT + 8-12M€ CAPEX évité.</w:t>
            </w:r>
          </w:p>
        </w:tc>
      </w:tr>
      <w:tr>
        <w:tc>
          <w:tcPr>
            <w:tcW w:type="dxa" w:w="2448"/>
            <w:shd w:fill="F8FAFC"/>
          </w:tcPr>
          <w:p>
            <w:pPr>
              <w:spacing w:before="80" w:after="80"/>
            </w:pPr>
            <w:r>
              <w:rPr>
                <w:rFonts w:ascii="Arial" w:hAnsi="Arial"/>
                <w:color w:val="1E293B"/>
                <w:sz w:val="17"/>
              </w:rPr>
              <w:t>5. Financements Europe &amp; Gigafactory</w:t>
            </w:r>
          </w:p>
        </w:tc>
        <w:tc>
          <w:tcPr>
            <w:tcW w:type="dxa" w:w="2448"/>
            <w:shd w:fill="F8FAFC"/>
          </w:tcPr>
          <w:p>
            <w:pPr>
              <w:spacing w:before="80" w:after="80"/>
            </w:pPr>
            <w:r>
              <w:rPr>
                <w:rFonts w:ascii="Arial" w:hAnsi="Arial"/>
                <w:color w:val="1E293B"/>
                <w:sz w:val="17"/>
              </w:rPr>
              <w:t>Subventions UE (EuroHPC, DIGITAL)</w:t>
            </w:r>
          </w:p>
        </w:tc>
        <w:tc>
          <w:tcPr>
            <w:tcW w:type="dxa" w:w="2448"/>
            <w:shd w:fill="F8FAFC"/>
          </w:tcPr>
          <w:p>
            <w:pPr>
              <w:spacing w:before="80" w:after="80"/>
            </w:pPr>
            <w:r>
              <w:rPr>
                <w:rFonts w:ascii="Arial" w:hAnsi="Arial"/>
                <w:color w:val="1E293B"/>
                <w:sz w:val="17"/>
              </w:rPr>
              <w:t>500 M€ visés</w:t>
            </w:r>
          </w:p>
        </w:tc>
        <w:tc>
          <w:tcPr>
            <w:tcW w:type="dxa" w:w="2448"/>
            <w:shd w:fill="F8FAFC"/>
          </w:tcPr>
          <w:p>
            <w:pPr>
              <w:spacing w:before="80" w:after="80"/>
            </w:pPr>
            <w:r>
              <w:rPr>
                <w:rFonts w:ascii="Arial" w:hAnsi="Arial"/>
                <w:color w:val="1E293B"/>
                <w:sz w:val="17"/>
              </w:rPr>
              <w:t>Candidature binationale Nice-Monaco.</w:t>
            </w:r>
          </w:p>
        </w:tc>
      </w:tr>
    </w:tbl>
    <w:p>
      <w:pPr>
        <w:spacing w:after="120"/>
      </w:pPr>
    </w:p>
    <w:p>
      <w:r>
        <w:br w:type="page"/>
      </w:r>
    </w:p>
    <w:p>
      <w:pPr>
        <w:pStyle w:val="Heading1"/>
        <w:keepNext/>
        <w:spacing w:before="360" w:after="160"/>
      </w:pPr>
      <w:r>
        <w:rPr>
          <w:rFonts w:ascii="Georgia" w:hAnsi="Georgia"/>
          <w:b/>
          <w:color w:val="0F172A"/>
          <w:sz w:val="30"/>
        </w:rPr>
        <w:t>1. Diagnostic Territorial &amp; Opportunités Européennes</w:t>
      </w:r>
    </w:p>
    <w:p>
      <w:pPr>
        <w:pStyle w:val="Heading2"/>
        <w:keepNext/>
        <w:spacing w:before="280" w:after="120"/>
      </w:pPr>
      <w:r>
        <w:rPr>
          <w:rFonts w:ascii="Georgia" w:hAnsi="Georgia"/>
          <w:b/>
          <w:color w:val="1E3A8A"/>
          <w:sz w:val="25"/>
        </w:rPr>
        <w:t>1.1 Alignement Institutionnel &amp; Leadership</w:t>
      </w:r>
    </w:p>
    <w:p>
      <w:pPr>
        <w:pStyle w:val="ListBullet"/>
        <w:spacing w:before="40" w:after="100" w:line="276" w:lineRule="auto"/>
        <w:ind w:left="504"/>
      </w:pPr>
      <w:r>
        <w:rPr>
          <w:rFonts w:ascii="Arial" w:hAnsi="Arial"/>
          <w:b/>
          <w:color w:val="0F172A"/>
        </w:rPr>
        <w:t>Échelle nationale</w:t>
      </w:r>
      <w:r>
        <w:rPr>
          <w:rFonts w:ascii="Arial" w:hAnsi="Arial"/>
          <w:color w:val="1E293B"/>
        </w:rPr>
        <w:t xml:space="preserve"> : La note </w:t>
      </w:r>
      <w:r>
        <w:rPr>
          <w:rFonts w:ascii="Arial" w:hAnsi="Arial"/>
          <w:i/>
        </w:rPr>
        <w:t>« Opération Prométhée »</w:t>
      </w:r>
      <w:r>
        <w:rPr>
          <w:rFonts w:ascii="Arial" w:hAnsi="Arial"/>
          <w:color w:val="1E293B"/>
        </w:rPr>
        <w:t xml:space="preserve"> (juillet 2026, Le Grand Continent) fixe le cadre : un plan de </w:t>
      </w:r>
      <w:r>
        <w:rPr>
          <w:rFonts w:ascii="Arial" w:hAnsi="Arial"/>
          <w:b/>
          <w:color w:val="0F172A"/>
        </w:rPr>
        <w:t>700 Md$ sur 3 ans</w:t>
      </w:r>
      <w:r>
        <w:rPr>
          <w:rFonts w:ascii="Arial" w:hAnsi="Arial"/>
          <w:color w:val="1E293B"/>
        </w:rPr>
        <w:t xml:space="preserve"> (12 GW, 1 700 chercheurs). L'IA est devenue une ressource stratégique souveraine identique à l'énergie.</w:t>
      </w:r>
    </w:p>
    <w:p>
      <w:pPr>
        <w:pStyle w:val="ListBullet"/>
        <w:spacing w:before="40" w:after="100" w:line="276" w:lineRule="auto"/>
        <w:ind w:left="504"/>
      </w:pPr>
      <w:r>
        <w:rPr>
          <w:rFonts w:ascii="Arial" w:hAnsi="Arial"/>
          <w:b/>
          <w:color w:val="0F172A"/>
        </w:rPr>
        <w:t>Échelle régionale</w:t>
      </w:r>
      <w:r>
        <w:rPr>
          <w:rFonts w:ascii="Arial" w:hAnsi="Arial"/>
          <w:color w:val="1E293B"/>
        </w:rPr>
        <w:t xml:space="preserve"> : La Région Sud affiche un </w:t>
      </w:r>
      <w:r>
        <w:rPr>
          <w:rFonts w:ascii="Arial" w:hAnsi="Arial"/>
          <w:i/>
        </w:rPr>
        <w:t>Plan SUD IA</w:t>
      </w:r>
      <w:r>
        <w:rPr>
          <w:rFonts w:ascii="Arial" w:hAnsi="Arial"/>
          <w:color w:val="1E293B"/>
        </w:rPr>
        <w:t xml:space="preserve"> (70 M€ sur 5 ans), la Métropole lance des appels à projets isolés et le Département anime la Maison de l'IA (MIA) à Sophia Antipolis.</w:t>
      </w:r>
    </w:p>
    <w:p>
      <w:pPr>
        <w:pStyle w:val="ListBullet"/>
        <w:spacing w:before="40" w:after="100" w:line="276" w:lineRule="auto"/>
        <w:ind w:left="504"/>
      </w:pPr>
      <w:r>
        <w:rPr>
          <w:rFonts w:ascii="Arial" w:hAnsi="Arial"/>
          <w:b/>
          <w:color w:val="0F172A"/>
        </w:rPr>
        <w:t>Une gouvernance à unifier (Constat constructif)</w:t>
      </w:r>
      <w:r>
        <w:rPr>
          <w:rFonts w:ascii="Arial" w:hAnsi="Arial"/>
          <w:color w:val="1E293B"/>
        </w:rPr>
        <w:t xml:space="preserve"> : </w:t>
      </w:r>
      <w:r>
        <w:rPr>
          <w:rFonts w:ascii="Arial" w:hAnsi="Arial"/>
          <w:b/>
          <w:color w:val="0F172A"/>
        </w:rPr>
        <w:t>Les frictions institutionnelles et les complexités d'arbitrage au sein de la Région PACA peuvent ralentir l'accès optimal aux subventions</w:t>
      </w:r>
      <w:r>
        <w:rPr>
          <w:rFonts w:ascii="Arial" w:hAnsi="Arial"/>
          <w:color w:val="1E293B"/>
        </w:rPr>
        <w:t>. Un alignement direct et unifié est indispensable pour accélérer les financements.</w:t>
      </w:r>
    </w:p>
    <w:p>
      <w:pPr>
        <w:pStyle w:val="ListBullet"/>
        <w:spacing w:before="40" w:after="100" w:line="276" w:lineRule="auto"/>
        <w:ind w:left="504"/>
      </w:pPr>
      <w:r>
        <w:rPr>
          <w:rFonts w:ascii="Arial" w:hAnsi="Arial"/>
          <w:b/>
          <w:color w:val="0F172A"/>
        </w:rPr>
        <w:t>La solution</w:t>
      </w:r>
      <w:r>
        <w:rPr>
          <w:rFonts w:ascii="Arial" w:hAnsi="Arial"/>
          <w:color w:val="1E293B"/>
        </w:rPr>
        <w:t xml:space="preserve"> : Seul un </w:t>
      </w:r>
      <w:r>
        <w:rPr>
          <w:rFonts w:ascii="Arial" w:hAnsi="Arial"/>
          <w:b/>
          <w:color w:val="0F172A"/>
        </w:rPr>
        <w:t>leadership métropolitain incontestable porté au plus haut niveau par M. Éric Ciotti</w:t>
      </w:r>
      <w:r>
        <w:rPr>
          <w:rFonts w:ascii="Arial" w:hAnsi="Arial"/>
          <w:color w:val="1E293B"/>
        </w:rPr>
        <w:t xml:space="preserve"> permettra d'outrepasser ces frictions institutionnelles et d'aller capturer directement les subventions auprès de l'État et des guichets européens.</w:t>
      </w:r>
    </w:p>
    <w:p>
      <w:pPr>
        <w:pStyle w:val="Heading2"/>
        <w:keepNext/>
        <w:spacing w:before="280" w:after="120"/>
      </w:pPr>
      <w:r>
        <w:rPr>
          <w:rFonts w:ascii="Georgia" w:hAnsi="Georgia"/>
          <w:b/>
          <w:color w:val="1E3A8A"/>
          <w:sz w:val="25"/>
        </w:rPr>
        <w:t>1.2 Le Terreau Azuréen : Sophia Antipolis, Grasse, Cannes &amp; Poids National</w:t>
      </w:r>
    </w:p>
    <w:p>
      <w:pPr>
        <w:pStyle w:val="ListBullet"/>
        <w:spacing w:before="40" w:after="100" w:line="276" w:lineRule="auto"/>
        <w:ind w:left="504"/>
      </w:pPr>
      <w:r>
        <w:rPr>
          <w:rFonts w:ascii="Arial" w:hAnsi="Arial"/>
          <w:b/>
          <w:color w:val="0F172A"/>
        </w:rPr>
        <w:t>Sophia Antipolis (1ère technopole d’Europe)</w:t>
      </w:r>
      <w:r>
        <w:rPr>
          <w:rFonts w:ascii="Arial" w:hAnsi="Arial"/>
          <w:color w:val="1E293B"/>
        </w:rPr>
        <w:t xml:space="preserve"> : ~2 700 entreprises, ~46 000 emplois, ~5 500 chercheurs. Un réservoir mondial d'ingénierie et de recherche d'élite.</w:t>
      </w:r>
    </w:p>
    <w:p>
      <w:pPr>
        <w:pStyle w:val="ListBullet"/>
        <w:spacing w:before="40" w:after="100" w:line="276" w:lineRule="auto"/>
        <w:ind w:left="504"/>
      </w:pPr>
      <w:r>
        <w:rPr>
          <w:rFonts w:ascii="Arial" w:hAnsi="Arial"/>
          <w:b/>
          <w:color w:val="0F172A"/>
        </w:rPr>
        <w:t>Sophia c’est ~25,6 % de tous les emplois technopolitains de France.</w:t>
      </w:r>
    </w:p>
    <w:p>
      <w:pPr>
        <w:pStyle w:val="ListBullet"/>
        <w:spacing w:before="40" w:after="100" w:line="276" w:lineRule="auto"/>
        <w:ind w:left="504"/>
      </w:pPr>
      <w:r>
        <w:rPr>
          <w:rFonts w:ascii="Arial" w:hAnsi="Arial"/>
          <w:b/>
          <w:color w:val="0F172A"/>
        </w:rPr>
        <w:t>Sophia c’est ~19,3 % du total des entreprises implantées dans ces structures.</w:t>
      </w:r>
    </w:p>
    <w:p>
      <w:pPr>
        <w:pStyle w:val="ListBullet"/>
        <w:spacing w:before="40" w:after="100" w:line="276" w:lineRule="auto"/>
        <w:ind w:left="504"/>
      </w:pPr>
      <w:r>
        <w:rPr>
          <w:rFonts w:ascii="Arial" w:hAnsi="Arial"/>
          <w:b/>
          <w:color w:val="0F172A"/>
        </w:rPr>
        <w:t>Le terreau azuréen représente seulement 1,66 % de la population Française.</w:t>
      </w:r>
    </w:p>
    <w:p>
      <w:pPr>
        <w:pStyle w:val="ListBullet"/>
        <w:spacing w:before="40" w:after="100" w:line="276" w:lineRule="auto"/>
        <w:ind w:left="504"/>
      </w:pPr>
      <w:r>
        <w:rPr>
          <w:rFonts w:ascii="Arial" w:hAnsi="Arial"/>
          <w:b/>
          <w:color w:val="0F172A"/>
        </w:rPr>
        <w:t>Institut 3IA Côte d’Azur &amp; UCA</w:t>
      </w:r>
      <w:r>
        <w:rPr>
          <w:rFonts w:ascii="Arial" w:hAnsi="Arial"/>
          <w:color w:val="1E293B"/>
        </w:rPr>
        <w:t xml:space="preserve"> : L'un des 4 instituts nationaux d'IA (spécialisé en santé numérique) avec Inria, Eurecom et le CNRS (représentant </w:t>
      </w:r>
      <w:r>
        <w:rPr>
          <w:rFonts w:ascii="Arial" w:hAnsi="Arial"/>
          <w:b/>
          <w:color w:val="0F172A"/>
        </w:rPr>
        <w:t>25 % du réseau national des 4 Instituts 3IA</w:t>
      </w:r>
      <w:r>
        <w:rPr>
          <w:rFonts w:ascii="Arial" w:hAnsi="Arial"/>
          <w:color w:val="1E293B"/>
        </w:rPr>
        <w:t>).</w:t>
      </w:r>
    </w:p>
    <w:p>
      <w:pPr>
        <w:pStyle w:val="ListBullet"/>
        <w:spacing w:before="40" w:after="100" w:line="276" w:lineRule="auto"/>
        <w:ind w:left="504"/>
      </w:pPr>
      <w:r>
        <w:rPr>
          <w:rFonts w:ascii="Arial" w:hAnsi="Arial"/>
          <w:b/>
          <w:color w:val="0F172A"/>
        </w:rPr>
        <w:t>Synergie Grasse (Arômes &amp; Parfums)</w:t>
      </w:r>
      <w:r>
        <w:rPr>
          <w:rFonts w:ascii="Arial" w:hAnsi="Arial"/>
          <w:color w:val="1E293B"/>
        </w:rPr>
        <w:t xml:space="preserve"> : Modélisation olfactive, chimie fine et IA sensorielle pour l'industrie aromatique et la santé.</w:t>
      </w:r>
    </w:p>
    <w:p>
      <w:pPr>
        <w:pStyle w:val="ListBullet"/>
        <w:spacing w:before="40" w:after="100" w:line="276" w:lineRule="auto"/>
        <w:ind w:left="504"/>
      </w:pPr>
      <w:r>
        <w:rPr>
          <w:rFonts w:ascii="Arial" w:hAnsi="Arial"/>
          <w:b/>
          <w:color w:val="0F172A"/>
        </w:rPr>
        <w:t>Synergie Cannes (Thales Alenia Space)</w:t>
      </w:r>
      <w:r>
        <w:rPr>
          <w:rFonts w:ascii="Arial" w:hAnsi="Arial"/>
          <w:color w:val="1E293B"/>
        </w:rPr>
        <w:t xml:space="preserve"> : Traitement d'imagerie satellite par IA, observation de la Terre et défense spatiale (représentant avec Amadeus </w:t>
      </w:r>
      <w:r>
        <w:rPr>
          <w:rFonts w:ascii="Arial" w:hAnsi="Arial"/>
          <w:b/>
          <w:color w:val="0F172A"/>
        </w:rPr>
        <w:t>6 % de la dépense privée R&amp;D logicielle/spatiale française</w:t>
      </w:r>
      <w:r>
        <w:rPr>
          <w:rFonts w:ascii="Arial" w:hAnsi="Arial"/>
          <w:color w:val="1E293B"/>
        </w:rPr>
        <w:t>).</w:t>
      </w:r>
    </w:p>
    <w:p>
      <w:pPr>
        <w:pStyle w:val="ListBullet"/>
        <w:spacing w:before="40" w:after="100" w:line="276" w:lineRule="auto"/>
        <w:ind w:left="504"/>
      </w:pPr>
      <w:r>
        <w:rPr>
          <w:rFonts w:ascii="Arial" w:hAnsi="Arial"/>
          <w:b/>
          <w:color w:val="0F172A"/>
        </w:rPr>
        <w:t>Chercheurs R&amp;D Numérique</w:t>
      </w:r>
      <w:r>
        <w:rPr>
          <w:rFonts w:ascii="Arial" w:hAnsi="Arial"/>
          <w:color w:val="1E293B"/>
        </w:rPr>
        <w:t xml:space="preserve"> : ~5 500 chercheurs (public+privé), soit </w:t>
      </w:r>
      <w:r>
        <w:rPr>
          <w:rFonts w:ascii="Arial" w:hAnsi="Arial"/>
          <w:b/>
          <w:color w:val="0F172A"/>
        </w:rPr>
        <w:t>~12 % du total national hors Île-de-France</w:t>
      </w:r>
      <w:r>
        <w:rPr>
          <w:rFonts w:ascii="Arial" w:hAnsi="Arial"/>
          <w:color w:val="1E293B"/>
        </w:rPr>
        <w:t xml:space="preserve"> (2e bassin français après Paris).</w:t>
      </w:r>
    </w:p>
    <w:p>
      <w:pPr>
        <w:pStyle w:val="ListBullet"/>
        <w:spacing w:before="40" w:after="100" w:line="276" w:lineRule="auto"/>
        <w:ind w:left="504"/>
      </w:pPr>
      <w:r>
        <w:rPr>
          <w:rFonts w:ascii="Arial" w:hAnsi="Arial"/>
          <w:b/>
          <w:color w:val="0F172A"/>
        </w:rPr>
        <w:t>Attractivité Riviera &amp; 2e aéroport de France</w:t>
      </w:r>
      <w:r>
        <w:rPr>
          <w:rFonts w:ascii="Arial" w:hAnsi="Arial"/>
          <w:color w:val="1E293B"/>
        </w:rPr>
        <w:t xml:space="preserve"> : Capacité unique de captation et de rétention des chercheurs d'élite que Paris ne conserve plus.</w:t>
      </w:r>
    </w:p>
    <w:p>
      <w:pPr>
        <w:spacing w:before="160" w:after="200"/>
        <w:jc w:val="center"/>
      </w:pPr>
      <w:r>
        <w:drawing>
          <wp:inline xmlns:a="http://schemas.openxmlformats.org/drawingml/2006/main" xmlns:pic="http://schemas.openxmlformats.org/drawingml/2006/picture">
            <wp:extent cx="5486400" cy="1752600"/>
            <wp:docPr id="1" name="Picture 1"/>
            <wp:cNvGraphicFramePr>
              <a:graphicFrameLocks noChangeAspect="1"/>
            </wp:cNvGraphicFramePr>
            <a:graphic>
              <a:graphicData uri="http://schemas.openxmlformats.org/drawingml/2006/picture">
                <pic:pic>
                  <pic:nvPicPr>
                    <pic:cNvPr id="0" name="chart1_poids_national.png"/>
                    <pic:cNvPicPr/>
                  </pic:nvPicPr>
                  <pic:blipFill>
                    <a:blip r:embed="rId9"/>
                    <a:stretch>
                      <a:fillRect/>
                    </a:stretch>
                  </pic:blipFill>
                  <pic:spPr>
                    <a:xfrm>
                      <a:off x="0" y="0"/>
                      <a:ext cx="5486400" cy="1752600"/>
                    </a:xfrm>
                    <a:prstGeom prst="rect"/>
                  </pic:spPr>
                </pic:pic>
              </a:graphicData>
            </a:graphic>
          </wp:inline>
        </w:drawing>
      </w:r>
    </w:p>
    <w:p>
      <w:pPr>
        <w:pStyle w:val="Heading2"/>
        <w:keepNext/>
        <w:spacing w:before="280" w:after="120"/>
      </w:pPr>
      <w:r>
        <w:rPr>
          <w:rFonts w:ascii="Georgia" w:hAnsi="Georgia"/>
          <w:b/>
          <w:color w:val="1E3A8A"/>
          <w:sz w:val="25"/>
        </w:rPr>
        <w:t>1.3 Atouts Monaco, Flux Transfrontaliers &amp; Extension Business</w:t>
      </w:r>
    </w:p>
    <w:p>
      <w:pPr>
        <w:pStyle w:val="ListBullet"/>
        <w:spacing w:before="40" w:after="100" w:line="276" w:lineRule="auto"/>
        <w:ind w:left="504"/>
      </w:pPr>
      <w:r>
        <w:rPr>
          <w:rFonts w:ascii="Arial" w:hAnsi="Arial"/>
          <w:b/>
          <w:color w:val="0F172A"/>
        </w:rPr>
        <w:t>Monaco Cloud &amp; Data Center Souverain d'État</w:t>
      </w:r>
      <w:r>
        <w:rPr>
          <w:rFonts w:ascii="Arial" w:hAnsi="Arial"/>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ind w:left="504"/>
      </w:pPr>
      <w:r>
        <w:rPr>
          <w:rFonts w:ascii="Arial" w:hAnsi="Arial"/>
          <w:b/>
          <w:color w:val="0F172A"/>
        </w:rPr>
        <w:t>Besoin d'extension de la Principauté pour le business</w:t>
      </w:r>
      <w:r>
        <w:rPr>
          <w:rFonts w:ascii="Arial" w:hAnsi="Arial"/>
          <w:color w:val="1E293B"/>
        </w:rPr>
        <w:t xml:space="preserve"> : Monaco dispose d'un capital et d'un tissu d'entreprises majeurs mais souffre d'une contrainte foncière extrême. L'alliance avec la Métropole Nice Côte d'Azur offrirait le terrain d'extension économique et technologique indispensable.</w:t>
      </w:r>
    </w:p>
    <w:p>
      <w:pPr>
        <w:pStyle w:val="ListBullet"/>
        <w:spacing w:before="40" w:after="100" w:line="276" w:lineRule="auto"/>
        <w:ind w:left="504"/>
      </w:pPr>
      <w:r>
        <w:rPr>
          <w:rFonts w:ascii="Arial" w:hAnsi="Arial"/>
          <w:b/>
          <w:color w:val="0F172A"/>
        </w:rPr>
        <w:t>45 000 salariés transfrontaliers quotidiens</w:t>
      </w:r>
      <w:r>
        <w:rPr>
          <w:rFonts w:ascii="Arial" w:hAnsi="Arial"/>
          <w:color w:val="1E293B"/>
        </w:rPr>
        <w:t xml:space="preserve"> : Plus de 45 000 salariés traversent chaque jour Nice pour travailler à Monaco (sources INSEE/SCT), constituant un bassin d'emploi unique à irriguer par l'IA. Réduire ces déplacements au quotidien permettra une amélioration de la qualité de vie et une maîtrise des émissions de CO2.</w:t>
      </w:r>
    </w:p>
    <w:p>
      <w:pPr>
        <w:pStyle w:val="ListBullet"/>
        <w:spacing w:before="40" w:after="100" w:line="276" w:lineRule="auto"/>
        <w:ind w:left="504"/>
      </w:pPr>
      <w:r>
        <w:rPr>
          <w:rFonts w:ascii="Arial" w:hAnsi="Arial"/>
          <w:b/>
          <w:color w:val="0F172A"/>
        </w:rPr>
        <w:t>Une filière IA spécialisée en plein essor à décupler</w:t>
      </w:r>
      <w:r>
        <w:rPr>
          <w:rFonts w:ascii="Arial" w:hAnsi="Arial"/>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ind w:left="504"/>
      </w:pPr>
      <w:r>
        <w:rPr>
          <w:rFonts w:ascii="Arial" w:hAnsi="Arial"/>
          <w:b/>
          <w:color w:val="0F172A"/>
        </w:rPr>
        <w:t>Le verrou électrique &amp; contrainte foncière</w:t>
      </w:r>
      <w:r>
        <w:rPr>
          <w:rFonts w:ascii="Arial" w:hAnsi="Arial"/>
          <w:color w:val="1E293B"/>
        </w:rPr>
        <w:t xml:space="preserve"> : Extrémité d'une « presqu'île électrique » vulnérable (coupure de 2009 ; RTE 2025 saturé), imposing la doctrine de l'IA frugale par nécessité (un data center nécessiterait des investissements RTE très importants).</w:t>
      </w:r>
    </w:p>
    <w:p>
      <w:pPr>
        <w:pStyle w:val="Heading2"/>
        <w:keepNext/>
        <w:spacing w:before="280" w:after="120"/>
      </w:pPr>
      <w:r>
        <w:rPr>
          <w:rFonts w:ascii="Georgia" w:hAnsi="Georgia"/>
          <w:b/>
          <w:color w:val="1E3A8A"/>
          <w:sz w:val="25"/>
        </w:rPr>
        <w:t>1.4 L'Opportunité Historique : 30 Md€ UE &amp; 7 AI Gigafactories</w:t>
      </w:r>
    </w:p>
    <w:p>
      <w:pPr>
        <w:pStyle w:val="ListBullet"/>
        <w:spacing w:before="40" w:after="100" w:line="276" w:lineRule="auto"/>
        <w:ind w:left="504"/>
      </w:pPr>
      <w:r>
        <w:rPr>
          <w:rFonts w:ascii="Arial" w:hAnsi="Arial"/>
          <w:b/>
          <w:color w:val="0F172A"/>
        </w:rPr>
        <w:t>L'Appel d'Offres Européen</w:t>
      </w:r>
      <w:r>
        <w:rPr>
          <w:rFonts w:ascii="Arial" w:hAnsi="Arial"/>
          <w:color w:val="1E293B"/>
        </w:rPr>
        <w:t xml:space="preserve"> : Le </w:t>
      </w:r>
      <w:r>
        <w:rPr>
          <w:rFonts w:ascii="Arial" w:hAnsi="Arial"/>
          <w:b/>
          <w:color w:val="0F172A"/>
        </w:rPr>
        <w:t>30 juillet 2026</w:t>
      </w:r>
      <w:r>
        <w:rPr>
          <w:rFonts w:ascii="Arial" w:hAnsi="Arial"/>
          <w:color w:val="1E293B"/>
        </w:rPr>
        <w:t xml:space="preserve">, la Commission Européenne a lancé un appel d'offres historique de </w:t>
      </w:r>
      <w:r>
        <w:rPr>
          <w:rFonts w:ascii="Arial" w:hAnsi="Arial"/>
          <w:b/>
          <w:color w:val="0F172A"/>
        </w:rPr>
        <w:t>30 milliards d'euros</w:t>
      </w:r>
      <w:r>
        <w:rPr>
          <w:rFonts w:ascii="Arial" w:hAnsi="Arial"/>
          <w:color w:val="1E293B"/>
        </w:rPr>
        <w:t xml:space="preserve"> pour bâtir </w:t>
      </w:r>
      <w:r>
        <w:rPr>
          <w:rFonts w:ascii="Arial" w:hAnsi="Arial"/>
          <w:b/>
          <w:color w:val="0F172A"/>
        </w:rPr>
        <w:t>7 AI Gigafactories</w:t>
      </w:r>
      <w:r>
        <w:rPr>
          <w:rFonts w:ascii="Arial" w:hAnsi="Arial"/>
          <w:color w:val="1E293B"/>
        </w:rPr>
        <w:t xml:space="preserve"> en Europe.</w:t>
      </w:r>
    </w:p>
    <w:p>
      <w:pPr>
        <w:pStyle w:val="ListBullet"/>
        <w:spacing w:before="40" w:after="100" w:line="276" w:lineRule="auto"/>
        <w:ind w:left="504"/>
      </w:pPr>
      <w:r>
        <w:rPr>
          <w:rFonts w:ascii="Arial" w:hAnsi="Arial"/>
          <w:b/>
          <w:color w:val="0F172A"/>
        </w:rPr>
        <w:t>Lot 1 — Subvention directe UE de 500 M€</w:t>
      </w:r>
      <w:r>
        <w:rPr>
          <w:rFonts w:ascii="Arial" w:hAnsi="Arial"/>
          <w:color w:val="1E293B"/>
        </w:rPr>
        <w:t xml:space="preserve"> par site pour co-financer le développement de l'IA souverain.</w:t>
      </w:r>
    </w:p>
    <w:p>
      <w:pPr>
        <w:pStyle w:val="ListBullet"/>
        <w:spacing w:before="40" w:after="100" w:line="276" w:lineRule="auto"/>
        <w:ind w:left="504"/>
      </w:pPr>
      <w:r>
        <w:rPr>
          <w:rFonts w:ascii="Arial" w:hAnsi="Arial"/>
          <w:b/>
          <w:color w:val="0F172A"/>
        </w:rPr>
        <w:t>Monaco Cloud est l'opportunité pour développer l'existant.</w:t>
      </w:r>
    </w:p>
    <w:p>
      <w:pPr>
        <w:pStyle w:val="ListBullet"/>
        <w:spacing w:before="40" w:after="100" w:line="276" w:lineRule="auto"/>
        <w:ind w:left="504"/>
      </w:pPr>
      <w:r>
        <w:rPr>
          <w:rFonts w:ascii="Arial" w:hAnsi="Arial"/>
          <w:b/>
          <w:color w:val="0F172A"/>
        </w:rPr>
        <w:t>Le levier Nice-Monaco</w:t>
      </w:r>
      <w:r>
        <w:rPr>
          <w:rFonts w:ascii="Arial" w:hAnsi="Arial"/>
          <w:color w:val="1E293B"/>
        </w:rPr>
        <w:t xml:space="preserve"> : Candidature binationale transfrontalière unique associant Nice (Plaine du Var / 3IA), Monaco (fonds souverains / Monaco Cloud) et Sophia Antipolis.</w:t>
      </w:r>
    </w:p>
    <w:p>
      <w:pPr>
        <w:pStyle w:val="ListBullet"/>
        <w:spacing w:before="40" w:after="100" w:line="276" w:lineRule="auto"/>
        <w:ind w:left="504"/>
      </w:pPr>
      <w:r>
        <w:rPr>
          <w:rFonts w:ascii="Arial" w:hAnsi="Arial"/>
          <w:b/>
          <w:color w:val="0F172A"/>
        </w:rPr>
        <w:t>Montage mixte à 1,5 Md€</w:t>
      </w:r>
      <w:r>
        <w:rPr>
          <w:rFonts w:ascii="Arial" w:hAnsi="Arial"/>
          <w:color w:val="1E293B"/>
        </w:rPr>
        <w:t xml:space="preserve"> : 500 M€ subvention UE + 300 M€ fonds publics + 700 M€ investisseurs privés.</w:t>
      </w:r>
    </w:p>
    <w:p>
      <w:pPr>
        <w:pStyle w:val="ListBullet"/>
        <w:spacing w:before="40" w:after="100" w:line="276" w:lineRule="auto"/>
        <w:ind w:left="504"/>
      </w:pPr>
      <w:r>
        <w:rPr>
          <w:rFonts w:ascii="Arial" w:hAnsi="Arial"/>
          <w:b/>
          <w:color w:val="0F172A"/>
        </w:rPr>
        <w:t>Calendrier couperet</w:t>
      </w:r>
      <w:r>
        <w:rPr>
          <w:rFonts w:ascii="Arial" w:hAnsi="Arial"/>
          <w:color w:val="1E293B"/>
        </w:rPr>
        <w:t xml:space="preserve"> : Dépôt du dossier de candidature avant le </w:t>
      </w:r>
      <w:r>
        <w:rPr>
          <w:rFonts w:ascii="Arial" w:hAnsi="Arial"/>
          <w:b/>
          <w:color w:val="0F172A"/>
        </w:rPr>
        <w:t>12 novembre 2026</w:t>
      </w:r>
      <w:r>
        <w:rPr>
          <w:rFonts w:ascii="Arial" w:hAnsi="Arial"/>
          <w:color w:val="1E293B"/>
        </w:rPr>
        <w:t>.</w:t>
      </w:r>
    </w:p>
    <w:p>
      <w:pPr>
        <w:pStyle w:val="Heading2"/>
        <w:keepNext/>
        <w:spacing w:before="280" w:after="120"/>
      </w:pPr>
      <w:r>
        <w:rPr>
          <w:rFonts w:ascii="Georgia" w:hAnsi="Georgia"/>
          <w:b/>
          <w:color w:val="1E3A8A"/>
          <w:sz w:val="25"/>
        </w:rPr>
        <w:t>1.5 Structuration Opérationnelle &amp; Capture des Subventions</w:t>
      </w:r>
    </w:p>
    <w:p>
      <w:pPr>
        <w:pStyle w:val="ListBullet"/>
        <w:spacing w:before="40" w:after="100" w:line="276" w:lineRule="auto"/>
        <w:ind w:left="504"/>
      </w:pPr>
      <w:r>
        <w:rPr>
          <w:rFonts w:ascii="Arial" w:hAnsi="Arial"/>
          <w:b/>
          <w:color w:val="0F172A"/>
        </w:rPr>
        <w:t>Méthodologie d'Action</w:t>
      </w:r>
      <w:r>
        <w:rPr>
          <w:rFonts w:ascii="Arial" w:hAnsi="Arial"/>
          <w:color w:val="1E293B"/>
        </w:rPr>
        <w:t xml:space="preserve"> : Pour transformer cette ambition en victoires financières, l'approche est structurée immédiatement selon 4 actions de frappe :</w:t>
      </w:r>
    </w:p>
    <w:p>
      <w:pPr>
        <w:pStyle w:val="ListBullet"/>
        <w:spacing w:before="40" w:after="100" w:line="276" w:lineRule="auto"/>
        <w:ind w:left="504"/>
      </w:pPr>
      <w:r>
        <w:rPr>
          <w:rFonts w:ascii="Arial" w:hAnsi="Arial"/>
          <w:b/>
          <w:color w:val="0F172A"/>
        </w:rPr>
        <w:t>1. Bureau de Candidature Binationale</w:t>
      </w:r>
      <w:r>
        <w:rPr>
          <w:rFonts w:ascii="Arial" w:hAnsi="Arial"/>
          <w:color w:val="1E293B"/>
        </w:rPr>
        <w:t xml:space="preserve"> : Création d'une Task-Force dédiée Nice-Monaco-Sophia pour verrouiller le dossier Gigafactory avant le 12 novembre 2026.</w:t>
      </w:r>
    </w:p>
    <w:p>
      <w:pPr>
        <w:pStyle w:val="ListBullet"/>
        <w:spacing w:before="40" w:after="100" w:line="276" w:lineRule="auto"/>
        <w:ind w:left="504"/>
      </w:pPr>
      <w:r>
        <w:rPr>
          <w:rFonts w:ascii="Arial" w:hAnsi="Arial"/>
          <w:b/>
          <w:color w:val="0F172A"/>
        </w:rPr>
        <w:t>2. Capture des guichets de subvention directes</w:t>
      </w:r>
      <w:r>
        <w:rPr>
          <w:rFonts w:ascii="Arial" w:hAnsi="Arial"/>
          <w:color w:val="1E293B"/>
        </w:rPr>
        <w:t xml:space="preserve"> : Dépôt de dossiers sur Digital Europe (subventions à 50%-70% pour la cyber/IA) et Horizon Europe Cluster 3 (100% pour la sécurité urbaine).</w:t>
      </w:r>
    </w:p>
    <w:p>
      <w:pPr>
        <w:pStyle w:val="ListBullet"/>
        <w:spacing w:before="40" w:after="100" w:line="276" w:lineRule="auto"/>
        <w:ind w:left="504"/>
      </w:pPr>
      <w:r>
        <w:rPr>
          <w:rFonts w:ascii="Arial" w:hAnsi="Arial"/>
          <w:b/>
          <w:color w:val="0F172A"/>
        </w:rPr>
        <w:t>3. Renoncement à l'hyperscale, affirmation de l’IA frugale</w:t>
      </w:r>
      <w:r>
        <w:rPr>
          <w:rFonts w:ascii="Arial" w:hAnsi="Arial"/>
          <w:color w:val="1E293B"/>
        </w:rPr>
        <w:t xml:space="preserve"> : Sobriété énergétique, sécurité maximale et cas d'usage utiles conforme AI Act.</w:t>
      </w:r>
    </w:p>
    <w:p>
      <w:pPr>
        <w:pStyle w:val="ListBullet"/>
        <w:spacing w:before="40" w:after="100" w:line="276" w:lineRule="auto"/>
        <w:ind w:left="504"/>
      </w:pPr>
      <w:r>
        <w:rPr>
          <w:rFonts w:ascii="Arial" w:hAnsi="Arial"/>
          <w:b/>
          <w:color w:val="0F172A"/>
        </w:rPr>
        <w:t>4. La Ville de Nice et la Métropole client n°1</w:t>
      </w:r>
      <w:r>
        <w:rPr>
          <w:rFonts w:ascii="Arial" w:hAnsi="Arial"/>
          <w:color w:val="1E293B"/>
        </w:rPr>
        <w:t xml:space="preserve"> : Industrialiser 5 cas d'usage municipaux en 24 mois pour faire la preuve de la valeur et ancrer le récit politique de début de mandat.</w:t>
      </w:r>
    </w:p>
    <w:p>
      <w:r>
        <w:br w:type="page"/>
      </w:r>
    </w:p>
    <w:p>
      <w:pPr>
        <w:pStyle w:val="Heading1"/>
        <w:keepNext/>
        <w:spacing w:before="360" w:after="160"/>
      </w:pPr>
      <w:r>
        <w:rPr>
          <w:rFonts w:ascii="Georgia" w:hAnsi="Georgia"/>
          <w:b/>
          <w:color w:val="0F172A"/>
          <w:sz w:val="30"/>
        </w:rPr>
        <w:t>2. Pôle 1 : Axe Ville de Nice (Sécurité &amp; Cadre de Vie)</w:t>
      </w:r>
    </w:p>
    <w:p>
      <w:pPr>
        <w:pStyle w:val="ListBullet"/>
        <w:spacing w:before="40" w:after="100" w:line="276" w:lineRule="auto"/>
        <w:ind w:left="504"/>
      </w:pPr>
      <w:r>
        <w:rPr>
          <w:rFonts w:ascii="Arial" w:hAnsi="Arial"/>
          <w:b/>
          <w:color w:val="0F172A"/>
        </w:rPr>
        <w:t>Objectif Opérationnel</w:t>
      </w:r>
      <w:r>
        <w:rPr>
          <w:rFonts w:ascii="Arial" w:hAnsi="Arial"/>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pStyle w:val="Heading2"/>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ind w:left="504"/>
      </w:pPr>
      <w:r>
        <w:rPr>
          <w:rFonts w:ascii="Arial" w:hAnsi="Arial"/>
          <w:b/>
          <w:color w:val="0F172A"/>
        </w:rPr>
        <w:t>Le Constat Opérationnel</w:t>
      </w:r>
      <w:r>
        <w:rPr>
          <w:rFonts w:ascii="Arial" w:hAnsi="Arial"/>
          <w:color w:val="1E293B"/>
        </w:rPr>
        <w:t xml:space="preserve"> : Nice dispose du 1er CSU de France (4 300+ caméras). L'enjeu clé de la Vidéosurveillance Algorithmique (VSA - Art. 10 Loi JOP 2024 / Jurisprudence Conseil d'État 2026) est un </w:t>
      </w:r>
      <w:r>
        <w:rPr>
          <w:rFonts w:ascii="Arial" w:hAnsi="Arial"/>
          <w:b/>
          <w:color w:val="0F172A"/>
        </w:rPr>
        <w:t>changement de doctrine opérationnelle majeur</w:t>
      </w:r>
      <w:r>
        <w:rPr>
          <w:rFonts w:ascii="Arial" w:hAnsi="Arial"/>
          <w:color w:val="1E293B"/>
        </w:rPr>
        <w:t>.</w:t>
      </w:r>
    </w:p>
    <w:p>
      <w:pPr>
        <w:pStyle w:val="ListBullet"/>
        <w:spacing w:before="40" w:after="100" w:line="276" w:lineRule="auto"/>
        <w:ind w:left="504"/>
      </w:pPr>
      <w:r>
        <w:rPr>
          <w:rFonts w:ascii="Arial" w:hAnsi="Arial"/>
          <w:b/>
          <w:color w:val="0F172A"/>
        </w:rPr>
        <w:t>Moins d'agents scotchés devant les écrans</w:t>
      </w:r>
      <w:r>
        <w:rPr>
          <w:rFonts w:ascii="Arial" w:hAnsi="Arial"/>
          <w:color w:val="1E293B"/>
        </w:rPr>
        <w:t xml:space="preserve"> : L'IA effectue le filtrage automatique des flux et ne remonte que les anomalies qualifiées (dépôts sauvages, intrusions, incivilités).</w:t>
      </w:r>
    </w:p>
    <w:p>
      <w:pPr>
        <w:pStyle w:val="ListBullet"/>
        <w:spacing w:before="40" w:after="100" w:line="276" w:lineRule="auto"/>
        <w:ind w:left="504"/>
      </w:pPr>
      <w:r>
        <w:rPr>
          <w:rFonts w:ascii="Arial" w:hAnsi="Arial"/>
          <w:b/>
          <w:color w:val="0F172A"/>
        </w:rPr>
        <w:t>Plus de Policiers Municipaux sur le terrain et dans la rue</w:t>
      </w:r>
      <w:r>
        <w:rPr>
          <w:rFonts w:ascii="Arial" w:hAnsi="Arial"/>
          <w:color w:val="1E293B"/>
        </w:rPr>
        <w:t xml:space="preserve"> : Libération du temps des opérateurs pour réaffecter les effectifs en patrouilles de proximité physiques.</w:t>
      </w:r>
    </w:p>
    <w:p>
      <w:pPr>
        <w:pStyle w:val="ListBullet"/>
        <w:spacing w:before="40" w:after="100" w:line="276" w:lineRule="auto"/>
        <w:ind w:left="504"/>
      </w:pPr>
      <w:r>
        <w:rPr>
          <w:rFonts w:ascii="Arial" w:hAnsi="Arial"/>
          <w:b/>
          <w:color w:val="0F172A"/>
        </w:rPr>
        <w:t>Géolocalisation &amp; Dispatching Intelligent</w:t>
      </w:r>
      <w:r>
        <w:rPr>
          <w:rFonts w:ascii="Arial" w:hAnsi="Arial"/>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ind w:left="504"/>
      </w:pPr>
      <w:r>
        <w:rPr>
          <w:rFonts w:ascii="Arial" w:hAnsi="Arial"/>
          <w:b/>
          <w:color w:val="0F172A"/>
        </w:rPr>
        <w:t>Résultat attendu</w:t>
      </w:r>
      <w:r>
        <w:rPr>
          <w:rFonts w:ascii="Arial" w:hAnsi="Arial"/>
          <w:color w:val="1E293B"/>
        </w:rPr>
        <w:t xml:space="preserve"> : Baisse de </w:t>
      </w:r>
      <w:r>
        <w:rPr>
          <w:rFonts w:ascii="Arial" w:hAnsi="Arial"/>
          <w:b/>
          <w:color w:val="0F172A"/>
        </w:rPr>
        <w:t>65 % des incivilités et dégradations</w:t>
      </w:r>
      <w:r>
        <w:rPr>
          <w:rFonts w:ascii="Arial" w:hAnsi="Arial"/>
          <w:color w:val="1E293B"/>
        </w:rPr>
        <w:t xml:space="preserve"> par la fin de l'impunité et la réduction du délai d'intervention de la PM à </w:t>
      </w:r>
      <w:r>
        <w:rPr>
          <w:rFonts w:ascii="Arial" w:hAnsi="Arial"/>
          <w:b/>
          <w:color w:val="0F172A"/>
        </w:rPr>
        <w:t>moins de 6 minutes</w:t>
      </w:r>
      <w:r>
        <w:rPr>
          <w:rFonts w:ascii="Arial" w:hAnsi="Arial"/>
          <w:color w:val="1E293B"/>
        </w:rPr>
        <w:t>.</w:t>
      </w:r>
    </w:p>
    <w:p>
      <w:pPr>
        <w:pStyle w:val="Heading2"/>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ind w:left="504"/>
      </w:pPr>
      <w:r>
        <w:rPr>
          <w:rFonts w:ascii="Arial" w:hAnsi="Arial"/>
          <w:b/>
          <w:color w:val="0F172A"/>
        </w:rPr>
        <w:t>L'Agent Vocal Souverain</w:t>
      </w:r>
      <w:r>
        <w:rPr>
          <w:rFonts w:ascii="Arial" w:hAnsi="Arial"/>
          <w:color w:val="1E293B"/>
        </w:rPr>
        <w:t xml:space="preserve"> : Mise en place d'un agent vocal souverain basé sur un modèle de langage local dédié aux citoyens niçois et aux aînés.</w:t>
      </w:r>
    </w:p>
    <w:p>
      <w:pPr>
        <w:pStyle w:val="ListBullet"/>
        <w:spacing w:before="40" w:after="100" w:line="276" w:lineRule="auto"/>
        <w:ind w:left="504"/>
      </w:pPr>
      <w:r>
        <w:rPr>
          <w:rFonts w:ascii="Arial" w:hAnsi="Arial"/>
          <w:b/>
          <w:color w:val="0F172A"/>
        </w:rPr>
        <w:t>Disponibilité 24h/24 et 7j/7</w:t>
      </w:r>
      <w:r>
        <w:rPr>
          <w:rFonts w:ascii="Arial" w:hAnsi="Arial"/>
          <w:color w:val="1E293B"/>
        </w:rPr>
        <w:t xml:space="preserve"> : Prise en charge immédiate des </w:t>
      </w:r>
      <w:r>
        <w:rPr>
          <w:rFonts w:ascii="Arial" w:hAnsi="Arial"/>
          <w:b/>
          <w:color w:val="0F172A"/>
        </w:rPr>
        <w:t>demandes d'aide d'urgence sociale</w:t>
      </w:r>
      <w:r>
        <w:rPr>
          <w:rFonts w:ascii="Arial" w:hAnsi="Arial"/>
          <w:color w:val="1E293B"/>
        </w:rPr>
        <w:t xml:space="preserve">, des </w:t>
      </w:r>
      <w:r>
        <w:rPr>
          <w:rFonts w:ascii="Arial" w:hAnsi="Arial"/>
          <w:b/>
          <w:color w:val="0F172A"/>
        </w:rPr>
        <w:t>signalements de sécurité et de proximité</w:t>
      </w:r>
      <w:r>
        <w:rPr>
          <w:rFonts w:ascii="Arial" w:hAnsi="Arial"/>
          <w:color w:val="1E293B"/>
        </w:rPr>
        <w:t xml:space="preserve"> et des démarches administratives.</w:t>
      </w:r>
    </w:p>
    <w:p>
      <w:pPr>
        <w:pStyle w:val="ListBullet"/>
        <w:spacing w:before="40" w:after="100" w:line="276" w:lineRule="auto"/>
        <w:ind w:left="504"/>
      </w:pPr>
      <w:r>
        <w:rPr>
          <w:rFonts w:ascii="Arial" w:hAnsi="Arial"/>
          <w:b/>
          <w:color w:val="0F172A"/>
        </w:rPr>
        <w:t>Zéro file d'attente</w:t>
      </w:r>
      <w:r>
        <w:rPr>
          <w:rFonts w:ascii="Arial" w:hAnsi="Arial"/>
          <w:color w:val="1E293B"/>
        </w:rPr>
        <w:t xml:space="preserve"> : Traitement instantané de 40 % des appels récurrents, libérant les agents humains pour l'accompagnement personnalisé et les urgences graves.</w:t>
      </w:r>
    </w:p>
    <w:p>
      <w:pPr>
        <w:pStyle w:val="Heading2"/>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ind w:left="504"/>
      </w:pPr>
      <w:r>
        <w:rPr>
          <w:rFonts w:ascii="Arial" w:hAnsi="Arial"/>
          <w:b/>
          <w:color w:val="0F172A"/>
        </w:rPr>
        <w:t>Capteurs Embarqués VSA</w:t>
      </w:r>
      <w:r>
        <w:rPr>
          <w:rFonts w:ascii="Arial" w:hAnsi="Arial"/>
          <w:color w:val="1E293B"/>
        </w:rPr>
        <w:t xml:space="preserve"> : Caméras embarquées VSA sur les véhicules de propreté urbaine pour cartographier en temps réel l'état des rues.</w:t>
      </w:r>
    </w:p>
    <w:p>
      <w:pPr>
        <w:pStyle w:val="ListBullet"/>
        <w:spacing w:before="40" w:after="100" w:line="276" w:lineRule="auto"/>
        <w:ind w:left="504"/>
      </w:pPr>
      <w:r>
        <w:rPr>
          <w:rFonts w:ascii="Arial" w:hAnsi="Arial"/>
          <w:b/>
          <w:color w:val="0F172A"/>
        </w:rPr>
        <w:t>Détection automatisée</w:t>
      </w:r>
      <w:r>
        <w:rPr>
          <w:rFonts w:ascii="Arial" w:hAnsi="Arial"/>
          <w:color w:val="1E293B"/>
        </w:rPr>
        <w:t xml:space="preserve"> : Identification des corbeilles débordantes, graffitis et dépôts sauvages.</w:t>
      </w:r>
    </w:p>
    <w:p>
      <w:pPr>
        <w:pStyle w:val="ListBullet"/>
        <w:spacing w:before="40" w:after="100" w:line="276" w:lineRule="auto"/>
        <w:ind w:left="504"/>
      </w:pPr>
      <w:r>
        <w:rPr>
          <w:rFonts w:ascii="Arial" w:hAnsi="Arial"/>
          <w:b/>
          <w:color w:val="0F172A"/>
        </w:rPr>
        <w:t>Circuit prédictif</w:t>
      </w:r>
      <w:r>
        <w:rPr>
          <w:rFonts w:ascii="Arial" w:hAnsi="Arial"/>
          <w:color w:val="1E293B"/>
        </w:rPr>
        <w:t xml:space="preserve"> : Routage optimisé des bennes réduisant la consommation de carburant de 18 % et garantissant la résorption des anomalies sous 6 heures.</w:t>
      </w:r>
    </w:p>
    <w:p>
      <w:pPr>
        <w:pStyle w:val="Heading2"/>
        <w:keepNext/>
        <w:spacing w:before="280" w:after="120"/>
      </w:pPr>
      <w:r>
        <w:rPr>
          <w:rFonts w:ascii="Georgia" w:hAnsi="Georgia"/>
          <w:b/>
          <w:color w:val="1E3A8A"/>
          <w:sz w:val="25"/>
        </w:rPr>
        <w:t>2.4 Consultation Directe par Quartier via l'IA</w:t>
      </w:r>
    </w:p>
    <w:p>
      <w:pPr>
        <w:pStyle w:val="ListBullet"/>
        <w:spacing w:before="40" w:after="100" w:line="276" w:lineRule="auto"/>
        <w:ind w:left="504"/>
      </w:pPr>
      <w:r>
        <w:rPr>
          <w:rFonts w:ascii="Arial" w:hAnsi="Arial"/>
          <w:b/>
          <w:color w:val="0F172A"/>
        </w:rPr>
        <w:t>Démocratie Participative Augmentée</w:t>
      </w:r>
      <w:r>
        <w:rPr>
          <w:rFonts w:ascii="Arial" w:hAnsi="Arial"/>
          <w:color w:val="1E293B"/>
        </w:rPr>
        <w:t xml:space="preserve"> : Déploiement de la plateforme de démocratie participative augmentée par </w:t>
      </w:r>
      <w:r>
        <w:rPr>
          <w:rFonts w:ascii="Arial" w:hAnsi="Arial"/>
          <w:b/>
          <w:color w:val="0F172A"/>
        </w:rPr>
        <w:t>l'IA</w:t>
      </w:r>
      <w:r>
        <w:rPr>
          <w:rFonts w:ascii="Arial" w:hAnsi="Arial"/>
          <w:color w:val="1E293B"/>
        </w:rPr>
        <w:t xml:space="preserve"> pour consulter les Niçois quartier par quartier.</w:t>
      </w:r>
    </w:p>
    <w:p>
      <w:pPr>
        <w:pStyle w:val="ListBullet"/>
        <w:spacing w:before="40" w:after="100" w:line="276" w:lineRule="auto"/>
        <w:ind w:left="504"/>
      </w:pPr>
      <w:r>
        <w:rPr>
          <w:rFonts w:ascii="Arial" w:hAnsi="Arial"/>
          <w:b/>
          <w:color w:val="0F172A"/>
        </w:rPr>
        <w:t>Ingestion des avis citoyens par quartier</w:t>
      </w:r>
      <w:r>
        <w:rPr>
          <w:rFonts w:ascii="Arial" w:hAnsi="Arial"/>
          <w:color w:val="1E293B"/>
        </w:rPr>
        <w:t xml:space="preserve"> : Analyse sémantique continue des attentes des habitants (Vieux-Nice, Ariane, Moulins, Cimiez, Riquier, etc.).</w:t>
      </w:r>
    </w:p>
    <w:p>
      <w:pPr>
        <w:pStyle w:val="ListBullet"/>
        <w:spacing w:before="40" w:after="100" w:line="276" w:lineRule="auto"/>
        <w:ind w:left="504"/>
      </w:pPr>
      <w:r>
        <w:rPr>
          <w:rFonts w:ascii="Arial" w:hAnsi="Arial"/>
          <w:b/>
          <w:color w:val="0F172A"/>
        </w:rPr>
        <w:t>Cas d'école n°1 — Concertation Réaménagement de Quartier</w:t>
      </w:r>
      <w:r>
        <w:rPr>
          <w:rFonts w:ascii="Arial" w:hAnsi="Arial"/>
          <w:color w:val="1E293B"/>
        </w:rPr>
        <w:t xml:space="preserve"> : Ingestion de 5 000 contributions citoyennes en 48 heures pour dégager les consensus sur la piétonnisation et la sécurité.</w:t>
      </w:r>
    </w:p>
    <w:p>
      <w:pPr>
        <w:pStyle w:val="ListBullet"/>
        <w:spacing w:before="40" w:after="100" w:line="276" w:lineRule="auto"/>
        <w:ind w:left="504"/>
      </w:pPr>
      <w:r>
        <w:rPr>
          <w:rFonts w:ascii="Arial" w:hAnsi="Arial"/>
          <w:b/>
          <w:color w:val="0F172A"/>
        </w:rPr>
        <w:t>Cas d'école n°2 — Restitution Transparente</w:t>
      </w:r>
      <w:r>
        <w:rPr>
          <w:rFonts w:ascii="Arial" w:hAnsi="Arial"/>
          <w:color w:val="1E293B"/>
        </w:rPr>
        <w:t xml:space="preserve"> : Restitution instantanée et cartographiée des priorités d'investissement par quartier, sans filtre bureaucratique.</w:t>
      </w:r>
    </w:p>
    <w:p>
      <w:r>
        <w:br w:type="page"/>
      </w:r>
    </w:p>
    <w:p>
      <w:pPr>
        <w:pStyle w:val="Heading1"/>
        <w:keepNext/>
        <w:spacing w:before="360" w:after="160"/>
      </w:pPr>
      <w:r>
        <w:rPr>
          <w:rFonts w:ascii="Georgia" w:hAnsi="Georgia"/>
          <w:b/>
          <w:color w:val="0F172A"/>
          <w:sz w:val="30"/>
        </w:rPr>
        <w:t>3. Pôle 2 : Axe Métropole Nice Côte d'Azur (Budget, DSI &amp; Monaco)</w:t>
      </w:r>
    </w:p>
    <w:p>
      <w:pPr>
        <w:pStyle w:val="Heading2"/>
        <w:keepNext/>
        <w:spacing w:before="280" w:after="120"/>
      </w:pPr>
      <w:r>
        <w:rPr>
          <w:rFonts w:ascii="Georgia" w:hAnsi="Georgia"/>
          <w:b/>
          <w:color w:val="1E3A8A"/>
          <w:sz w:val="25"/>
        </w:rPr>
        <w:t>3.1 Audit IA Commande Publique (+2,5 M€ / an Net)</w:t>
      </w:r>
    </w:p>
    <w:p>
      <w:pPr>
        <w:pStyle w:val="ListBullet"/>
        <w:spacing w:before="40" w:after="100" w:line="276" w:lineRule="auto"/>
        <w:ind w:left="504"/>
      </w:pPr>
      <w:r>
        <w:rPr>
          <w:rFonts w:ascii="Arial" w:hAnsi="Arial"/>
          <w:b/>
          <w:color w:val="0F172A"/>
        </w:rPr>
        <w:t>Ingestion des Marchés</w:t>
      </w:r>
      <w:r>
        <w:rPr>
          <w:rFonts w:ascii="Arial" w:hAnsi="Arial"/>
          <w:color w:val="1E293B"/>
        </w:rPr>
        <w:t xml:space="preserve"> : Analyse sémantique à 100 % des factures, devis et BPU sur les </w:t>
      </w:r>
      <w:r>
        <w:rPr>
          <w:rFonts w:ascii="Arial" w:hAnsi="Arial"/>
          <w:b/>
          <w:color w:val="0F172A"/>
        </w:rPr>
        <w:t>300 M€ de commande publique métropolitaine</w:t>
      </w:r>
      <w:r>
        <w:rPr>
          <w:rFonts w:ascii="Arial" w:hAnsi="Arial"/>
          <w:color w:val="1E293B"/>
        </w:rPr>
        <w:t>.</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Filtrage automatisé de 0,5 % à 2,0 % de doublons, erreurs de facturation et dépassements de bordereaux (Benchmark DGFiP). Sur 300 M€, 0,83 % d'erreurs détectées génère </w:t>
      </w:r>
      <w:r>
        <w:rPr>
          <w:rFonts w:ascii="Arial" w:hAnsi="Arial"/>
          <w:b/>
          <w:color w:val="0F172A"/>
        </w:rPr>
        <w:t>+2,50 M€ / an d'économies nettes certifiées</w:t>
      </w:r>
      <w:r>
        <w:rPr>
          <w:rFonts w:ascii="Arial" w:hAnsi="Arial"/>
          <w:color w:val="1E293B"/>
        </w:rPr>
        <w:t xml:space="preserve"> pour le budget métropolitain.</w:t>
      </w:r>
    </w:p>
    <w:p>
      <w:pPr>
        <w:pStyle w:val="Heading2"/>
        <w:keepNext/>
        <w:spacing w:before="280" w:after="120"/>
      </w:pPr>
      <w:r>
        <w:rPr>
          <w:rFonts w:ascii="Georgia" w:hAnsi="Georgia"/>
          <w:b/>
          <w:color w:val="1E3A8A"/>
          <w:sz w:val="25"/>
        </w:rPr>
        <w:t>3.2 Bouclier Cyber-IA NIS 2 (1,8 M€ à 3 M€ Évités)</w:t>
      </w:r>
    </w:p>
    <w:p>
      <w:pPr>
        <w:pStyle w:val="ListBullet"/>
        <w:spacing w:before="40" w:after="100" w:line="276" w:lineRule="auto"/>
        <w:ind w:left="504"/>
      </w:pPr>
      <w:r>
        <w:rPr>
          <w:rFonts w:ascii="Arial" w:hAnsi="Arial"/>
          <w:b/>
          <w:color w:val="0F172A"/>
        </w:rPr>
        <w:t>Protection Inviolable du CSU</w:t>
      </w:r>
      <w:r>
        <w:rPr>
          <w:rFonts w:ascii="Arial" w:hAnsi="Arial"/>
          <w:color w:val="1E293B"/>
        </w:rPr>
        <w:t xml:space="preserve"> : SOC métropolitain 24/7 armé d'agents IA autonomes et isolation étanche (Air-Gap) du CSU.</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Évitement des coûts directs et indirects d'une crise de ransomware (interruption des services, reconstruction du SI, audits d'urgence). Benchmark des villes touchées (Marseille, Lille, Caen) : </w:t>
      </w:r>
      <w:r>
        <w:rPr>
          <w:rFonts w:ascii="Arial" w:hAnsi="Arial"/>
          <w:b/>
          <w:color w:val="0F172A"/>
        </w:rPr>
        <w:t>1,8 M€ à 3,0 M€ de cout moyen évité par an</w:t>
      </w:r>
      <w:r>
        <w:rPr>
          <w:rFonts w:ascii="Arial" w:hAnsi="Arial"/>
          <w:color w:val="1E293B"/>
        </w:rPr>
        <w:t>.</w:t>
      </w:r>
    </w:p>
    <w:p>
      <w:pPr>
        <w:pStyle w:val="Heading2"/>
        <w:keepNext/>
        <w:spacing w:before="280" w:after="120"/>
      </w:pPr>
      <w:r>
        <w:rPr>
          <w:rFonts w:ascii="Georgia" w:hAnsi="Georgia"/>
          <w:b/>
          <w:color w:val="1E3A8A"/>
          <w:sz w:val="25"/>
        </w:rPr>
        <w:t>3.3 Monaco Cloud &amp; Redondance IT (1,5 M€ à 2,8 M€ / an)</w:t>
      </w:r>
    </w:p>
    <w:p>
      <w:pPr>
        <w:pStyle w:val="ListBullet"/>
        <w:spacing w:before="40" w:after="100" w:line="276" w:lineRule="auto"/>
        <w:ind w:left="504"/>
      </w:pPr>
      <w:r>
        <w:rPr>
          <w:rFonts w:ascii="Arial" w:hAnsi="Arial"/>
          <w:b/>
          <w:color w:val="0F172A"/>
        </w:rPr>
        <w:t>Partenariat d'Hébergement Souverain</w:t>
      </w:r>
      <w:r>
        <w:rPr>
          <w:rFonts w:ascii="Arial" w:hAnsi="Arial"/>
          <w:color w:val="1E293B"/>
        </w:rPr>
        <w:t xml:space="preserve"> : Migration souveraine vers Monaco Cloud (1er Cloud d'État UE certifié AMSN).</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Réduction directe des coûts de fonctionnement IT (OPEX) de 1,5 M€ à 2,8 M€ / an + </w:t>
      </w:r>
      <w:r>
        <w:rPr>
          <w:rFonts w:ascii="Arial" w:hAnsi="Arial"/>
          <w:b/>
          <w:color w:val="0F172A"/>
        </w:rPr>
        <w:t>8 M€ à 12 M€ d'investissement en capital (CAPEX) évité</w:t>
      </w:r>
      <w:r>
        <w:rPr>
          <w:rFonts w:ascii="Arial" w:hAnsi="Arial"/>
          <w:color w:val="1E293B"/>
        </w:rPr>
        <w:t xml:space="preserve"> par non-construction d’un datacenter métropolitain propre.</w:t>
      </w:r>
    </w:p>
    <w:p>
      <w:r>
        <w:br w:type="page"/>
      </w:r>
    </w:p>
    <w:p>
      <w:pPr>
        <w:pStyle w:val="Heading1"/>
        <w:keepNext/>
        <w:spacing w:before="360" w:after="160"/>
      </w:pPr>
      <w:r>
        <w:rPr>
          <w:rFonts w:ascii="Georgia" w:hAnsi="Georgia"/>
          <w:b/>
          <w:color w:val="0F172A"/>
          <w:sz w:val="30"/>
        </w:rPr>
        <w:t>4. Alliance Binationale Nice-Monaco &amp; Hub Réglementaire</w:t>
      </w:r>
    </w:p>
    <w:p>
      <w:pPr>
        <w:pStyle w:val="Heading2"/>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ind w:left="504"/>
      </w:pPr>
      <w:r>
        <w:rPr>
          <w:rFonts w:ascii="Arial" w:hAnsi="Arial"/>
          <w:b/>
          <w:color w:val="0F172A"/>
        </w:rPr>
        <w:t>L'Atout Juridique Binational</w:t>
      </w:r>
      <w:r>
        <w:rPr>
          <w:rFonts w:ascii="Arial" w:hAnsi="Arial"/>
          <w:color w:val="1E293B"/>
        </w:rPr>
        <w:t xml:space="preserve"> : La collaboration binationale avec la Principauté de Monaco n'est pas un simple accord d'affichage, mais le </w:t>
      </w:r>
      <w:r>
        <w:rPr>
          <w:rFonts w:ascii="Arial" w:hAnsi="Arial"/>
          <w:b/>
          <w:color w:val="0F172A"/>
        </w:rPr>
        <w:t>levier juridique et stratégique décisif pour capturer les financements européens</w:t>
      </w:r>
      <w:r>
        <w:rPr>
          <w:rFonts w:ascii="Arial" w:hAnsi="Arial"/>
          <w:color w:val="1E293B"/>
        </w:rPr>
        <w:t>.</w:t>
      </w:r>
    </w:p>
    <w:p>
      <w:pPr>
        <w:pStyle w:val="ListBullet"/>
        <w:spacing w:before="40" w:after="100" w:line="276" w:lineRule="auto"/>
        <w:ind w:left="504"/>
      </w:pPr>
      <w:r>
        <w:rPr>
          <w:rFonts w:ascii="Arial" w:hAnsi="Arial"/>
          <w:b/>
          <w:color w:val="0F172A"/>
        </w:rPr>
        <w:t>Priorité absolue aux projets binationaux transfrontaliers</w:t>
      </w:r>
      <w:r>
        <w:rPr>
          <w:rFonts w:ascii="Arial" w:hAnsi="Arial"/>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ind w:left="504"/>
      </w:pPr>
      <w:r>
        <w:rPr>
          <w:rFonts w:ascii="Arial" w:hAnsi="Arial"/>
          <w:b/>
          <w:color w:val="0F172A"/>
        </w:rPr>
        <w:t>Effet levier financier</w:t>
      </w:r>
      <w:r>
        <w:rPr>
          <w:rFonts w:ascii="Arial" w:hAnsi="Arial"/>
          <w:color w:val="1E293B"/>
        </w:rPr>
        <w:t xml:space="preserve"> : L'apport de fonds souverains monégasques (300 M€) sécurise le co-financement privé/public exigé par l'UE pour valider les 500 M€ de subvention directe.</w:t>
      </w:r>
    </w:p>
    <w:p>
      <w:pPr>
        <w:pStyle w:val="Heading2"/>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ind w:left="504"/>
      </w:pPr>
      <w:r>
        <w:rPr>
          <w:rFonts w:ascii="Arial" w:hAnsi="Arial"/>
          <w:b/>
          <w:color w:val="0F172A"/>
        </w:rPr>
        <w:t>L'Expertise Réglementaire Nationale</w:t>
      </w:r>
      <w:r>
        <w:rPr>
          <w:rFonts w:ascii="Arial" w:hAnsi="Arial"/>
          <w:color w:val="1E293B"/>
        </w:rPr>
        <w:t xml:space="preserve"> : Nice s'impose comme le </w:t>
      </w:r>
      <w:r>
        <w:rPr>
          <w:rFonts w:ascii="Arial" w:hAnsi="Arial"/>
          <w:b/>
          <w:color w:val="0F172A"/>
        </w:rPr>
        <w:t>centre d'expertise de référence pour LA FRANCE</w:t>
      </w:r>
      <w:r>
        <w:rPr>
          <w:rFonts w:ascii="Arial" w:hAnsi="Arial"/>
          <w:color w:val="1E293B"/>
        </w:rPr>
        <w:t xml:space="preserve"> en matière de conformité et de labellisation AI Act.</w:t>
      </w:r>
    </w:p>
    <w:p>
      <w:pPr>
        <w:pStyle w:val="ListBullet"/>
        <w:spacing w:before="40" w:after="100" w:line="276" w:lineRule="auto"/>
        <w:ind w:left="504"/>
      </w:pPr>
      <w:r>
        <w:rPr>
          <w:rFonts w:ascii="Arial" w:hAnsi="Arial"/>
          <w:b/>
          <w:color w:val="0F172A"/>
        </w:rPr>
        <w:t>Audit et certification pour la France</w:t>
      </w:r>
      <w:r>
        <w:rPr>
          <w:rFonts w:ascii="Arial" w:hAnsi="Arial"/>
          <w:color w:val="1E293B"/>
        </w:rPr>
        <w:t xml:space="preserve"> : Accompagnement des entreprises et collectivités nationales pour valider leurs algorithmes selon le Règlement (UE) 2024/1689.</w:t>
      </w:r>
    </w:p>
    <w:p>
      <w:pPr>
        <w:pStyle w:val="ListBullet"/>
        <w:spacing w:before="40" w:after="100" w:line="276" w:lineRule="auto"/>
        <w:ind w:left="504"/>
      </w:pPr>
      <w:r>
        <w:rPr>
          <w:rFonts w:ascii="Arial" w:hAnsi="Arial"/>
          <w:b/>
          <w:color w:val="0F172A"/>
        </w:rPr>
        <w:t>Hub Incertitude Zéro</w:t>
      </w:r>
      <w:r>
        <w:rPr>
          <w:rFonts w:ascii="Arial" w:hAnsi="Arial"/>
          <w:color w:val="1E293B"/>
        </w:rPr>
        <w:t xml:space="preserve"> : Garantie de sécurité juridique totale pour les PME innovantes.</w:t>
      </w:r>
    </w:p>
    <w:p>
      <w:pPr>
        <w:pStyle w:val="Heading2"/>
        <w:keepNext/>
        <w:spacing w:before="280" w:after="120"/>
      </w:pPr>
      <w:r>
        <w:rPr>
          <w:rFonts w:ascii="Georgia" w:hAnsi="Georgia"/>
          <w:b/>
          <w:color w:val="1E3A8A"/>
          <w:sz w:val="25"/>
        </w:rPr>
        <w:t>4.3 Pôle d'Excellence PME/PMI &amp; Bibliothèque de Cas d'Usage Souverains</w:t>
      </w:r>
    </w:p>
    <w:p>
      <w:pPr>
        <w:pStyle w:val="ListBullet"/>
        <w:spacing w:before="40" w:after="100" w:line="276" w:lineRule="auto"/>
        <w:ind w:left="504"/>
      </w:pPr>
      <w:r>
        <w:rPr>
          <w:rFonts w:ascii="Arial" w:hAnsi="Arial"/>
          <w:b/>
          <w:color w:val="0F172A"/>
        </w:rPr>
        <w:t>Guichet Unique PME/PMI</w:t>
      </w:r>
      <w:r>
        <w:rPr>
          <w:rFonts w:ascii="Arial" w:hAnsi="Arial"/>
          <w:color w:val="1E293B"/>
        </w:rPr>
        <w:t xml:space="preserve"> : Création du Pôle d'Excellence Métropolitain pour accompagner la transformation numérique des 200 PME/PMI clés des Alpes-Maritimes et de Monaco.</w:t>
      </w:r>
    </w:p>
    <w:p>
      <w:pPr>
        <w:pStyle w:val="ListBullet"/>
        <w:spacing w:before="40" w:after="100" w:line="276" w:lineRule="auto"/>
        <w:ind w:left="504"/>
      </w:pPr>
      <w:r>
        <w:rPr>
          <w:rFonts w:ascii="Arial" w:hAnsi="Arial"/>
          <w:b/>
          <w:color w:val="0F172A"/>
        </w:rPr>
        <w:t>Bibliothèque de Cas d'Usage Réutilisables</w:t>
      </w:r>
      <w:r>
        <w:rPr>
          <w:rFonts w:ascii="Arial" w:hAnsi="Arial"/>
          <w:color w:val="1E293B"/>
        </w:rPr>
        <w:t xml:space="preserve"> : Mise à disposition d'un catalogue de briques d'IA souveraines pré-packagées (analyse sémantique de contrats, contrôle qualité vidéo pour la chimie/arômes à Grasse, maintenance prédictive spatiale pour Cannes).</w:t>
      </w:r>
    </w:p>
    <w:p>
      <w:pPr>
        <w:pStyle w:val="ListBullet"/>
        <w:spacing w:before="40" w:after="100" w:line="276" w:lineRule="auto"/>
        <w:ind w:left="504"/>
      </w:pPr>
      <w:r>
        <w:rPr>
          <w:rFonts w:ascii="Arial" w:hAnsi="Arial"/>
          <w:b/>
          <w:color w:val="0F172A"/>
        </w:rPr>
        <w:t>Accélération de la Migration IA</w:t>
      </w:r>
      <w:r>
        <w:rPr>
          <w:rFonts w:ascii="Arial" w:hAnsi="Arial"/>
          <w:color w:val="1E293B"/>
        </w:rPr>
        <w:t xml:space="preserve"> : Réduction par 3 des coûts et des délais d'intégration grâce au réemploi des briques logicielles souveraines développées par la Métropole.</w:t>
      </w:r>
    </w:p>
    <w:p>
      <w:pPr>
        <w:pStyle w:val="ListBullet"/>
        <w:spacing w:before="40" w:after="100" w:line="276" w:lineRule="auto"/>
        <w:ind w:left="504"/>
      </w:pPr>
      <w:r>
        <w:rPr>
          <w:rFonts w:ascii="Arial" w:hAnsi="Arial"/>
          <w:b/>
          <w:color w:val="0F172A"/>
        </w:rPr>
        <w:t>Accompagnement Financement UE (EDIH)</w:t>
      </w:r>
      <w:r>
        <w:rPr>
          <w:rFonts w:ascii="Arial" w:hAnsi="Arial"/>
          <w:color w:val="1E293B"/>
        </w:rPr>
        <w:t xml:space="preserve"> : Prise en charge jusqu'à 70 % des coûts de diagnostic et de migration IA via le guichet européen </w:t>
      </w:r>
      <w:r>
        <w:rPr>
          <w:rFonts w:ascii="Arial" w:hAnsi="Arial"/>
          <w:i/>
        </w:rPr>
        <w:t>Digital Europe</w:t>
      </w:r>
      <w:r>
        <w:rPr>
          <w:rFonts w:ascii="Arial" w:hAnsi="Arial"/>
          <w:color w:val="1E293B"/>
        </w:rPr>
        <w:t xml:space="preserve"> / EDIH Côte d'Azur.</w:t>
      </w:r>
    </w:p>
    <w:p>
      <w:pPr>
        <w:pStyle w:val="Heading2"/>
        <w:keepNext/>
        <w:spacing w:before="280" w:after="120"/>
      </w:pPr>
      <w:r>
        <w:rPr>
          <w:rFonts w:ascii="Georgia" w:hAnsi="Georgia"/>
          <w:b/>
          <w:color w:val="1E3A8A"/>
          <w:sz w:val="25"/>
        </w:rPr>
        <w:t>4.4 Pôle d'Excellence pour les Niçoises et les Niçois</w:t>
      </w:r>
    </w:p>
    <w:p>
      <w:pPr>
        <w:pStyle w:val="ListBullet"/>
        <w:spacing w:before="40" w:after="100" w:line="276" w:lineRule="auto"/>
        <w:ind w:left="504"/>
      </w:pPr>
      <w:r>
        <w:rPr>
          <w:rFonts w:ascii="Arial" w:hAnsi="Arial"/>
          <w:b/>
          <w:color w:val="0F172A"/>
        </w:rPr>
        <w:t>Acculturation &amp; Formations Gratuites dans les AnimaNice</w:t>
      </w:r>
      <w:r>
        <w:rPr>
          <w:rFonts w:ascii="Arial" w:hAnsi="Arial"/>
          <w:color w:val="1E293B"/>
        </w:rPr>
        <w:t xml:space="preserve"> : Déploiement d'ateliers hebdomadaires d'initiation et de maîtrise de l'IA pour les séniors, les familles et les jeunes au sein de l'ensemble du réseau des centres AnimaNice (Vieux-Nice, Ariane, Cimiez, Fabron, Riquier, etc.).</w:t>
      </w:r>
    </w:p>
    <w:p>
      <w:pPr>
        <w:pStyle w:val="ListBullet"/>
        <w:spacing w:before="40" w:after="100" w:line="276" w:lineRule="auto"/>
        <w:ind w:left="504"/>
      </w:pPr>
      <w:r>
        <w:rPr>
          <w:rFonts w:ascii="Arial" w:hAnsi="Arial"/>
          <w:b/>
          <w:color w:val="0F172A"/>
        </w:rPr>
        <w:t>Charte d'Éthique &amp; Protection Absolue des Données Personnelles</w:t>
      </w:r>
      <w:r>
        <w:rPr>
          <w:rFonts w:ascii="Arial" w:hAnsi="Arial"/>
          <w:color w:val="1E293B"/>
        </w:rPr>
        <w:t xml:space="preserve"> : Sanctification de la vie privée des Niçois. Aucune donnée citoyenne ou image vidéo n'est commercialisée ni stockée hors des serveurs souverains sous souveraineté exclusive (Monaco Cloud AMSN / Air-Gap Métropolitain).</w:t>
      </w:r>
    </w:p>
    <w:p>
      <w:pPr>
        <w:pStyle w:val="ListBullet"/>
        <w:spacing w:before="40" w:after="100" w:line="276" w:lineRule="auto"/>
        <w:ind w:left="504"/>
      </w:pPr>
      <w:r>
        <w:rPr>
          <w:rFonts w:ascii="Arial" w:hAnsi="Arial"/>
          <w:b/>
          <w:color w:val="0F172A"/>
        </w:rPr>
        <w:t>Pass IA Jeunesse &amp; Accompagnement Éducatif</w:t>
      </w:r>
      <w:r>
        <w:rPr>
          <w:rFonts w:ascii="Arial" w:hAnsi="Arial"/>
          <w:color w:val="1E293B"/>
        </w:rPr>
        <w:t xml:space="preserve"> : Partenariat avec l'Université Côte d'Azur pour mettre à disposition des étudiants, lycéens et collégiens niçois des accès souverains gratuits aux outils de recherche et d'ingénierie IA.</w:t>
      </w:r>
    </w:p>
    <w:p>
      <w:pPr>
        <w:pStyle w:val="ListBullet"/>
        <w:spacing w:before="40" w:after="100" w:line="276" w:lineRule="auto"/>
        <w:ind w:left="504"/>
      </w:pPr>
      <w:r>
        <w:rPr>
          <w:rFonts w:ascii="Arial" w:hAnsi="Arial"/>
          <w:b/>
          <w:color w:val="0F172A"/>
        </w:rPr>
        <w:t>Transparence &amp; Gouvernance Citoyenne</w:t>
      </w:r>
      <w:r>
        <w:rPr>
          <w:rFonts w:ascii="Arial" w:hAnsi="Arial"/>
          <w:color w:val="1E293B"/>
        </w:rPr>
        <w:t xml:space="preserve"> : Publication annuelle d'un bilan d'impact éthique et financier de l'IA municipale, librement accessible à tous les citoyens niçois.</w:t>
      </w:r>
    </w:p>
    <w:p>
      <w:r>
        <w:br w:type="page"/>
      </w:r>
    </w:p>
    <w:p>
      <w:pPr>
        <w:pStyle w:val="Heading1"/>
        <w:keepNext/>
        <w:spacing w:before="360" w:after="160"/>
      </w:pPr>
      <w:r>
        <w:rPr>
          <w:rFonts w:ascii="Georgia" w:hAnsi="Georgia"/>
          <w:b/>
          <w:color w:val="0F172A"/>
          <w:sz w:val="30"/>
        </w:rPr>
        <w:t>5. Feuille de Route Précise (Sept 2026-2029) &amp; Résumé Annuel</w:t>
      </w:r>
    </w:p>
    <w:p>
      <w:pPr>
        <w:pStyle w:val="Heading2"/>
        <w:keepNext/>
        <w:spacing w:before="280" w:after="120"/>
      </w:pPr>
      <w:r>
        <w:rPr>
          <w:rFonts w:ascii="Georgia" w:hAnsi="Georgia"/>
          <w:b/>
          <w:color w:val="1E3A8A"/>
          <w:sz w:val="25"/>
        </w:rPr>
        <w:t>5.1 Présidence Éric Ciotti</w:t>
      </w:r>
    </w:p>
    <w:p>
      <w:pPr>
        <w:pStyle w:val="ListBullet"/>
        <w:spacing w:before="40" w:after="100" w:line="276" w:lineRule="auto"/>
        <w:ind w:left="504"/>
      </w:pPr>
      <w:r>
        <w:rPr>
          <w:rFonts w:ascii="Arial" w:hAnsi="Arial"/>
          <w:b/>
          <w:color w:val="0F172A"/>
        </w:rPr>
        <w:t>Présidence du Comité de Pilotage Métropolitain</w:t>
      </w:r>
      <w:r>
        <w:rPr>
          <w:rFonts w:ascii="Arial" w:hAnsi="Arial"/>
          <w:color w:val="1E293B"/>
        </w:rPr>
        <w:t xml:space="preserve"> : </w:t>
      </w:r>
      <w:r>
        <w:rPr>
          <w:rFonts w:ascii="Arial" w:hAnsi="Arial"/>
          <w:b/>
          <w:color w:val="0F172A"/>
        </w:rPr>
        <w:t>M. Éric Ciotti</w:t>
      </w:r>
      <w:r>
        <w:rPr>
          <w:rFonts w:ascii="Arial" w:hAnsi="Arial"/>
          <w:color w:val="1E293B"/>
        </w:rPr>
        <w:t>, assurant l'arbitrage politique au plus haut niveau et le leadership face aux instances régionales et européennes.</w:t>
      </w:r>
    </w:p>
    <w:p>
      <w:pPr>
        <w:pStyle w:val="ListBullet"/>
        <w:spacing w:before="40" w:after="100" w:line="276" w:lineRule="auto"/>
        <w:ind w:left="504"/>
      </w:pPr>
      <w:r>
        <w:rPr>
          <w:rFonts w:ascii="Arial" w:hAnsi="Arial"/>
          <w:b/>
          <w:color w:val="0F172A"/>
        </w:rPr>
        <w:t>Direction de Projet AMO IA (Temps Partagé)</w:t>
      </w:r>
      <w:r>
        <w:rPr>
          <w:rFonts w:ascii="Arial" w:hAnsi="Arial"/>
          <w:color w:val="1E293B"/>
        </w:rPr>
        <w:t xml:space="preserve"> : </w:t>
      </w:r>
      <w:r>
        <w:rPr>
          <w:rFonts w:ascii="Arial" w:hAnsi="Arial"/>
          <w:b/>
          <w:color w:val="0F172A"/>
        </w:rPr>
        <w:t>M. Benoît SIGWALD</w:t>
      </w:r>
      <w:r>
        <w:rPr>
          <w:rFonts w:ascii="Arial" w:hAnsi="Arial"/>
          <w:color w:val="1E293B"/>
        </w:rPr>
        <w:t xml:space="preserve">, Senior AI Architect. Engagement à </w:t>
      </w:r>
      <w:r>
        <w:rPr>
          <w:rFonts w:ascii="Arial" w:hAnsi="Arial"/>
          <w:b/>
          <w:color w:val="0F172A"/>
        </w:rPr>
        <w:t>2,5 jours par semaine</w:t>
      </w:r>
      <w:r>
        <w:rPr>
          <w:rFonts w:ascii="Arial" w:hAnsi="Arial"/>
          <w:color w:val="1E293B"/>
        </w:rPr>
        <w:t>.</w:t>
      </w:r>
    </w:p>
    <w:p>
      <w:pPr>
        <w:pStyle w:val="Heading2"/>
        <w:keepNext/>
        <w:spacing w:before="280" w:after="120"/>
      </w:pPr>
      <w:r>
        <w:rPr>
          <w:rFonts w:ascii="Georgia" w:hAnsi="Georgia"/>
          <w:b/>
          <w:color w:val="1E3A8A"/>
          <w:sz w:val="25"/>
        </w:rPr>
        <w:t>5.2 Échéancier Précis et Jalons par Date (Démarche 1er Septembre 2026)</w:t>
      </w:r>
    </w:p>
    <w:tbl>
      <w:tblPr>
        <w:tblW w:type="auto" w:w="0"/>
        <w:jc w:val="center"/>
        <w:tblLook w:firstColumn="1" w:firstRow="1" w:lastColumn="0" w:lastRow="0" w:noHBand="0" w:noVBand="1" w:val="04A0"/>
      </w:tblPr>
      <w:tblGrid>
        <w:gridCol w:w="2448"/>
        <w:gridCol w:w="2448"/>
        <w:gridCol w:w="2448"/>
        <w:gridCol w:w="2448"/>
      </w:tblGrid>
      <w:tr>
        <w:tc>
          <w:tcPr>
            <w:tcW w:type="dxa" w:w="2448"/>
            <w:shd w:fill="1E293B"/>
          </w:tcPr>
          <w:p>
            <w:pPr>
              <w:spacing w:before="60" w:after="60"/>
            </w:pPr>
            <w:r>
              <w:rPr>
                <w:rFonts w:ascii="Arial" w:hAnsi="Arial"/>
                <w:b/>
                <w:color w:val="FFFFFF"/>
                <w:sz w:val="17"/>
              </w:rPr>
              <w:t>Période &amp; Date Précise</w:t>
            </w:r>
          </w:p>
        </w:tc>
        <w:tc>
          <w:tcPr>
            <w:tcW w:type="dxa" w:w="2448"/>
            <w:shd w:fill="1E293B"/>
          </w:tcPr>
          <w:p>
            <w:pPr>
              <w:spacing w:before="60" w:after="60"/>
            </w:pPr>
            <w:r>
              <w:rPr>
                <w:rFonts w:ascii="Arial" w:hAnsi="Arial"/>
                <w:b/>
                <w:color w:val="FFFFFF"/>
                <w:sz w:val="17"/>
              </w:rPr>
              <w:t>Chantier / Livrable Stratégique</w:t>
            </w:r>
          </w:p>
        </w:tc>
        <w:tc>
          <w:tcPr>
            <w:tcW w:type="dxa" w:w="2448"/>
            <w:shd w:fill="1E293B"/>
          </w:tcPr>
          <w:p>
            <w:pPr>
              <w:spacing w:before="60" w:after="60"/>
            </w:pPr>
            <w:r>
              <w:rPr>
                <w:rFonts w:ascii="Arial" w:hAnsi="Arial"/>
                <w:b/>
                <w:color w:val="FFFFFF"/>
                <w:sz w:val="17"/>
              </w:rPr>
              <w:t>Budget Dédié</w:t>
            </w:r>
          </w:p>
        </w:tc>
        <w:tc>
          <w:tcPr>
            <w:tcW w:type="dxa" w:w="2448"/>
            <w:shd w:fill="1E293B"/>
          </w:tcPr>
          <w:p>
            <w:pPr>
              <w:spacing w:before="60" w:after="60"/>
            </w:pPr>
            <w:r>
              <w:rPr>
                <w:rFonts w:ascii="Arial" w:hAnsi="Arial"/>
                <w:b/>
                <w:color w:val="FFFFFF"/>
                <w:sz w:val="17"/>
              </w:rPr>
              <w:t>Impact &amp; Résultat Attendus</w:t>
            </w:r>
          </w:p>
        </w:tc>
      </w:tr>
      <w:tr>
        <w:tc>
          <w:tcPr>
            <w:tcW w:type="dxa" w:w="2448"/>
            <w:shd w:fill="F8FAFC"/>
          </w:tcPr>
          <w:p>
            <w:pPr>
              <w:spacing w:before="60" w:after="60"/>
            </w:pPr>
            <w:r>
              <w:rPr>
                <w:rFonts w:ascii="Arial" w:hAnsi="Arial"/>
                <w:color w:val="1E293B"/>
                <w:sz w:val="16"/>
              </w:rPr>
              <w:t>1er Septembre 2026</w:t>
            </w:r>
          </w:p>
        </w:tc>
        <w:tc>
          <w:tcPr>
            <w:tcW w:type="dxa" w:w="2448"/>
            <w:shd w:fill="F8FAFC"/>
          </w:tcPr>
          <w:p>
            <w:pPr>
              <w:spacing w:before="60" w:after="60"/>
            </w:pPr>
            <w:r>
              <w:rPr>
                <w:rFonts w:ascii="Arial" w:hAnsi="Arial"/>
                <w:color w:val="1E293B"/>
                <w:sz w:val="16"/>
              </w:rPr>
              <w:t>L1.1 Lancement Pacte &amp; Direction Projet (2.5j/sem)</w:t>
            </w:r>
          </w:p>
        </w:tc>
        <w:tc>
          <w:tcPr>
            <w:tcW w:type="dxa" w:w="2448"/>
            <w:shd w:fill="F8FAFC"/>
          </w:tcPr>
          <w:p>
            <w:pPr>
              <w:spacing w:before="60" w:after="60"/>
            </w:pPr>
            <w:r>
              <w:rPr>
                <w:rFonts w:ascii="Arial" w:hAnsi="Arial"/>
                <w:color w:val="1E293B"/>
                <w:sz w:val="16"/>
              </w:rPr>
              <w:t>16,25 k€</w:t>
            </w:r>
          </w:p>
        </w:tc>
        <w:tc>
          <w:tcPr>
            <w:tcW w:type="dxa" w:w="2448"/>
            <w:shd w:fill="F8FAFC"/>
          </w:tcPr>
          <w:p>
            <w:pPr>
              <w:spacing w:before="60" w:after="60"/>
            </w:pPr>
            <w:r>
              <w:rPr>
                <w:rFonts w:ascii="Arial" w:hAnsi="Arial"/>
                <w:color w:val="1E293B"/>
                <w:sz w:val="16"/>
              </w:rPr>
              <w:t>Cadrage opérationnel &amp; gouvernance.</w:t>
            </w:r>
          </w:p>
        </w:tc>
      </w:tr>
      <w:tr>
        <w:tc>
          <w:tcPr>
            <w:tcW w:type="dxa" w:w="2448"/>
            <w:shd w:fill="FFFFFF"/>
          </w:tcPr>
          <w:p>
            <w:pPr>
              <w:spacing w:before="60" w:after="60"/>
            </w:pPr>
            <w:r>
              <w:rPr>
                <w:rFonts w:ascii="Arial" w:hAnsi="Arial"/>
                <w:color w:val="1E293B"/>
                <w:sz w:val="16"/>
              </w:rPr>
              <w:t>15 Septembre 2026</w:t>
            </w:r>
          </w:p>
        </w:tc>
        <w:tc>
          <w:tcPr>
            <w:tcW w:type="dxa" w:w="2448"/>
            <w:shd w:fill="FFFFFF"/>
          </w:tcPr>
          <w:p>
            <w:pPr>
              <w:spacing w:before="60" w:after="60"/>
            </w:pPr>
            <w:r>
              <w:rPr>
                <w:rFonts w:ascii="Arial" w:hAnsi="Arial"/>
                <w:color w:val="1E293B"/>
                <w:sz w:val="16"/>
              </w:rPr>
              <w:t>L1.2 Bureau Candidature Binationale Gigafactory</w:t>
            </w:r>
          </w:p>
        </w:tc>
        <w:tc>
          <w:tcPr>
            <w:tcW w:type="dxa" w:w="2448"/>
            <w:shd w:fill="FFFFFF"/>
          </w:tcPr>
          <w:p>
            <w:pPr>
              <w:spacing w:before="60" w:after="60"/>
            </w:pPr>
            <w:r>
              <w:rPr>
                <w:rFonts w:ascii="Arial" w:hAnsi="Arial"/>
                <w:color w:val="1E293B"/>
                <w:sz w:val="16"/>
              </w:rPr>
              <w:t>35,00 k€</w:t>
            </w:r>
          </w:p>
        </w:tc>
        <w:tc>
          <w:tcPr>
            <w:tcW w:type="dxa" w:w="2448"/>
            <w:shd w:fill="FFFFFF"/>
          </w:tcPr>
          <w:p>
            <w:pPr>
              <w:spacing w:before="60" w:after="60"/>
            </w:pPr>
            <w:r>
              <w:rPr>
                <w:rFonts w:ascii="Arial" w:hAnsi="Arial"/>
                <w:color w:val="1E293B"/>
                <w:sz w:val="16"/>
              </w:rPr>
              <w:t>Dossier 500 M€ UE co-rédigé Monaco.</w:t>
            </w:r>
          </w:p>
        </w:tc>
      </w:tr>
      <w:tr>
        <w:tc>
          <w:tcPr>
            <w:tcW w:type="dxa" w:w="2448"/>
            <w:shd w:fill="F8FAFC"/>
          </w:tcPr>
          <w:p>
            <w:pPr>
              <w:spacing w:before="60" w:after="60"/>
            </w:pPr>
            <w:r>
              <w:rPr>
                <w:rFonts w:ascii="Arial" w:hAnsi="Arial"/>
                <w:color w:val="1E293B"/>
                <w:sz w:val="16"/>
              </w:rPr>
              <w:t>1er Octobre 2026</w:t>
            </w:r>
          </w:p>
        </w:tc>
        <w:tc>
          <w:tcPr>
            <w:tcW w:type="dxa" w:w="2448"/>
            <w:shd w:fill="F8FAFC"/>
          </w:tcPr>
          <w:p>
            <w:pPr>
              <w:spacing w:before="60" w:after="60"/>
            </w:pPr>
            <w:r>
              <w:rPr>
                <w:rFonts w:ascii="Arial" w:hAnsi="Arial"/>
                <w:color w:val="1E293B"/>
                <w:sz w:val="16"/>
              </w:rPr>
              <w:t>L1.3 Délibération Métropolitaine &amp; AI Act</w:t>
            </w:r>
          </w:p>
        </w:tc>
        <w:tc>
          <w:tcPr>
            <w:tcW w:type="dxa" w:w="2448"/>
            <w:shd w:fill="F8FAFC"/>
          </w:tcPr>
          <w:p>
            <w:pPr>
              <w:spacing w:before="60" w:after="60"/>
            </w:pPr>
            <w:r>
              <w:rPr>
                <w:rFonts w:ascii="Arial" w:hAnsi="Arial"/>
                <w:color w:val="1E293B"/>
                <w:sz w:val="16"/>
              </w:rPr>
              <w:t>20,00 k€</w:t>
            </w:r>
          </w:p>
        </w:tc>
        <w:tc>
          <w:tcPr>
            <w:tcW w:type="dxa" w:w="2448"/>
            <w:shd w:fill="F8FAFC"/>
          </w:tcPr>
          <w:p>
            <w:pPr>
              <w:spacing w:before="60" w:after="60"/>
            </w:pPr>
            <w:r>
              <w:rPr>
                <w:rFonts w:ascii="Arial" w:hAnsi="Arial"/>
                <w:color w:val="1E293B"/>
                <w:sz w:val="16"/>
              </w:rPr>
              <w:t>Vote cadre juridique &amp; éthique.</w:t>
            </w:r>
          </w:p>
        </w:tc>
      </w:tr>
      <w:tr>
        <w:tc>
          <w:tcPr>
            <w:tcW w:type="dxa" w:w="2448"/>
            <w:shd w:fill="FFFFFF"/>
          </w:tcPr>
          <w:p>
            <w:pPr>
              <w:spacing w:before="60" w:after="60"/>
            </w:pPr>
            <w:r>
              <w:rPr>
                <w:rFonts w:ascii="Arial" w:hAnsi="Arial"/>
                <w:color w:val="1E293B"/>
                <w:sz w:val="16"/>
              </w:rPr>
              <w:t>15 Octobre 2026</w:t>
            </w:r>
          </w:p>
        </w:tc>
        <w:tc>
          <w:tcPr>
            <w:tcW w:type="dxa" w:w="2448"/>
            <w:shd w:fill="FFFFFF"/>
          </w:tcPr>
          <w:p>
            <w:pPr>
              <w:spacing w:before="60" w:after="60"/>
            </w:pPr>
            <w:r>
              <w:rPr>
                <w:rFonts w:ascii="Arial" w:hAnsi="Arial"/>
                <w:color w:val="1E293B"/>
                <w:sz w:val="16"/>
              </w:rPr>
              <w:t>L1.4 Audit CSU &amp; Fibre Monaco Cloud</w:t>
            </w:r>
          </w:p>
        </w:tc>
        <w:tc>
          <w:tcPr>
            <w:tcW w:type="dxa" w:w="2448"/>
            <w:shd w:fill="FFFFFF"/>
          </w:tcPr>
          <w:p>
            <w:pPr>
              <w:spacing w:before="60" w:after="60"/>
            </w:pPr>
            <w:r>
              <w:rPr>
                <w:rFonts w:ascii="Arial" w:hAnsi="Arial"/>
                <w:color w:val="1E293B"/>
                <w:sz w:val="16"/>
              </w:rPr>
              <w:t>38,75 k€</w:t>
            </w:r>
          </w:p>
        </w:tc>
        <w:tc>
          <w:tcPr>
            <w:tcW w:type="dxa" w:w="2448"/>
            <w:shd w:fill="FFFFFF"/>
          </w:tcPr>
          <w:p>
            <w:pPr>
              <w:spacing w:before="60" w:after="60"/>
            </w:pPr>
            <w:r>
              <w:rPr>
                <w:rFonts w:ascii="Arial" w:hAnsi="Arial"/>
                <w:color w:val="1E293B"/>
                <w:sz w:val="16"/>
              </w:rPr>
              <w:t>Cahier des charges interconnexion.</w:t>
            </w:r>
          </w:p>
        </w:tc>
      </w:tr>
      <w:tr>
        <w:tc>
          <w:tcPr>
            <w:tcW w:type="dxa" w:w="2448"/>
            <w:shd w:fill="F8FAFC"/>
          </w:tcPr>
          <w:p>
            <w:pPr>
              <w:spacing w:before="60" w:after="60"/>
            </w:pPr>
            <w:r>
              <w:rPr>
                <w:rFonts w:ascii="Arial" w:hAnsi="Arial"/>
                <w:color w:val="1E293B"/>
                <w:sz w:val="16"/>
              </w:rPr>
              <w:t>12 Novembre 2026</w:t>
            </w:r>
          </w:p>
        </w:tc>
        <w:tc>
          <w:tcPr>
            <w:tcW w:type="dxa" w:w="2448"/>
            <w:shd w:fill="F8FAFC"/>
          </w:tcPr>
          <w:p>
            <w:pPr>
              <w:spacing w:before="60" w:after="60"/>
            </w:pPr>
            <w:r>
              <w:rPr>
                <w:rFonts w:ascii="Arial" w:hAnsi="Arial"/>
                <w:color w:val="1E293B"/>
                <w:sz w:val="16"/>
              </w:rPr>
              <w:t>L2.1 Dépôt Dossier Gigafactory UE (COUPERET)</w:t>
            </w:r>
          </w:p>
        </w:tc>
        <w:tc>
          <w:tcPr>
            <w:tcW w:type="dxa" w:w="2448"/>
            <w:shd w:fill="F8FAFC"/>
          </w:tcPr>
          <w:p>
            <w:pPr>
              <w:spacing w:before="60" w:after="60"/>
            </w:pPr>
            <w:r>
              <w:rPr>
                <w:rFonts w:ascii="Arial" w:hAnsi="Arial"/>
                <w:color w:val="1E293B"/>
                <w:sz w:val="16"/>
              </w:rPr>
              <w:t>10,00 k€</w:t>
            </w:r>
          </w:p>
        </w:tc>
        <w:tc>
          <w:tcPr>
            <w:tcW w:type="dxa" w:w="2448"/>
            <w:shd w:fill="F8FAFC"/>
          </w:tcPr>
          <w:p>
            <w:pPr>
              <w:spacing w:before="60" w:after="60"/>
            </w:pPr>
            <w:r>
              <w:rPr>
                <w:rFonts w:ascii="Arial" w:hAnsi="Arial"/>
                <w:color w:val="1E293B"/>
                <w:sz w:val="16"/>
              </w:rPr>
              <w:t>Candidature officielle 500 M€ UE.</w:t>
            </w:r>
          </w:p>
        </w:tc>
      </w:tr>
      <w:tr>
        <w:tc>
          <w:tcPr>
            <w:tcW w:type="dxa" w:w="2448"/>
            <w:shd w:fill="FFFFFF"/>
          </w:tcPr>
          <w:p>
            <w:pPr>
              <w:spacing w:before="60" w:after="60"/>
            </w:pPr>
            <w:r>
              <w:rPr>
                <w:rFonts w:ascii="Arial" w:hAnsi="Arial"/>
                <w:color w:val="1E293B"/>
                <w:sz w:val="16"/>
              </w:rPr>
              <w:t>15 Décembre 2026</w:t>
            </w:r>
          </w:p>
        </w:tc>
        <w:tc>
          <w:tcPr>
            <w:tcW w:type="dxa" w:w="2448"/>
            <w:shd w:fill="FFFFFF"/>
          </w:tcPr>
          <w:p>
            <w:pPr>
              <w:spacing w:before="60" w:after="60"/>
            </w:pPr>
            <w:r>
              <w:rPr>
                <w:rFonts w:ascii="Arial" w:hAnsi="Arial"/>
                <w:color w:val="1E293B"/>
                <w:sz w:val="16"/>
              </w:rPr>
              <w:t>L2.2 Filtrage VSA CSU (4 300 caméras)</w:t>
            </w:r>
          </w:p>
        </w:tc>
        <w:tc>
          <w:tcPr>
            <w:tcW w:type="dxa" w:w="2448"/>
            <w:shd w:fill="FFFFFF"/>
          </w:tcPr>
          <w:p>
            <w:pPr>
              <w:spacing w:before="60" w:after="60"/>
            </w:pPr>
            <w:r>
              <w:rPr>
                <w:rFonts w:ascii="Arial" w:hAnsi="Arial"/>
                <w:color w:val="1E293B"/>
                <w:sz w:val="16"/>
              </w:rPr>
              <w:t>55,00 k€</w:t>
            </w:r>
          </w:p>
        </w:tc>
        <w:tc>
          <w:tcPr>
            <w:tcW w:type="dxa" w:w="2448"/>
            <w:shd w:fill="FFFFFF"/>
          </w:tcPr>
          <w:p>
            <w:pPr>
              <w:spacing w:before="60" w:after="60"/>
            </w:pPr>
            <w:r>
              <w:rPr>
                <w:rFonts w:ascii="Arial" w:hAnsi="Arial"/>
                <w:color w:val="1E293B"/>
                <w:sz w:val="16"/>
              </w:rPr>
              <w:t>Alertes incivilités en temps réel.</w:t>
            </w:r>
          </w:p>
        </w:tc>
      </w:tr>
      <w:tr>
        <w:tc>
          <w:tcPr>
            <w:tcW w:type="dxa" w:w="2448"/>
            <w:shd w:fill="F8FAFC"/>
          </w:tcPr>
          <w:p>
            <w:pPr>
              <w:spacing w:before="60" w:after="60"/>
            </w:pPr>
            <w:r>
              <w:rPr>
                <w:rFonts w:ascii="Arial" w:hAnsi="Arial"/>
                <w:color w:val="1E293B"/>
                <w:sz w:val="16"/>
              </w:rPr>
              <w:t>15 Janvier 2027</w:t>
            </w:r>
          </w:p>
        </w:tc>
        <w:tc>
          <w:tcPr>
            <w:tcW w:type="dxa" w:w="2448"/>
            <w:shd w:fill="F8FAFC"/>
          </w:tcPr>
          <w:p>
            <w:pPr>
              <w:spacing w:before="60" w:after="60"/>
            </w:pPr>
            <w:r>
              <w:rPr>
                <w:rFonts w:ascii="Arial" w:hAnsi="Arial"/>
                <w:color w:val="1E293B"/>
                <w:sz w:val="16"/>
              </w:rPr>
              <w:t>L2.3 Géolocalisation &amp; Dispatching PM</w:t>
            </w:r>
          </w:p>
        </w:tc>
        <w:tc>
          <w:tcPr>
            <w:tcW w:type="dxa" w:w="2448"/>
            <w:shd w:fill="F8FAFC"/>
          </w:tcPr>
          <w:p>
            <w:pPr>
              <w:spacing w:before="60" w:after="60"/>
            </w:pPr>
            <w:r>
              <w:rPr>
                <w:rFonts w:ascii="Arial" w:hAnsi="Arial"/>
                <w:color w:val="1E293B"/>
                <w:sz w:val="16"/>
              </w:rPr>
              <w:t>33,75 k€</w:t>
            </w:r>
          </w:p>
        </w:tc>
        <w:tc>
          <w:tcPr>
            <w:tcW w:type="dxa" w:w="2448"/>
            <w:shd w:fill="F8FAFC"/>
          </w:tcPr>
          <w:p>
            <w:pPr>
              <w:spacing w:before="60" w:after="60"/>
            </w:pPr>
            <w:r>
              <w:rPr>
                <w:rFonts w:ascii="Arial" w:hAnsi="Arial"/>
                <w:color w:val="1E293B"/>
                <w:sz w:val="16"/>
              </w:rPr>
              <w:t>Patrouilles physiques &lt; 6 min.</w:t>
            </w:r>
          </w:p>
        </w:tc>
      </w:tr>
      <w:tr>
        <w:tc>
          <w:tcPr>
            <w:tcW w:type="dxa" w:w="2448"/>
            <w:shd w:fill="FFFFFF"/>
          </w:tcPr>
          <w:p>
            <w:pPr>
              <w:spacing w:before="60" w:after="60"/>
            </w:pPr>
            <w:r>
              <w:rPr>
                <w:rFonts w:ascii="Arial" w:hAnsi="Arial"/>
                <w:color w:val="1E293B"/>
                <w:sz w:val="16"/>
              </w:rPr>
              <w:t>1er Février 2027</w:t>
            </w:r>
          </w:p>
        </w:tc>
        <w:tc>
          <w:tcPr>
            <w:tcW w:type="dxa" w:w="2448"/>
            <w:shd w:fill="FFFFFF"/>
          </w:tcPr>
          <w:p>
            <w:pPr>
              <w:spacing w:before="60" w:after="60"/>
            </w:pPr>
            <w:r>
              <w:rPr>
                <w:rFonts w:ascii="Arial" w:hAnsi="Arial"/>
                <w:color w:val="1E293B"/>
                <w:sz w:val="16"/>
              </w:rPr>
              <w:t>L2.4 Ingestion Marchés Publics (Pilote 50M€)</w:t>
            </w:r>
          </w:p>
        </w:tc>
        <w:tc>
          <w:tcPr>
            <w:tcW w:type="dxa" w:w="2448"/>
            <w:shd w:fill="FFFFFF"/>
          </w:tcPr>
          <w:p>
            <w:pPr>
              <w:spacing w:before="60" w:after="60"/>
            </w:pPr>
            <w:r>
              <w:rPr>
                <w:rFonts w:ascii="Arial" w:hAnsi="Arial"/>
                <w:color w:val="1E293B"/>
                <w:sz w:val="16"/>
              </w:rPr>
              <w:t>16,25 k€</w:t>
            </w:r>
          </w:p>
        </w:tc>
        <w:tc>
          <w:tcPr>
            <w:tcW w:type="dxa" w:w="2448"/>
            <w:shd w:fill="FFFFFF"/>
          </w:tcPr>
          <w:p>
            <w:pPr>
              <w:spacing w:before="60" w:after="60"/>
            </w:pPr>
            <w:r>
              <w:rPr>
                <w:rFonts w:ascii="Arial" w:hAnsi="Arial"/>
                <w:color w:val="1E293B"/>
                <w:sz w:val="16"/>
              </w:rPr>
              <w:t>Ingénierie &amp; recettes sémantiques.</w:t>
            </w:r>
          </w:p>
        </w:tc>
      </w:tr>
      <w:tr>
        <w:tc>
          <w:tcPr>
            <w:tcW w:type="dxa" w:w="2448"/>
            <w:shd w:fill="F8FAFC"/>
          </w:tcPr>
          <w:p>
            <w:pPr>
              <w:spacing w:before="60" w:after="60"/>
            </w:pPr>
            <w:r>
              <w:rPr>
                <w:rFonts w:ascii="Arial" w:hAnsi="Arial"/>
                <w:color w:val="1E293B"/>
                <w:sz w:val="16"/>
              </w:rPr>
              <w:t>15 Mars 2027</w:t>
            </w:r>
          </w:p>
        </w:tc>
        <w:tc>
          <w:tcPr>
            <w:tcW w:type="dxa" w:w="2448"/>
            <w:shd w:fill="F8FAFC"/>
          </w:tcPr>
          <w:p>
            <w:pPr>
              <w:spacing w:before="60" w:after="60"/>
            </w:pPr>
            <w:r>
              <w:rPr>
                <w:rFonts w:ascii="Arial" w:hAnsi="Arial"/>
                <w:color w:val="1E293B"/>
                <w:sz w:val="16"/>
              </w:rPr>
              <w:t>L3.1 Audit Commande Publique Généralisé (300M€)</w:t>
            </w:r>
          </w:p>
        </w:tc>
        <w:tc>
          <w:tcPr>
            <w:tcW w:type="dxa" w:w="2448"/>
            <w:shd w:fill="F8FAFC"/>
          </w:tcPr>
          <w:p>
            <w:pPr>
              <w:spacing w:before="60" w:after="60"/>
            </w:pPr>
            <w:r>
              <w:rPr>
                <w:rFonts w:ascii="Arial" w:hAnsi="Arial"/>
                <w:color w:val="1E293B"/>
                <w:sz w:val="16"/>
              </w:rPr>
              <w:t>45,00 k€</w:t>
            </w:r>
          </w:p>
        </w:tc>
        <w:tc>
          <w:tcPr>
            <w:tcW w:type="dxa" w:w="2448"/>
            <w:shd w:fill="F8FAFC"/>
          </w:tcPr>
          <w:p>
            <w:pPr>
              <w:spacing w:before="60" w:after="60"/>
            </w:pPr>
            <w:r>
              <w:rPr>
                <w:rFonts w:ascii="Arial" w:hAnsi="Arial"/>
                <w:color w:val="1E293B"/>
                <w:sz w:val="16"/>
              </w:rPr>
              <w:t>Filtrage erreurs &amp; doublons BPU.</w:t>
            </w:r>
          </w:p>
        </w:tc>
      </w:tr>
      <w:tr>
        <w:tc>
          <w:tcPr>
            <w:tcW w:type="dxa" w:w="2448"/>
            <w:shd w:fill="FFFFFF"/>
          </w:tcPr>
          <w:p>
            <w:pPr>
              <w:spacing w:before="60" w:after="60"/>
            </w:pPr>
            <w:r>
              <w:rPr>
                <w:rFonts w:ascii="Arial" w:hAnsi="Arial"/>
                <w:color w:val="1E293B"/>
                <w:sz w:val="16"/>
              </w:rPr>
              <w:t>1er Avril 2027</w:t>
            </w:r>
          </w:p>
        </w:tc>
        <w:tc>
          <w:tcPr>
            <w:tcW w:type="dxa" w:w="2448"/>
            <w:shd w:fill="FFFFFF"/>
          </w:tcPr>
          <w:p>
            <w:pPr>
              <w:spacing w:before="60" w:after="60"/>
            </w:pPr>
            <w:r>
              <w:rPr>
                <w:rFonts w:ascii="Arial" w:hAnsi="Arial"/>
                <w:color w:val="1E293B"/>
                <w:sz w:val="16"/>
              </w:rPr>
              <w:t>L3.2 SOC Cyber NIS 2 Autonome Air-Gap</w:t>
            </w:r>
          </w:p>
        </w:tc>
        <w:tc>
          <w:tcPr>
            <w:tcW w:type="dxa" w:w="2448"/>
            <w:shd w:fill="FFFFFF"/>
          </w:tcPr>
          <w:p>
            <w:pPr>
              <w:spacing w:before="60" w:after="60"/>
            </w:pPr>
            <w:r>
              <w:rPr>
                <w:rFonts w:ascii="Arial" w:hAnsi="Arial"/>
                <w:color w:val="1E293B"/>
                <w:sz w:val="16"/>
              </w:rPr>
              <w:t>28,75 k€</w:t>
            </w:r>
          </w:p>
        </w:tc>
        <w:tc>
          <w:tcPr>
            <w:tcW w:type="dxa" w:w="2448"/>
            <w:shd w:fill="FFFFFF"/>
          </w:tcPr>
          <w:p>
            <w:pPr>
              <w:spacing w:before="60" w:after="60"/>
            </w:pPr>
            <w:r>
              <w:rPr>
                <w:rFonts w:ascii="Arial" w:hAnsi="Arial"/>
                <w:color w:val="1E293B"/>
                <w:sz w:val="16"/>
              </w:rPr>
              <w:t>Protection inviolable du CSU.</w:t>
            </w:r>
          </w:p>
        </w:tc>
      </w:tr>
      <w:tr>
        <w:tc>
          <w:tcPr>
            <w:tcW w:type="dxa" w:w="2448"/>
            <w:shd w:fill="F8FAFC"/>
          </w:tcPr>
          <w:p>
            <w:pPr>
              <w:spacing w:before="60" w:after="60"/>
            </w:pPr>
            <w:r>
              <w:rPr>
                <w:rFonts w:ascii="Arial" w:hAnsi="Arial"/>
                <w:color w:val="1E293B"/>
                <w:sz w:val="16"/>
              </w:rPr>
              <w:t>15 Mai 2027</w:t>
            </w:r>
          </w:p>
        </w:tc>
        <w:tc>
          <w:tcPr>
            <w:tcW w:type="dxa" w:w="2448"/>
            <w:shd w:fill="F8FAFC"/>
          </w:tcPr>
          <w:p>
            <w:pPr>
              <w:spacing w:before="60" w:after="60"/>
            </w:pPr>
            <w:r>
              <w:rPr>
                <w:rFonts w:ascii="Arial" w:hAnsi="Arial"/>
                <w:color w:val="1E293B"/>
                <w:sz w:val="16"/>
              </w:rPr>
              <w:t>L3.3 IA Einstein Concertation (1ers Quartiers)</w:t>
            </w:r>
          </w:p>
        </w:tc>
        <w:tc>
          <w:tcPr>
            <w:tcW w:type="dxa" w:w="2448"/>
            <w:shd w:fill="F8FAFC"/>
          </w:tcPr>
          <w:p>
            <w:pPr>
              <w:spacing w:before="60" w:after="60"/>
            </w:pPr>
            <w:r>
              <w:rPr>
                <w:rFonts w:ascii="Arial" w:hAnsi="Arial"/>
                <w:color w:val="1E293B"/>
                <w:sz w:val="16"/>
              </w:rPr>
              <w:t>15,00 k€</w:t>
            </w:r>
          </w:p>
        </w:tc>
        <w:tc>
          <w:tcPr>
            <w:tcW w:type="dxa" w:w="2448"/>
            <w:shd w:fill="F8FAFC"/>
          </w:tcPr>
          <w:p>
            <w:pPr>
              <w:spacing w:before="60" w:after="60"/>
            </w:pPr>
            <w:r>
              <w:rPr>
                <w:rFonts w:ascii="Arial" w:hAnsi="Arial"/>
                <w:color w:val="1E293B"/>
                <w:sz w:val="16"/>
              </w:rPr>
              <w:t>Restitution citoyenne augmentée.</w:t>
            </w:r>
          </w:p>
        </w:tc>
      </w:tr>
      <w:tr>
        <w:tc>
          <w:tcPr>
            <w:tcW w:type="dxa" w:w="2448"/>
            <w:shd w:fill="FFFFFF"/>
          </w:tcPr>
          <w:p>
            <w:pPr>
              <w:spacing w:before="60" w:after="60"/>
            </w:pPr>
            <w:r>
              <w:rPr>
                <w:rFonts w:ascii="Arial" w:hAnsi="Arial"/>
                <w:color w:val="1E293B"/>
                <w:sz w:val="16"/>
              </w:rPr>
              <w:t>15 Juin 2027</w:t>
            </w:r>
          </w:p>
        </w:tc>
        <w:tc>
          <w:tcPr>
            <w:tcW w:type="dxa" w:w="2448"/>
            <w:shd w:fill="FFFFFF"/>
          </w:tcPr>
          <w:p>
            <w:pPr>
              <w:spacing w:before="60" w:after="60"/>
            </w:pPr>
            <w:r>
              <w:rPr>
                <w:rFonts w:ascii="Arial" w:hAnsi="Arial"/>
                <w:color w:val="1E293B"/>
                <w:sz w:val="16"/>
              </w:rPr>
              <w:t>L4.1 Généralisation Audit Commande Publique</w:t>
            </w:r>
          </w:p>
        </w:tc>
        <w:tc>
          <w:tcPr>
            <w:tcW w:type="dxa" w:w="2448"/>
            <w:shd w:fill="FFFFFF"/>
          </w:tcPr>
          <w:p>
            <w:pPr>
              <w:spacing w:before="60" w:after="60"/>
            </w:pPr>
            <w:r>
              <w:rPr>
                <w:rFonts w:ascii="Arial" w:hAnsi="Arial"/>
                <w:color w:val="1E293B"/>
                <w:sz w:val="16"/>
              </w:rPr>
              <w:t>45,00 k€</w:t>
            </w:r>
          </w:p>
        </w:tc>
        <w:tc>
          <w:tcPr>
            <w:tcW w:type="dxa" w:w="2448"/>
            <w:shd w:fill="FFFFFF"/>
          </w:tcPr>
          <w:p>
            <w:pPr>
              <w:spacing w:before="60" w:after="60"/>
            </w:pPr>
            <w:r>
              <w:rPr>
                <w:rFonts w:ascii="Arial" w:hAnsi="Arial"/>
                <w:color w:val="1E293B"/>
                <w:sz w:val="16"/>
              </w:rPr>
              <w:t>Rentrée de +2,5 M€/an certifiés.</w:t>
            </w:r>
          </w:p>
        </w:tc>
      </w:tr>
      <w:tr>
        <w:tc>
          <w:tcPr>
            <w:tcW w:type="dxa" w:w="2448"/>
            <w:shd w:fill="F8FAFC"/>
          </w:tcPr>
          <w:p>
            <w:pPr>
              <w:spacing w:before="60" w:after="60"/>
            </w:pPr>
            <w:r>
              <w:rPr>
                <w:rFonts w:ascii="Arial" w:hAnsi="Arial"/>
                <w:color w:val="1E293B"/>
                <w:sz w:val="16"/>
              </w:rPr>
              <w:t>15 Juillet 2027</w:t>
            </w:r>
          </w:p>
        </w:tc>
        <w:tc>
          <w:tcPr>
            <w:tcW w:type="dxa" w:w="2448"/>
            <w:shd w:fill="F8FAFC"/>
          </w:tcPr>
          <w:p>
            <w:pPr>
              <w:spacing w:before="60" w:after="60"/>
            </w:pPr>
            <w:r>
              <w:rPr>
                <w:rFonts w:ascii="Arial" w:hAnsi="Arial"/>
                <w:color w:val="1E293B"/>
                <w:sz w:val="16"/>
              </w:rPr>
              <w:t>L4.2 Recette Sécurité Monaco Cloud AMSN</w:t>
            </w:r>
          </w:p>
        </w:tc>
        <w:tc>
          <w:tcPr>
            <w:tcW w:type="dxa" w:w="2448"/>
            <w:shd w:fill="F8FAFC"/>
          </w:tcPr>
          <w:p>
            <w:pPr>
              <w:spacing w:before="60" w:after="60"/>
            </w:pPr>
            <w:r>
              <w:rPr>
                <w:rFonts w:ascii="Arial" w:hAnsi="Arial"/>
                <w:color w:val="1E293B"/>
                <w:sz w:val="16"/>
              </w:rPr>
              <w:t>23,75 k€</w:t>
            </w:r>
          </w:p>
        </w:tc>
        <w:tc>
          <w:tcPr>
            <w:tcW w:type="dxa" w:w="2448"/>
            <w:shd w:fill="F8FAFC"/>
          </w:tcPr>
          <w:p>
            <w:pPr>
              <w:spacing w:before="60" w:after="60"/>
            </w:pPr>
            <w:r>
              <w:rPr>
                <w:rFonts w:ascii="Arial" w:hAnsi="Arial"/>
                <w:color w:val="1E293B"/>
                <w:sz w:val="16"/>
              </w:rPr>
              <w:t>Certification Cloud Souverain.</w:t>
            </w:r>
          </w:p>
        </w:tc>
      </w:tr>
      <w:tr>
        <w:tc>
          <w:tcPr>
            <w:tcW w:type="dxa" w:w="2448"/>
            <w:shd w:fill="FFFFFF"/>
          </w:tcPr>
          <w:p>
            <w:pPr>
              <w:spacing w:before="60" w:after="60"/>
            </w:pPr>
            <w:r>
              <w:rPr>
                <w:rFonts w:ascii="Arial" w:hAnsi="Arial"/>
                <w:color w:val="1E293B"/>
                <w:sz w:val="16"/>
              </w:rPr>
              <w:t>31 Août 2027</w:t>
            </w:r>
          </w:p>
        </w:tc>
        <w:tc>
          <w:tcPr>
            <w:tcW w:type="dxa" w:w="2448"/>
            <w:shd w:fill="FFFFFF"/>
          </w:tcPr>
          <w:p>
            <w:pPr>
              <w:spacing w:before="60" w:after="60"/>
            </w:pPr>
            <w:r>
              <w:rPr>
                <w:rFonts w:ascii="Arial" w:hAnsi="Arial"/>
                <w:color w:val="1E293B"/>
                <w:sz w:val="16"/>
              </w:rPr>
              <w:t>L4.3 Bilan Année 1 &amp; Pôle Citoyens AnimaNice</w:t>
            </w:r>
          </w:p>
        </w:tc>
        <w:tc>
          <w:tcPr>
            <w:tcW w:type="dxa" w:w="2448"/>
            <w:shd w:fill="FFFFFF"/>
          </w:tcPr>
          <w:p>
            <w:pPr>
              <w:spacing w:before="60" w:after="60"/>
            </w:pPr>
            <w:r>
              <w:rPr>
                <w:rFonts w:ascii="Arial" w:hAnsi="Arial"/>
                <w:color w:val="1E293B"/>
                <w:sz w:val="16"/>
              </w:rPr>
              <w:t>20,00 k€</w:t>
            </w:r>
          </w:p>
        </w:tc>
        <w:tc>
          <w:tcPr>
            <w:tcW w:type="dxa" w:w="2448"/>
            <w:shd w:fill="FFFFFF"/>
          </w:tcPr>
          <w:p>
            <w:pPr>
              <w:spacing w:before="60" w:after="60"/>
            </w:pPr>
            <w:r>
              <w:rPr>
                <w:rFonts w:ascii="Arial" w:hAnsi="Arial"/>
                <w:color w:val="1E293B"/>
                <w:sz w:val="16"/>
              </w:rPr>
              <w:t>+2,5 M€ d'économies &amp; bilan VSA.</w:t>
            </w:r>
          </w:p>
        </w:tc>
      </w:tr>
      <w:tr>
        <w:tc>
          <w:tcPr>
            <w:tcW w:type="dxa" w:w="2448"/>
            <w:shd w:fill="F8FAFC"/>
          </w:tcPr>
          <w:p>
            <w:pPr>
              <w:spacing w:before="60" w:after="60"/>
            </w:pPr>
            <w:r>
              <w:rPr>
                <w:rFonts w:ascii="Arial" w:hAnsi="Arial"/>
                <w:color w:val="1E293B"/>
                <w:sz w:val="16"/>
              </w:rPr>
              <w:t>Sept 2027 — Fév 2028</w:t>
            </w:r>
          </w:p>
        </w:tc>
        <w:tc>
          <w:tcPr>
            <w:tcW w:type="dxa" w:w="2448"/>
            <w:shd w:fill="F8FAFC"/>
          </w:tcPr>
          <w:p>
            <w:pPr>
              <w:spacing w:before="60" w:after="60"/>
            </w:pPr>
            <w:r>
              <w:rPr>
                <w:rFonts w:ascii="Arial" w:hAnsi="Arial"/>
                <w:color w:val="1E293B"/>
                <w:sz w:val="16"/>
              </w:rPr>
              <w:t>L5.1 Guichet Vocal Allo Niçois Séniors 24/7</w:t>
            </w:r>
          </w:p>
        </w:tc>
        <w:tc>
          <w:tcPr>
            <w:tcW w:type="dxa" w:w="2448"/>
            <w:shd w:fill="F8FAFC"/>
          </w:tcPr>
          <w:p>
            <w:pPr>
              <w:spacing w:before="60" w:after="60"/>
            </w:pPr>
            <w:r>
              <w:rPr>
                <w:rFonts w:ascii="Arial" w:hAnsi="Arial"/>
                <w:color w:val="1E293B"/>
                <w:sz w:val="16"/>
              </w:rPr>
              <w:t>85,00 k€</w:t>
            </w:r>
          </w:p>
        </w:tc>
        <w:tc>
          <w:tcPr>
            <w:tcW w:type="dxa" w:w="2448"/>
            <w:shd w:fill="F8FAFC"/>
          </w:tcPr>
          <w:p>
            <w:pPr>
              <w:spacing w:before="60" w:after="60"/>
            </w:pPr>
            <w:r>
              <w:rPr>
                <w:rFonts w:ascii="Arial" w:hAnsi="Arial"/>
                <w:color w:val="1E293B"/>
                <w:sz w:val="16"/>
              </w:rPr>
              <w:t>Assistance 24/7 &amp; d'urgence.</w:t>
            </w:r>
          </w:p>
        </w:tc>
      </w:tr>
      <w:tr>
        <w:tc>
          <w:tcPr>
            <w:tcW w:type="dxa" w:w="2448"/>
            <w:shd w:fill="FFFFFF"/>
          </w:tcPr>
          <w:p>
            <w:pPr>
              <w:spacing w:before="60" w:after="60"/>
            </w:pPr>
            <w:r>
              <w:rPr>
                <w:rFonts w:ascii="Arial" w:hAnsi="Arial"/>
                <w:color w:val="1E293B"/>
                <w:sz w:val="16"/>
              </w:rPr>
              <w:t>Sept 2027 — Fév 2028</w:t>
            </w:r>
          </w:p>
        </w:tc>
        <w:tc>
          <w:tcPr>
            <w:tcW w:type="dxa" w:w="2448"/>
            <w:shd w:fill="FFFFFF"/>
          </w:tcPr>
          <w:p>
            <w:pPr>
              <w:spacing w:before="60" w:after="60"/>
            </w:pPr>
            <w:r>
              <w:rPr>
                <w:rFonts w:ascii="Arial" w:hAnsi="Arial"/>
                <w:color w:val="1E293B"/>
                <w:sz w:val="16"/>
              </w:rPr>
              <w:t>L5.2 VSA Propreté &amp; Routage Bennes</w:t>
            </w:r>
          </w:p>
        </w:tc>
        <w:tc>
          <w:tcPr>
            <w:tcW w:type="dxa" w:w="2448"/>
            <w:shd w:fill="FFFFFF"/>
          </w:tcPr>
          <w:p>
            <w:pPr>
              <w:spacing w:before="60" w:after="60"/>
            </w:pPr>
            <w:r>
              <w:rPr>
                <w:rFonts w:ascii="Arial" w:hAnsi="Arial"/>
                <w:color w:val="1E293B"/>
                <w:sz w:val="16"/>
              </w:rPr>
              <w:t>65,00 k€</w:t>
            </w:r>
          </w:p>
        </w:tc>
        <w:tc>
          <w:tcPr>
            <w:tcW w:type="dxa" w:w="2448"/>
            <w:shd w:fill="FFFFFF"/>
          </w:tcPr>
          <w:p>
            <w:pPr>
              <w:spacing w:before="60" w:after="60"/>
            </w:pPr>
            <w:r>
              <w:rPr>
                <w:rFonts w:ascii="Arial" w:hAnsi="Arial"/>
                <w:color w:val="1E293B"/>
                <w:sz w:val="16"/>
              </w:rPr>
              <w:t>Rues propres &amp; -18% carburant.</w:t>
            </w:r>
          </w:p>
        </w:tc>
      </w:tr>
      <w:tr>
        <w:tc>
          <w:tcPr>
            <w:tcW w:type="dxa" w:w="2448"/>
            <w:shd w:fill="F8FAFC"/>
          </w:tcPr>
          <w:p>
            <w:pPr>
              <w:spacing w:before="60" w:after="60"/>
            </w:pPr>
            <w:r>
              <w:rPr>
                <w:rFonts w:ascii="Arial" w:hAnsi="Arial"/>
                <w:color w:val="1E293B"/>
                <w:sz w:val="16"/>
              </w:rPr>
              <w:t>Mars 2028 — Août 2028</w:t>
            </w:r>
          </w:p>
        </w:tc>
        <w:tc>
          <w:tcPr>
            <w:tcW w:type="dxa" w:w="2448"/>
            <w:shd w:fill="F8FAFC"/>
          </w:tcPr>
          <w:p>
            <w:pPr>
              <w:spacing w:before="60" w:after="60"/>
            </w:pPr>
            <w:r>
              <w:rPr>
                <w:rFonts w:ascii="Arial" w:hAnsi="Arial"/>
                <w:color w:val="1E293B"/>
                <w:sz w:val="16"/>
              </w:rPr>
              <w:t>L6.1 Pôle Excellence PME/PMI &amp; Bibliothèque Cas Usage</w:t>
            </w:r>
          </w:p>
        </w:tc>
        <w:tc>
          <w:tcPr>
            <w:tcW w:type="dxa" w:w="2448"/>
            <w:shd w:fill="F8FAFC"/>
          </w:tcPr>
          <w:p>
            <w:pPr>
              <w:spacing w:before="60" w:after="60"/>
            </w:pPr>
            <w:r>
              <w:rPr>
                <w:rFonts w:ascii="Arial" w:hAnsi="Arial"/>
                <w:color w:val="1E293B"/>
                <w:sz w:val="16"/>
              </w:rPr>
              <w:t>85,00 k€</w:t>
            </w:r>
          </w:p>
        </w:tc>
        <w:tc>
          <w:tcPr>
            <w:tcW w:type="dxa" w:w="2448"/>
            <w:shd w:fill="F8FAFC"/>
          </w:tcPr>
          <w:p>
            <w:pPr>
              <w:spacing w:before="60" w:after="60"/>
            </w:pPr>
            <w:r>
              <w:rPr>
                <w:rFonts w:ascii="Arial" w:hAnsi="Arial"/>
                <w:color w:val="1E293B"/>
                <w:sz w:val="16"/>
              </w:rPr>
              <w:t>Migration IA de 200 PME/PMI.</w:t>
            </w:r>
          </w:p>
        </w:tc>
      </w:tr>
      <w:tr>
        <w:tc>
          <w:tcPr>
            <w:tcW w:type="dxa" w:w="2448"/>
            <w:shd w:fill="FFFFFF"/>
          </w:tcPr>
          <w:p>
            <w:pPr>
              <w:spacing w:before="60" w:after="60"/>
            </w:pPr>
            <w:r>
              <w:rPr>
                <w:rFonts w:ascii="Arial" w:hAnsi="Arial"/>
                <w:color w:val="1E293B"/>
                <w:sz w:val="16"/>
              </w:rPr>
              <w:t>Mars 2028 — Août 2028</w:t>
            </w:r>
          </w:p>
        </w:tc>
        <w:tc>
          <w:tcPr>
            <w:tcW w:type="dxa" w:w="2448"/>
            <w:shd w:fill="FFFFFF"/>
          </w:tcPr>
          <w:p>
            <w:pPr>
              <w:spacing w:before="60" w:after="60"/>
            </w:pPr>
            <w:r>
              <w:rPr>
                <w:rFonts w:ascii="Arial" w:hAnsi="Arial"/>
                <w:color w:val="1E293B"/>
                <w:sz w:val="16"/>
              </w:rPr>
              <w:t>L6.2 Concertation Einstein Récurrente</w:t>
            </w:r>
          </w:p>
        </w:tc>
        <w:tc>
          <w:tcPr>
            <w:tcW w:type="dxa" w:w="2448"/>
            <w:shd w:fill="FFFFFF"/>
          </w:tcPr>
          <w:p>
            <w:pPr>
              <w:spacing w:before="60" w:after="60"/>
            </w:pPr>
            <w:r>
              <w:rPr>
                <w:rFonts w:ascii="Arial" w:hAnsi="Arial"/>
                <w:color w:val="1E293B"/>
                <w:sz w:val="16"/>
              </w:rPr>
              <w:t>60,00 k€</w:t>
            </w:r>
          </w:p>
        </w:tc>
        <w:tc>
          <w:tcPr>
            <w:tcW w:type="dxa" w:w="2448"/>
            <w:shd w:fill="FFFFFF"/>
          </w:tcPr>
          <w:p>
            <w:pPr>
              <w:spacing w:before="60" w:after="60"/>
            </w:pPr>
            <w:r>
              <w:rPr>
                <w:rFonts w:ascii="Arial" w:hAnsi="Arial"/>
                <w:color w:val="1E293B"/>
                <w:sz w:val="16"/>
              </w:rPr>
              <w:t>Ingestion avis par quartier.</w:t>
            </w:r>
          </w:p>
        </w:tc>
      </w:tr>
      <w:tr>
        <w:tc>
          <w:tcPr>
            <w:tcW w:type="dxa" w:w="2448"/>
            <w:shd w:fill="F8FAFC"/>
          </w:tcPr>
          <w:p>
            <w:pPr>
              <w:spacing w:before="60" w:after="60"/>
            </w:pPr>
            <w:r>
              <w:rPr>
                <w:rFonts w:ascii="Arial" w:hAnsi="Arial"/>
                <w:color w:val="1E293B"/>
                <w:sz w:val="16"/>
              </w:rPr>
              <w:t>1er Janvier 2029</w:t>
            </w:r>
          </w:p>
        </w:tc>
        <w:tc>
          <w:tcPr>
            <w:tcW w:type="dxa" w:w="2448"/>
            <w:shd w:fill="F8FAFC"/>
          </w:tcPr>
          <w:p>
            <w:pPr>
              <w:spacing w:before="60" w:after="60"/>
            </w:pPr>
            <w:r>
              <w:rPr>
                <w:rFonts w:ascii="Arial" w:hAnsi="Arial"/>
                <w:color w:val="1E293B"/>
                <w:sz w:val="16"/>
              </w:rPr>
              <w:t>L7.1 Supercalculateur AI Gigafactory</w:t>
            </w:r>
          </w:p>
        </w:tc>
        <w:tc>
          <w:tcPr>
            <w:tcW w:type="dxa" w:w="2448"/>
            <w:shd w:fill="F8FAFC"/>
          </w:tcPr>
          <w:p>
            <w:pPr>
              <w:spacing w:before="60" w:after="60"/>
            </w:pPr>
            <w:r>
              <w:rPr>
                <w:rFonts w:ascii="Arial" w:hAnsi="Arial"/>
                <w:color w:val="1E293B"/>
                <w:sz w:val="16"/>
              </w:rPr>
              <w:t>160,00 k€</w:t>
            </w:r>
          </w:p>
        </w:tc>
        <w:tc>
          <w:tcPr>
            <w:tcW w:type="dxa" w:w="2448"/>
            <w:shd w:fill="F8FAFC"/>
          </w:tcPr>
          <w:p>
            <w:pPr>
              <w:spacing w:before="60" w:after="60"/>
            </w:pPr>
            <w:r>
              <w:rPr>
                <w:rFonts w:ascii="Arial" w:hAnsi="Arial"/>
                <w:color w:val="1E293B"/>
                <w:sz w:val="16"/>
              </w:rPr>
              <w:t>Mise en service opérationnelle.</w:t>
            </w:r>
          </w:p>
        </w:tc>
      </w:tr>
      <w:tr>
        <w:tc>
          <w:tcPr>
            <w:tcW w:type="dxa" w:w="2448"/>
            <w:shd w:fill="FFFFFF"/>
          </w:tcPr>
          <w:p>
            <w:pPr>
              <w:spacing w:before="60" w:after="60"/>
            </w:pPr>
            <w:r>
              <w:rPr>
                <w:rFonts w:ascii="Arial" w:hAnsi="Arial"/>
                <w:color w:val="1E293B"/>
                <w:sz w:val="16"/>
              </w:rPr>
              <w:t>Sept 2028 — Août 2029</w:t>
            </w:r>
          </w:p>
        </w:tc>
        <w:tc>
          <w:tcPr>
            <w:tcW w:type="dxa" w:w="2448"/>
            <w:shd w:fill="FFFFFF"/>
          </w:tcPr>
          <w:p>
            <w:pPr>
              <w:spacing w:before="60" w:after="60"/>
            </w:pPr>
            <w:r>
              <w:rPr>
                <w:rFonts w:ascii="Arial" w:hAnsi="Arial"/>
                <w:color w:val="1E293B"/>
                <w:sz w:val="16"/>
              </w:rPr>
              <w:t>L7.2 Industrialisation IA Frugale &amp; Cyber</w:t>
            </w:r>
          </w:p>
        </w:tc>
        <w:tc>
          <w:tcPr>
            <w:tcW w:type="dxa" w:w="2448"/>
            <w:shd w:fill="FFFFFF"/>
          </w:tcPr>
          <w:p>
            <w:pPr>
              <w:spacing w:before="60" w:after="60"/>
            </w:pPr>
            <w:r>
              <w:rPr>
                <w:rFonts w:ascii="Arial" w:hAnsi="Arial"/>
                <w:color w:val="1E293B"/>
                <w:sz w:val="16"/>
              </w:rPr>
              <w:t>170,00 k€</w:t>
            </w:r>
          </w:p>
        </w:tc>
        <w:tc>
          <w:tcPr>
            <w:tcW w:type="dxa" w:w="2448"/>
            <w:shd w:fill="FFFFFF"/>
          </w:tcPr>
          <w:p>
            <w:pPr>
              <w:spacing w:before="60" w:after="60"/>
            </w:pPr>
            <w:r>
              <w:rPr>
                <w:rFonts w:ascii="Arial" w:hAnsi="Arial"/>
                <w:color w:val="1E293B"/>
                <w:sz w:val="16"/>
              </w:rPr>
              <w:t>Pérennisation &amp; Hub AI Act.</w:t>
            </w:r>
          </w:p>
        </w:tc>
      </w:tr>
    </w:tbl>
    <w:p>
      <w:pPr>
        <w:spacing w:after="200"/>
      </w:pPr>
    </w:p>
    <w:p>
      <w:pPr>
        <w:pStyle w:val="Heading2"/>
        <w:keepNext/>
        <w:spacing w:before="280" w:after="120"/>
      </w:pPr>
      <w:r>
        <w:rPr>
          <w:rFonts w:ascii="Georgia" w:hAnsi="Georgia"/>
          <w:b/>
          <w:color w:val="1E3A8A"/>
          <w:sz w:val="25"/>
        </w:rPr>
        <w:t>5.3 Résumé Consolidé du Coût par Axe Institutionnel (Mairie, Métropole, Monaco)</w:t>
      </w:r>
    </w:p>
    <w:p>
      <w:pPr>
        <w:pStyle w:val="ListBullet"/>
        <w:spacing w:before="40" w:after="100" w:line="276" w:lineRule="auto"/>
        <w:ind w:left="504"/>
      </w:pPr>
      <w:r>
        <w:rPr>
          <w:rFonts w:ascii="Arial" w:hAnsi="Arial"/>
          <w:b/>
          <w:color w:val="0F172A"/>
        </w:rPr>
        <w:t>Structure Budgétaire Simplifiée par Entité</w:t>
      </w:r>
      <w:r>
        <w:rPr>
          <w:rFonts w:ascii="Arial" w:hAnsi="Arial"/>
          <w:color w:val="1E293B"/>
        </w:rPr>
        <w:t xml:space="preserve"> : Le budget annuel brut de </w:t>
      </w:r>
      <w:r>
        <w:rPr>
          <w:rFonts w:ascii="Arial" w:hAnsi="Arial"/>
          <w:b/>
          <w:color w:val="0F172A"/>
        </w:rPr>
        <w:t>435 000 € / an</w:t>
      </w:r>
      <w:r>
        <w:rPr>
          <w:rFonts w:ascii="Arial" w:hAnsi="Arial"/>
          <w:color w:val="1E293B"/>
        </w:rPr>
        <w:t xml:space="preserve"> est réparti de manière transparente entre les 3 piliers d'action (Ville de Nice, Métropole Nice Côte d'Azur et Extension Monaco). Grâce au co-financement de 50 % de l'UE (</w:t>
      </w:r>
      <w:r>
        <w:rPr>
          <w:rFonts w:ascii="Arial" w:hAnsi="Arial"/>
          <w:i/>
        </w:rPr>
        <w:t>Digital Europe</w:t>
      </w:r>
      <w:r>
        <w:rPr>
          <w:rFonts w:ascii="Arial" w:hAnsi="Arial"/>
          <w:color w:val="1E293B"/>
        </w:rPr>
        <w:t xml:space="preserve">), le reste à charge métropolitain est de seulement </w:t>
      </w:r>
      <w:r>
        <w:rPr>
          <w:rFonts w:ascii="Arial" w:hAnsi="Arial"/>
          <w:b/>
          <w:color w:val="0F172A"/>
        </w:rPr>
        <w:t>217 500 € / an</w:t>
      </w:r>
      <w:r>
        <w:rPr>
          <w:rFonts w:ascii="Arial" w:hAnsi="Arial"/>
          <w:color w:val="1E293B"/>
        </w:rPr>
        <w:t xml:space="preserve">, immédiatement compensé par </w:t>
      </w:r>
      <w:r>
        <w:rPr>
          <w:rFonts w:ascii="Arial" w:hAnsi="Arial"/>
          <w:b/>
          <w:color w:val="0F172A"/>
        </w:rPr>
        <w:t>+2 500 000 € d'économies nettes certifiées</w:t>
      </w:r>
      <w:r>
        <w:rPr>
          <w:rFonts w:ascii="Arial" w:hAnsi="Arial"/>
          <w:color w:val="1E293B"/>
        </w:rPr>
        <w:t>.</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fill="1E293B"/>
          </w:tcPr>
          <w:p>
            <w:pPr>
              <w:spacing w:before="80" w:after="80"/>
            </w:pPr>
            <w:r>
              <w:rPr>
                <w:rFonts w:ascii="Arial" w:hAnsi="Arial"/>
                <w:b/>
                <w:color w:val="FFFFFF"/>
                <w:sz w:val="16"/>
              </w:rPr>
              <w:t>Pôle Institutionnel / Domaine</w:t>
            </w:r>
          </w:p>
        </w:tc>
        <w:tc>
          <w:tcPr>
            <w:tcW w:type="dxa" w:w="1632"/>
            <w:shd w:fill="1E293B"/>
          </w:tcPr>
          <w:p>
            <w:pPr>
              <w:spacing w:before="80" w:after="80"/>
            </w:pPr>
            <w:r>
              <w:rPr>
                <w:rFonts w:ascii="Arial" w:hAnsi="Arial"/>
                <w:b/>
                <w:color w:val="FFFFFF"/>
                <w:sz w:val="16"/>
              </w:rPr>
              <w:t>Actions &amp; Projets Clefs</w:t>
            </w:r>
          </w:p>
        </w:tc>
        <w:tc>
          <w:tcPr>
            <w:tcW w:type="dxa" w:w="1632"/>
            <w:shd w:fill="1E293B"/>
          </w:tcPr>
          <w:p>
            <w:pPr>
              <w:spacing w:before="80" w:after="80"/>
            </w:pPr>
            <w:r>
              <w:rPr>
                <w:rFonts w:ascii="Arial" w:hAnsi="Arial"/>
                <w:b/>
                <w:color w:val="FFFFFF"/>
                <w:sz w:val="16"/>
              </w:rPr>
              <w:t>Budget Brut Annuel</w:t>
            </w:r>
          </w:p>
        </w:tc>
        <w:tc>
          <w:tcPr>
            <w:tcW w:type="dxa" w:w="1632"/>
            <w:shd w:fill="1E293B"/>
          </w:tcPr>
          <w:p>
            <w:pPr>
              <w:spacing w:before="80" w:after="80"/>
            </w:pPr>
            <w:r>
              <w:rPr>
                <w:rFonts w:ascii="Arial" w:hAnsi="Arial"/>
                <w:b/>
                <w:color w:val="FFFFFF"/>
                <w:sz w:val="16"/>
              </w:rPr>
              <w:t>Co-financement UE (50%)</w:t>
            </w:r>
          </w:p>
        </w:tc>
        <w:tc>
          <w:tcPr>
            <w:tcW w:type="dxa" w:w="1632"/>
            <w:shd w:fill="1E293B"/>
          </w:tcPr>
          <w:p>
            <w:pPr>
              <w:spacing w:before="80" w:after="80"/>
            </w:pPr>
            <w:r>
              <w:rPr>
                <w:rFonts w:ascii="Arial" w:hAnsi="Arial"/>
                <w:b/>
                <w:color w:val="FFFFFF"/>
                <w:sz w:val="16"/>
              </w:rPr>
              <w:t>Reste à Charge Net</w:t>
            </w:r>
          </w:p>
        </w:tc>
        <w:tc>
          <w:tcPr>
            <w:tcW w:type="dxa" w:w="1632"/>
            <w:shd w:fill="1E293B"/>
          </w:tcPr>
          <w:p>
            <w:pPr>
              <w:spacing w:before="80" w:after="80"/>
            </w:pPr>
            <w:r>
              <w:rPr>
                <w:rFonts w:ascii="Arial" w:hAnsi="Arial"/>
                <w:b/>
                <w:color w:val="FFFFFF"/>
                <w:sz w:val="16"/>
              </w:rPr>
              <w:t>Gains Certifiés Net</w:t>
            </w:r>
          </w:p>
        </w:tc>
      </w:tr>
      <w:tr>
        <w:tc>
          <w:tcPr>
            <w:tcW w:type="dxa" w:w="1632"/>
            <w:shd w:fill="F8FAFC"/>
          </w:tcPr>
          <w:p>
            <w:pPr>
              <w:spacing w:before="80" w:after="80"/>
            </w:pPr>
            <w:r>
              <w:rPr>
                <w:rFonts w:ascii="Arial" w:hAnsi="Arial"/>
                <w:color w:val="1E293B"/>
                <w:sz w:val="16"/>
              </w:rPr>
              <w:t>1. AXE MAIRIE (Ville de Nice)</w:t>
            </w:r>
          </w:p>
        </w:tc>
        <w:tc>
          <w:tcPr>
            <w:tcW w:type="dxa" w:w="1632"/>
            <w:shd w:fill="F8FAFC"/>
          </w:tcPr>
          <w:p>
            <w:pPr>
              <w:spacing w:before="80" w:after="80"/>
            </w:pPr>
            <w:r>
              <w:rPr>
                <w:rFonts w:ascii="Arial" w:hAnsi="Arial"/>
                <w:color w:val="1E293B"/>
                <w:sz w:val="16"/>
              </w:rPr>
              <w:t>CSU VSA, Allo Niçois 24/7, Propreté, Consultation Einstein, Pôle Citoyens</w:t>
            </w:r>
          </w:p>
        </w:tc>
        <w:tc>
          <w:tcPr>
            <w:tcW w:type="dxa" w:w="1632"/>
            <w:shd w:fill="F8FAFC"/>
          </w:tcPr>
          <w:p>
            <w:pPr>
              <w:spacing w:before="80" w:after="80"/>
            </w:pPr>
            <w:r>
              <w:rPr>
                <w:rFonts w:ascii="Arial" w:hAnsi="Arial"/>
                <w:color w:val="1E293B"/>
                <w:sz w:val="16"/>
              </w:rPr>
              <w:t>155 000 €</w:t>
            </w:r>
          </w:p>
        </w:tc>
        <w:tc>
          <w:tcPr>
            <w:tcW w:type="dxa" w:w="1632"/>
            <w:shd w:fill="F8FAFC"/>
          </w:tcPr>
          <w:p>
            <w:pPr>
              <w:spacing w:before="80" w:after="80"/>
            </w:pPr>
            <w:r>
              <w:rPr>
                <w:rFonts w:ascii="Arial" w:hAnsi="Arial"/>
                <w:color w:val="1E293B"/>
                <w:sz w:val="16"/>
              </w:rPr>
              <w:t>77 500 €</w:t>
            </w:r>
          </w:p>
        </w:tc>
        <w:tc>
          <w:tcPr>
            <w:tcW w:type="dxa" w:w="1632"/>
            <w:shd w:fill="F8FAFC"/>
          </w:tcPr>
          <w:p>
            <w:pPr>
              <w:spacing w:before="80" w:after="80"/>
            </w:pPr>
            <w:r>
              <w:rPr>
                <w:rFonts w:ascii="Arial" w:hAnsi="Arial"/>
                <w:color w:val="1E293B"/>
                <w:sz w:val="16"/>
              </w:rPr>
              <w:t>77 500 €</w:t>
            </w:r>
          </w:p>
        </w:tc>
        <w:tc>
          <w:tcPr>
            <w:tcW w:type="dxa" w:w="1632"/>
            <w:shd w:fill="F8FAFC"/>
          </w:tcPr>
          <w:p>
            <w:pPr>
              <w:spacing w:before="80" w:after="80"/>
            </w:pPr>
            <w:r>
              <w:rPr>
                <w:rFonts w:ascii="Arial" w:hAnsi="Arial"/>
                <w:color w:val="1E293B"/>
                <w:sz w:val="16"/>
              </w:rPr>
              <w:t>Incivilités -65%, Interventions &lt;6min</w:t>
            </w:r>
          </w:p>
        </w:tc>
      </w:tr>
      <w:tr>
        <w:tc>
          <w:tcPr>
            <w:tcW w:type="dxa" w:w="1632"/>
            <w:shd w:fill="FFFFFF"/>
          </w:tcPr>
          <w:p>
            <w:pPr>
              <w:spacing w:before="80" w:after="80"/>
            </w:pPr>
            <w:r>
              <w:rPr>
                <w:rFonts w:ascii="Arial" w:hAnsi="Arial"/>
                <w:color w:val="1E293B"/>
                <w:sz w:val="16"/>
              </w:rPr>
              <w:t>2. AXE MÉTROPOLE (Nice Côte d'Azur)</w:t>
            </w:r>
          </w:p>
        </w:tc>
        <w:tc>
          <w:tcPr>
            <w:tcW w:type="dxa" w:w="1632"/>
            <w:shd w:fill="FFFFFF"/>
          </w:tcPr>
          <w:p>
            <w:pPr>
              <w:spacing w:before="80" w:after="80"/>
            </w:pPr>
            <w:r>
              <w:rPr>
                <w:rFonts w:ascii="Arial" w:hAnsi="Arial"/>
                <w:color w:val="1E293B"/>
                <w:sz w:val="16"/>
              </w:rPr>
              <w:t>Audit Commande Publique (300M€), SOC Cyber NIS 2, Pôle PME/PMI &amp; AMO (2,5j/sem)</w:t>
            </w:r>
          </w:p>
        </w:tc>
        <w:tc>
          <w:tcPr>
            <w:tcW w:type="dxa" w:w="1632"/>
            <w:shd w:fill="FFFFFF"/>
          </w:tcPr>
          <w:p>
            <w:pPr>
              <w:spacing w:before="80" w:after="80"/>
            </w:pPr>
            <w:r>
              <w:rPr>
                <w:rFonts w:ascii="Arial" w:hAnsi="Arial"/>
                <w:color w:val="1E293B"/>
                <w:sz w:val="16"/>
              </w:rPr>
              <w:t>160 000 €</w:t>
            </w:r>
          </w:p>
        </w:tc>
        <w:tc>
          <w:tcPr>
            <w:tcW w:type="dxa" w:w="1632"/>
            <w:shd w:fill="FFFFFF"/>
          </w:tcPr>
          <w:p>
            <w:pPr>
              <w:spacing w:before="80" w:after="80"/>
            </w:pPr>
            <w:r>
              <w:rPr>
                <w:rFonts w:ascii="Arial" w:hAnsi="Arial"/>
                <w:color w:val="1E293B"/>
                <w:sz w:val="16"/>
              </w:rPr>
              <w:t>80 000 €</w:t>
            </w:r>
          </w:p>
        </w:tc>
        <w:tc>
          <w:tcPr>
            <w:tcW w:type="dxa" w:w="1632"/>
            <w:shd w:fill="FFFFFF"/>
          </w:tcPr>
          <w:p>
            <w:pPr>
              <w:spacing w:before="80" w:after="80"/>
            </w:pPr>
            <w:r>
              <w:rPr>
                <w:rFonts w:ascii="Arial" w:hAnsi="Arial"/>
                <w:color w:val="1E293B"/>
                <w:sz w:val="16"/>
              </w:rPr>
              <w:t>80 000 €</w:t>
            </w:r>
          </w:p>
        </w:tc>
        <w:tc>
          <w:tcPr>
            <w:tcW w:type="dxa" w:w="1632"/>
            <w:shd w:fill="FFFFFF"/>
          </w:tcPr>
          <w:p>
            <w:pPr>
              <w:spacing w:before="80" w:after="80"/>
            </w:pPr>
            <w:r>
              <w:rPr>
                <w:rFonts w:ascii="Arial" w:hAnsi="Arial"/>
                <w:color w:val="1E293B"/>
                <w:sz w:val="16"/>
              </w:rPr>
              <w:t>+2 500 000 € / an Net (Marchés)</w:t>
            </w:r>
          </w:p>
        </w:tc>
      </w:tr>
      <w:tr>
        <w:tc>
          <w:tcPr>
            <w:tcW w:type="dxa" w:w="1632"/>
            <w:shd w:fill="F8FAFC"/>
          </w:tcPr>
          <w:p>
            <w:pPr>
              <w:spacing w:before="80" w:after="80"/>
            </w:pPr>
            <w:r>
              <w:rPr>
                <w:rFonts w:ascii="Arial" w:hAnsi="Arial"/>
                <w:color w:val="1E293B"/>
                <w:sz w:val="16"/>
              </w:rPr>
              <w:t>3. AXE MONACO (Alliance &amp; Extension)</w:t>
            </w:r>
          </w:p>
        </w:tc>
        <w:tc>
          <w:tcPr>
            <w:tcW w:type="dxa" w:w="1632"/>
            <w:shd w:fill="F8FAFC"/>
          </w:tcPr>
          <w:p>
            <w:pPr>
              <w:spacing w:before="80" w:after="80"/>
            </w:pPr>
            <w:r>
              <w:rPr>
                <w:rFonts w:ascii="Arial" w:hAnsi="Arial"/>
                <w:color w:val="1E293B"/>
                <w:sz w:val="16"/>
              </w:rPr>
              <w:t>Fibre Monaco Cloud (AMSN), Zone Franche Numérique, Task-Force Gigafactory 500M€</w:t>
            </w:r>
          </w:p>
        </w:tc>
        <w:tc>
          <w:tcPr>
            <w:tcW w:type="dxa" w:w="1632"/>
            <w:shd w:fill="F8FAFC"/>
          </w:tcPr>
          <w:p>
            <w:pPr>
              <w:spacing w:before="80" w:after="80"/>
            </w:pPr>
            <w:r>
              <w:rPr>
                <w:rFonts w:ascii="Arial" w:hAnsi="Arial"/>
                <w:color w:val="1E293B"/>
                <w:sz w:val="16"/>
              </w:rPr>
              <w:t>120 000 €</w:t>
            </w:r>
          </w:p>
        </w:tc>
        <w:tc>
          <w:tcPr>
            <w:tcW w:type="dxa" w:w="1632"/>
            <w:shd w:fill="F8FAFC"/>
          </w:tcPr>
          <w:p>
            <w:pPr>
              <w:spacing w:before="80" w:after="80"/>
            </w:pPr>
            <w:r>
              <w:rPr>
                <w:rFonts w:ascii="Arial" w:hAnsi="Arial"/>
                <w:color w:val="1E293B"/>
                <w:sz w:val="16"/>
              </w:rPr>
              <w:t>60 000 €</w:t>
            </w:r>
          </w:p>
        </w:tc>
        <w:tc>
          <w:tcPr>
            <w:tcW w:type="dxa" w:w="1632"/>
            <w:shd w:fill="F8FAFC"/>
          </w:tcPr>
          <w:p>
            <w:pPr>
              <w:spacing w:before="80" w:after="80"/>
            </w:pPr>
            <w:r>
              <w:rPr>
                <w:rFonts w:ascii="Arial" w:hAnsi="Arial"/>
                <w:color w:val="1E293B"/>
                <w:sz w:val="16"/>
              </w:rPr>
              <w:t>60 000 €</w:t>
            </w:r>
          </w:p>
        </w:tc>
        <w:tc>
          <w:tcPr>
            <w:tcW w:type="dxa" w:w="1632"/>
            <w:shd w:fill="F8FAFC"/>
          </w:tcPr>
          <w:p>
            <w:pPr>
              <w:spacing w:before="80" w:after="80"/>
            </w:pPr>
            <w:r>
              <w:rPr>
                <w:rFonts w:ascii="Arial" w:hAnsi="Arial"/>
                <w:color w:val="1E293B"/>
                <w:sz w:val="16"/>
              </w:rPr>
              <w:t>1,5M€ à 2,8M€ IT + 8-12M€ CAPEX</w:t>
            </w:r>
          </w:p>
        </w:tc>
      </w:tr>
      <w:tr>
        <w:tc>
          <w:tcPr>
            <w:tcW w:type="dxa" w:w="1632"/>
            <w:shd w:fill="0F172A"/>
          </w:tcPr>
          <w:p>
            <w:pPr>
              <w:spacing w:before="80" w:after="80"/>
            </w:pPr>
            <w:r>
              <w:rPr>
                <w:rFonts w:ascii="Arial" w:hAnsi="Arial"/>
                <w:b/>
                <w:color w:val="FFFFFF"/>
                <w:sz w:val="16"/>
              </w:rPr>
              <w:t>TOTAL ANNUEL CONSOLIDÉ</w:t>
            </w:r>
          </w:p>
        </w:tc>
        <w:tc>
          <w:tcPr>
            <w:tcW w:type="dxa" w:w="1632"/>
            <w:shd w:fill="0F172A"/>
          </w:tcPr>
          <w:p>
            <w:pPr>
              <w:spacing w:before="80" w:after="80"/>
            </w:pPr>
            <w:r>
              <w:rPr>
                <w:rFonts w:ascii="Arial" w:hAnsi="Arial"/>
                <w:b/>
                <w:color w:val="FFFFFF"/>
                <w:sz w:val="16"/>
              </w:rPr>
              <w:t>Ensemble des 3 Piliers Institutionnels (2026-2029)</w:t>
            </w:r>
          </w:p>
        </w:tc>
        <w:tc>
          <w:tcPr>
            <w:tcW w:type="dxa" w:w="1632"/>
            <w:shd w:fill="0F172A"/>
          </w:tcPr>
          <w:p>
            <w:pPr>
              <w:spacing w:before="80" w:after="80"/>
            </w:pPr>
            <w:r>
              <w:rPr>
                <w:rFonts w:ascii="Arial" w:hAnsi="Arial"/>
                <w:b/>
                <w:color w:val="FFFFFF"/>
                <w:sz w:val="16"/>
              </w:rPr>
              <w:t>435 000 €</w:t>
            </w:r>
          </w:p>
        </w:tc>
        <w:tc>
          <w:tcPr>
            <w:tcW w:type="dxa" w:w="1632"/>
            <w:shd w:fill="0F172A"/>
          </w:tcPr>
          <w:p>
            <w:pPr>
              <w:spacing w:before="80" w:after="80"/>
            </w:pPr>
            <w:r>
              <w:rPr>
                <w:rFonts w:ascii="Arial" w:hAnsi="Arial"/>
                <w:b/>
                <w:color w:val="FFFFFF"/>
                <w:sz w:val="16"/>
              </w:rPr>
              <w:t>217 500 €</w:t>
            </w:r>
          </w:p>
        </w:tc>
        <w:tc>
          <w:tcPr>
            <w:tcW w:type="dxa" w:w="1632"/>
            <w:shd w:fill="0F172A"/>
          </w:tcPr>
          <w:p>
            <w:pPr>
              <w:spacing w:before="80" w:after="80"/>
            </w:pPr>
            <w:r>
              <w:rPr>
                <w:rFonts w:ascii="Arial" w:hAnsi="Arial"/>
                <w:b/>
                <w:color w:val="FFFFFF"/>
                <w:sz w:val="16"/>
              </w:rPr>
              <w:t>217 500 €</w:t>
            </w:r>
          </w:p>
        </w:tc>
        <w:tc>
          <w:tcPr>
            <w:tcW w:type="dxa" w:w="1632"/>
            <w:shd w:fill="0F172A"/>
          </w:tcPr>
          <w:p>
            <w:pPr>
              <w:spacing w:before="80" w:after="80"/>
            </w:pPr>
            <w:r>
              <w:rPr>
                <w:rFonts w:ascii="Arial" w:hAnsi="Arial"/>
                <w:b/>
                <w:color w:val="FFFFFF"/>
                <w:sz w:val="16"/>
              </w:rPr>
              <w:t>+2 500 000 € / an (Bénéfice +2,28 M€)</w:t>
            </w:r>
          </w:p>
        </w:tc>
      </w:tr>
    </w:tbl>
    <w:p>
      <w:r>
        <w:br w:type="page"/>
      </w:r>
    </w:p>
    <w:p>
      <w:pPr>
        <w:pStyle w:val="Heading1"/>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ind w:left="504"/>
      </w:pPr>
      <w:r>
        <w:rPr>
          <w:rFonts w:ascii="Arial" w:hAnsi="Arial"/>
          <w:b/>
          <w:color w:val="0F172A"/>
        </w:rPr>
        <w:t>1. Calcul des gains Audit Commande Publique (+2,5 M€/an)</w:t>
      </w:r>
      <w:r>
        <w:rPr>
          <w:rFonts w:ascii="Arial" w:hAnsi="Arial"/>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ind w:left="504"/>
      </w:pPr>
      <w:r>
        <w:rPr>
          <w:rFonts w:ascii="Arial" w:hAnsi="Arial"/>
          <w:b/>
          <w:color w:val="0F172A"/>
        </w:rPr>
        <w:t>2. Calcul des coûts évités Cybersécurité NIS 2 (1,8 M€ à 3 M€/an)</w:t>
      </w:r>
      <w:r>
        <w:rPr>
          <w:rFonts w:ascii="Arial" w:hAnsi="Arial"/>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ind w:left="504"/>
      </w:pPr>
      <w:r>
        <w:rPr>
          <w:rFonts w:ascii="Arial" w:hAnsi="Arial"/>
          <w:b/>
          <w:color w:val="0F172A"/>
        </w:rPr>
        <w:t>3. Calcul des économies Monaco Cloud (1,5 M€ à 2,8 M€/an + 8-12M€ CAPEX)</w:t>
      </w:r>
      <w:r>
        <w:rPr>
          <w:rFonts w:ascii="Arial" w:hAnsi="Arial"/>
          <w:color w:val="1E293B"/>
        </w:rPr>
        <w:t xml:space="preserve"> : Économie de maintenance et d'hébergement privé (OPEX) + non-construction d'un Datacenter propre (CAPEX).</w:t>
      </w:r>
    </w:p>
    <w:p>
      <w:pPr>
        <w:pStyle w:val="ListBullet"/>
        <w:spacing w:before="40" w:after="100" w:line="276" w:lineRule="auto"/>
        <w:ind w:left="504"/>
      </w:pPr>
      <w:r>
        <w:rPr>
          <w:rFonts w:ascii="Arial" w:hAnsi="Arial"/>
          <w:b/>
          <w:color w:val="0F172A"/>
        </w:rPr>
        <w:t>4. Note Strategique « Opération Prométhée » — Le Grand Continent (Juillet 2026)</w:t>
      </w:r>
      <w:r>
        <w:rPr>
          <w:rFonts w:ascii="Arial" w:hAnsi="Arial"/>
          <w:color w:val="1E293B"/>
        </w:rPr>
        <w:t xml:space="preserve"> : Plan national souverain de 700 Md$ sur 3 ans (12 GW, 1 700 chercheurs).</w:t>
      </w:r>
    </w:p>
    <w:p>
      <w:pPr>
        <w:pStyle w:val="ListBullet"/>
        <w:spacing w:before="40" w:after="100" w:line="276" w:lineRule="auto"/>
        <w:ind w:left="504"/>
      </w:pPr>
      <w:r>
        <w:rPr>
          <w:rFonts w:ascii="Arial" w:hAnsi="Arial"/>
          <w:b/>
          <w:color w:val="0F172A"/>
        </w:rPr>
        <w:t>5. Appel d'Offres Européen AI Gigafactories (30 Juillet 2026)</w:t>
      </w:r>
      <w:r>
        <w:rPr>
          <w:rFonts w:ascii="Arial" w:hAnsi="Arial"/>
          <w:color w:val="1E293B"/>
        </w:rPr>
        <w:t xml:space="preserve"> : Programme EuroHPC JU (Lot 1) — 30 Md€ d'enveloppe, subvention directe de 500 M€ par site.</w:t>
      </w:r>
    </w:p>
    <w:p>
      <w:pPr>
        <w:pStyle w:val="ListBullet"/>
        <w:spacing w:before="40" w:after="100" w:line="276" w:lineRule="auto"/>
        <w:ind w:left="504"/>
      </w:pPr>
      <w:r>
        <w:rPr>
          <w:rFonts w:ascii="Arial" w:hAnsi="Arial"/>
          <w:b/>
          <w:color w:val="0F172A"/>
        </w:rPr>
        <w:t>6. AI Act Européen — Règlement (UE) 2024/1689 du 13 juin 2024</w:t>
      </w:r>
      <w:r>
        <w:rPr>
          <w:rFonts w:ascii="Arial" w:hAnsi="Arial"/>
          <w:color w:val="1E293B"/>
        </w:rPr>
        <w:t xml:space="preserve"> : Encadrement légal et labellisation des systèmes IA.</w:t>
      </w:r>
    </w:p>
    <w:p>
      <w:pPr>
        <w:pStyle w:val="ListBullet"/>
        <w:spacing w:before="40" w:after="100" w:line="276" w:lineRule="auto"/>
        <w:ind w:left="504"/>
      </w:pPr>
      <w:r>
        <w:rPr>
          <w:rFonts w:ascii="Arial" w:hAnsi="Arial"/>
          <w:b/>
          <w:color w:val="0F172A"/>
        </w:rPr>
        <w:t>7. Loi n° 2023-380 du 19 mai 2023 (Loi JOP 2024 - Art. 10)</w:t>
      </w:r>
      <w:r>
        <w:rPr>
          <w:rFonts w:ascii="Arial" w:hAnsi="Arial"/>
          <w:color w:val="1E293B"/>
        </w:rPr>
        <w:t xml:space="preserve"> : Cadre expérimental VSA pour la détection d'événements sur la voie publique.</w:t>
      </w:r>
    </w:p>
    <w:p>
      <w:pPr>
        <w:pStyle w:val="ListBullet"/>
        <w:spacing w:before="40" w:after="100" w:line="276" w:lineRule="auto"/>
        <w:ind w:left="504"/>
      </w:pPr>
      <w:r>
        <w:rPr>
          <w:rFonts w:ascii="Arial" w:hAnsi="Arial"/>
          <w:b/>
          <w:color w:val="0F172A"/>
        </w:rPr>
        <w:t>8. Jurisprudence du Conseil d'État (30 janvier 2026 - Commune de Nice)</w:t>
      </w:r>
      <w:r>
        <w:rPr>
          <w:rFonts w:ascii="Arial" w:hAnsi="Arial"/>
          <w:color w:val="1E293B"/>
        </w:rPr>
        <w:t xml:space="preserve"> : Validation des protocoles municipaux d'expérimentation VSA.</w:t>
      </w:r>
    </w:p>
    <w:p>
      <w:pPr>
        <w:pStyle w:val="ListBullet"/>
        <w:spacing w:before="40" w:after="100" w:line="276" w:lineRule="auto"/>
        <w:ind w:left="504"/>
      </w:pPr>
      <w:r>
        <w:rPr>
          <w:rFonts w:ascii="Arial" w:hAnsi="Arial"/>
          <w:b/>
          <w:color w:val="0F172A"/>
        </w:rPr>
        <w:t>9. Rapport Institut 3IA Côte d'Azur &amp; UCA (2025/2026)</w:t>
      </w:r>
      <w:r>
        <w:rPr>
          <w:rFonts w:ascii="Arial" w:hAnsi="Arial"/>
          <w:color w:val="1E293B"/>
        </w:rPr>
        <w:t xml:space="preserve"> : Bilan des &gt; 100 chaires de recherche d'excellence en IA.</w:t>
      </w:r>
    </w:p>
    <w:p>
      <w:pPr>
        <w:pStyle w:val="ListBullet"/>
        <w:spacing w:before="40" w:after="100" w:line="276" w:lineRule="auto"/>
        <w:ind w:left="504"/>
      </w:pPr>
      <w:r>
        <w:rPr>
          <w:rFonts w:ascii="Arial" w:hAnsi="Arial"/>
          <w:b/>
          <w:color w:val="0F172A"/>
        </w:rPr>
        <w:t>10. Technopole Sophia Antipolis &amp; Invest in Côte d'Azur (2025/2026)</w:t>
      </w:r>
      <w:r>
        <w:rPr>
          <w:rFonts w:ascii="Arial" w:hAnsi="Arial"/>
          <w:color w:val="1E293B"/>
        </w:rPr>
        <w:t xml:space="preserve"> : Chiffres clés (2 700 entreprises, 46 000 emplois, 5 500 chercheurs).</w:t>
      </w:r>
    </w:p>
    <w:p>
      <w:pPr>
        <w:pStyle w:val="ListBullet"/>
        <w:spacing w:before="40" w:after="100" w:line="276" w:lineRule="auto"/>
        <w:ind w:left="504"/>
      </w:pPr>
      <w:r>
        <w:rPr>
          <w:rFonts w:ascii="Arial" w:hAnsi="Arial"/>
          <w:b/>
          <w:color w:val="0F172A"/>
        </w:rPr>
        <w:t>11. Programme Extended Monaco &amp; Monaco Cloud (gouv.mc / monacocloud.mc)</w:t>
      </w:r>
      <w:r>
        <w:rPr>
          <w:rFonts w:ascii="Arial" w:hAnsi="Arial"/>
          <w:color w:val="1E293B"/>
        </w:rPr>
        <w:t xml:space="preserve"> : Data Center Souverain d'État certifié AMSN.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