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00" w:after="120"/>
      </w:pPr>
      <w:r>
        <w:rPr>
          <w:rFonts w:ascii="Georgia" w:hAnsi="Georgia"/>
          <w:b/>
          <w:color w:val="0F172A"/>
          <w:sz w:val="40"/>
        </w:rPr>
        <w:t>LE PACTE NICE IA : SOUVERAINETÉ &amp; RIGUEUR</w:t>
      </w:r>
    </w:p>
    <w:p>
      <w:pPr>
        <w:keepNext/>
        <w:spacing w:before="280" w:after="120"/>
      </w:pPr>
      <w:r>
        <w:rPr>
          <w:rFonts w:ascii="Georgia" w:hAnsi="Georgia"/>
          <w:b/>
          <w:color w:val="0284C7"/>
          <w:sz w:val="30"/>
        </w:rPr>
        <w:t>Doctrine Stratégique &amp; Justifications Chiffrées — Plan Sécurité, Rigueur Budgétaire, Cyber-Shield, Alliance Monaco &amp; AI Gigafactory (2026-2029)</w:t>
      </w:r>
    </w:p>
    <w:p>
      <w:pPr>
        <w:spacing w:before="60" w:after="120" w:line="276" w:lineRule="auto"/>
      </w:pPr>
      <w:r>
        <w:rPr>
          <w:b/>
          <w:color w:val="0F172A"/>
        </w:rPr>
        <w:t>Document rédigé pour M. Éric Ciotti par Benoît Sigwald — Senior AI Architect &amp; AMO IA Métropolitain — Août 2026</w:t>
      </w:r>
    </w:p>
    <w:p>
      <w:pPr>
        <w:spacing w:before="60" w:after="120" w:line="276" w:lineRule="auto"/>
      </w:pPr>
      <w:r>
        <w:rPr>
          <w:color w:val="1E293B"/>
        </w:rPr>
        <w:t>---</w:t>
      </w:r>
    </w:p>
    <w:p>
      <w:pPr>
        <w:keepNext/>
        <w:spacing w:before="280" w:after="120"/>
      </w:pPr>
      <w:r>
        <w:rPr>
          <w:rFonts w:ascii="Georgia" w:hAnsi="Georgia"/>
          <w:b/>
          <w:color w:val="B89762"/>
          <w:sz w:val="26"/>
        </w:rPr>
        <w:t>Résumé Exécutif &amp; Chiffrage Consolidé pour M. le Maire</w:t>
      </w:r>
    </w:p>
    <w:p>
      <w:pPr>
        <w:spacing w:before="60" w:after="120" w:line="276" w:lineRule="auto"/>
      </w:pPr>
      <w:r>
        <w:rPr>
          <w:b/>
          <w:color w:val="0F172A"/>
        </w:rPr>
        <w:t>La thèse.</w:t>
      </w:r>
      <w:r>
        <w:rPr>
          <w:color w:val="1E293B"/>
        </w:rPr>
        <w:t xml:space="preserve"> La course aux modèles de frontière (supercalculateurs de 700 Md$) se joue à l’échelle des superpuissances. Pour un territoire comme Nice, la vraie bataille stratégique réside dans </w:t>
      </w:r>
      <w:r>
        <w:rPr>
          <w:b/>
          <w:color w:val="0F172A"/>
        </w:rPr>
        <w:t>l'usage concret, la sécurité publique, la souveraineté et la cybersécurité opérationnelle</w:t>
      </w:r>
      <w:r>
        <w:rPr>
          <w:color w:val="1E293B"/>
        </w:rPr>
        <w:t xml:space="preserve">. Aucune collectivité française n'a encore préempté le positionnement de la </w:t>
      </w:r>
      <w:r>
        <w:rPr>
          <w:b/>
          <w:color w:val="0F172A"/>
        </w:rPr>
        <w:t>« Capitale de l'IA de sécurité et d'efficience budgétaire »</w:t>
      </w:r>
      <w:r>
        <w:rPr>
          <w:color w:val="1E293B"/>
        </w:rPr>
        <w:t>. Nice doit et peut être la première sous la conduite de M. Éric Ciotti.</w:t>
      </w:r>
    </w:p>
    <w:p>
      <w:pPr>
        <w:spacing w:before="60" w:after="120" w:line="276" w:lineRule="auto"/>
      </w:pPr>
      <w:r>
        <w:rPr>
          <w:b/>
          <w:color w:val="0F172A"/>
        </w:rPr>
        <w:t>Synthèse des 5 Piliers Stratégiques &amp; Valeur Globale Générée (&gt; 6,3 M€ à 9,5 M€ / an) :</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pPr>
              <w:spacing w:before="80" w:after="80"/>
            </w:pPr>
            <w:r>
              <w:rPr>
                <w:b/>
                <w:color w:val="D8B98A"/>
                <w:sz w:val="19"/>
              </w:rPr>
              <w:t>Pilier Stratégique</w:t>
            </w:r>
          </w:p>
        </w:tc>
        <w:tc>
          <w:tcPr>
            <w:tcW w:type="dxa" w:w="2484"/>
            <w:shd w:fill="0F172A"/>
          </w:tcPr>
          <w:p>
            <w:pPr>
              <w:spacing w:before="80" w:after="80"/>
            </w:pPr>
            <w:r>
              <w:rPr>
                <w:b/>
                <w:color w:val="D8B98A"/>
                <w:sz w:val="19"/>
              </w:rPr>
              <w:t>Levier IA Appliqué</w:t>
            </w:r>
          </w:p>
        </w:tc>
        <w:tc>
          <w:tcPr>
            <w:tcW w:type="dxa" w:w="2484"/>
            <w:shd w:fill="0F172A"/>
          </w:tcPr>
          <w:p>
            <w:pPr>
              <w:spacing w:before="80" w:after="80"/>
            </w:pPr>
            <w:r>
              <w:rPr>
                <w:b/>
                <w:color w:val="D8B98A"/>
                <w:sz w:val="19"/>
              </w:rPr>
              <w:t>Chiffre Clé &amp; Métrique</w:t>
            </w:r>
          </w:p>
        </w:tc>
        <w:tc>
          <w:tcPr>
            <w:tcW w:type="dxa" w:w="2484"/>
            <w:shd w:fill="0F172A"/>
          </w:tcPr>
          <w:p>
            <w:pPr>
              <w:spacing w:before="80" w:after="80"/>
            </w:pPr>
            <w:r>
              <w:rPr>
                <w:b/>
                <w:color w:val="D8B98A"/>
                <w:sz w:val="19"/>
              </w:rPr>
              <w:t>Source / Justification de l'Évaluation</w:t>
            </w:r>
          </w:p>
        </w:tc>
      </w:tr>
      <w:tr>
        <w:tc>
          <w:tcPr>
            <w:tcW w:type="dxa" w:w="2484"/>
            <w:shd w:fill="F8FAFC"/>
          </w:tcPr>
          <w:p>
            <w:pPr>
              <w:spacing w:before="80" w:after="80"/>
            </w:pPr>
            <w:r>
              <w:rPr>
                <w:b/>
                <w:color w:val="0F172A"/>
                <w:sz w:val="18"/>
              </w:rPr>
              <w:t>1. CSU Augmenté &amp; Sécurité</w:t>
            </w:r>
          </w:p>
        </w:tc>
        <w:tc>
          <w:tcPr>
            <w:tcW w:type="dxa" w:w="2484"/>
            <w:shd w:fill="F8FAFC"/>
          </w:tcPr>
          <w:p>
            <w:pPr>
              <w:spacing w:before="80" w:after="80"/>
            </w:pPr>
            <w:r>
              <w:rPr>
                <w:color w:val="1E293B"/>
                <w:sz w:val="18"/>
              </w:rPr>
              <w:t>VSA 4 300+ caméras, détection instantanée &amp; alertes</w:t>
            </w:r>
          </w:p>
        </w:tc>
        <w:tc>
          <w:tcPr>
            <w:tcW w:type="dxa" w:w="2484"/>
            <w:shd w:fill="F8FAFC"/>
          </w:tcPr>
          <w:p>
            <w:pPr>
              <w:spacing w:before="80" w:after="80"/>
            </w:pPr>
            <w:r>
              <w:rPr>
                <w:b/>
                <w:color w:val="0F172A"/>
                <w:sz w:val="18"/>
              </w:rPr>
              <w:t>Incivilités -65 %</w:t>
            </w:r>
          </w:p>
        </w:tc>
        <w:tc>
          <w:tcPr>
            <w:tcW w:type="dxa" w:w="2484"/>
            <w:shd w:fill="F8FAFC"/>
          </w:tcPr>
          <w:p>
            <w:pPr>
              <w:spacing w:before="80" w:after="80"/>
            </w:pPr>
            <w:r>
              <w:rPr>
                <w:color w:val="1E293B"/>
                <w:sz w:val="18"/>
              </w:rPr>
              <w:t>Baisse des dégradations par fin de l'impunité &amp; intervention PM &lt; 6 min.</w:t>
            </w:r>
          </w:p>
        </w:tc>
      </w:tr>
      <w:tr>
        <w:tc>
          <w:tcPr>
            <w:tcW w:type="dxa" w:w="2484"/>
            <w:shd w:fill="FFFFFF"/>
          </w:tcPr>
          <w:p>
            <w:pPr>
              <w:spacing w:before="80" w:after="80"/>
            </w:pPr>
            <w:r>
              <w:rPr>
                <w:b/>
                <w:color w:val="0F172A"/>
                <w:sz w:val="18"/>
              </w:rPr>
              <w:t>2. Audit Commande Publique</w:t>
            </w:r>
          </w:p>
        </w:tc>
        <w:tc>
          <w:tcPr>
            <w:tcW w:type="dxa" w:w="2484"/>
            <w:shd w:fill="FFFFFF"/>
          </w:tcPr>
          <w:p>
            <w:pPr>
              <w:spacing w:before="80" w:after="80"/>
            </w:pPr>
            <w:r>
              <w:rPr>
                <w:color w:val="1E293B"/>
                <w:sz w:val="18"/>
              </w:rPr>
              <w:t>Ingestion sémantique 100% des factures/BPU (300 M€)</w:t>
            </w:r>
          </w:p>
        </w:tc>
        <w:tc>
          <w:tcPr>
            <w:tcW w:type="dxa" w:w="2484"/>
            <w:shd w:fill="FFFFFF"/>
          </w:tcPr>
          <w:p>
            <w:pPr>
              <w:spacing w:before="80" w:after="80"/>
            </w:pPr>
            <w:r>
              <w:rPr>
                <w:b/>
                <w:color w:val="0F172A"/>
                <w:sz w:val="18"/>
              </w:rPr>
              <w:t>+2,50 M€ / an NET</w:t>
            </w:r>
          </w:p>
        </w:tc>
        <w:tc>
          <w:tcPr>
            <w:tcW w:type="dxa" w:w="2484"/>
            <w:shd w:fill="FFFFFF"/>
          </w:tcPr>
          <w:p>
            <w:pPr>
              <w:spacing w:before="80" w:after="80"/>
            </w:pPr>
            <w:r>
              <w:rPr>
                <w:color w:val="1E293B"/>
                <w:sz w:val="18"/>
              </w:rPr>
              <w:t>Filtrage automatisé de 0,5% à 2,0% de doublons/surcoûts (Benchmark DGFiP).</w:t>
            </w:r>
          </w:p>
        </w:tc>
      </w:tr>
      <w:tr>
        <w:tc>
          <w:tcPr>
            <w:tcW w:type="dxa" w:w="2484"/>
            <w:shd w:fill="F8FAFC"/>
          </w:tcPr>
          <w:p>
            <w:pPr>
              <w:spacing w:before="80" w:after="80"/>
            </w:pPr>
            <w:r>
              <w:rPr>
                <w:b/>
                <w:color w:val="0F172A"/>
                <w:sz w:val="18"/>
              </w:rPr>
              <w:t>3. Bouclier Cyber-IA (NIS 2)</w:t>
            </w:r>
          </w:p>
        </w:tc>
        <w:tc>
          <w:tcPr>
            <w:tcW w:type="dxa" w:w="2484"/>
            <w:shd w:fill="F8FAFC"/>
          </w:tcPr>
          <w:p>
            <w:pPr>
              <w:spacing w:before="80" w:after="80"/>
            </w:pPr>
            <w:r>
              <w:rPr>
                <w:color w:val="1E293B"/>
                <w:sz w:val="18"/>
              </w:rPr>
              <w:t>SOC IA 24/7 souverain &amp; étanchéité CSU</w:t>
            </w:r>
          </w:p>
        </w:tc>
        <w:tc>
          <w:tcPr>
            <w:tcW w:type="dxa" w:w="2484"/>
            <w:shd w:fill="F8FAFC"/>
          </w:tcPr>
          <w:p>
            <w:pPr>
              <w:spacing w:before="80" w:after="80"/>
            </w:pPr>
            <w:r>
              <w:rPr>
                <w:b/>
                <w:color w:val="0F172A"/>
                <w:sz w:val="18"/>
              </w:rPr>
              <w:t>1,8 M€ à 3 M€ / an</w:t>
            </w:r>
          </w:p>
        </w:tc>
        <w:tc>
          <w:tcPr>
            <w:tcW w:type="dxa" w:w="2484"/>
            <w:shd w:fill="F8FAFC"/>
          </w:tcPr>
          <w:p>
            <w:pPr>
              <w:spacing w:before="80" w:after="80"/>
            </w:pPr>
            <w:r>
              <w:rPr>
                <w:color w:val="1E293B"/>
                <w:sz w:val="18"/>
              </w:rPr>
              <w:t>Coûts de crise ransomware évités (Benchmark Marseille/Lille/Caen).</w:t>
            </w:r>
          </w:p>
        </w:tc>
      </w:tr>
      <w:tr>
        <w:tc>
          <w:tcPr>
            <w:tcW w:type="dxa" w:w="2484"/>
            <w:shd w:fill="FFFFFF"/>
          </w:tcPr>
          <w:p>
            <w:pPr>
              <w:spacing w:before="80" w:after="80"/>
            </w:pPr>
            <w:r>
              <w:rPr>
                <w:b/>
                <w:color w:val="0F172A"/>
                <w:sz w:val="18"/>
              </w:rPr>
              <w:t>5. Financements Europe &amp; AI Gigafactory</w:t>
            </w:r>
          </w:p>
        </w:tc>
        <w:tc>
          <w:tcPr>
            <w:tcW w:type="dxa" w:w="2484"/>
            <w:shd w:fill="FFFFFF"/>
          </w:tcPr>
          <w:p>
            <w:pPr>
              <w:spacing w:before="80" w:after="80"/>
            </w:pPr>
            <w:r>
              <w:rPr>
                <w:color w:val="1E293B"/>
                <w:sz w:val="18"/>
              </w:rPr>
              <w:t>Subventions directes UE (EuroHPC, Digital Europe) &amp; Monaco</w:t>
            </w:r>
          </w:p>
        </w:tc>
        <w:tc>
          <w:tcPr>
            <w:tcW w:type="dxa" w:w="2484"/>
            <w:shd w:fill="FFFFFF"/>
          </w:tcPr>
          <w:p>
            <w:pPr>
              <w:spacing w:before="80" w:after="80"/>
            </w:pPr>
            <w:r>
              <w:rPr>
                <w:b/>
                <w:color w:val="0F172A"/>
                <w:sz w:val="18"/>
              </w:rPr>
              <w:t>500 M€ de subvention visés</w:t>
            </w:r>
          </w:p>
        </w:tc>
        <w:tc>
          <w:tcPr>
            <w:tcW w:type="dxa" w:w="2484"/>
            <w:shd w:fill="FFFFFF"/>
          </w:tcPr>
          <w:p>
            <w:pPr>
              <w:spacing w:before="80" w:after="80"/>
            </w:pPr>
            <w:r>
              <w:rPr>
                <w:color w:val="1E293B"/>
                <w:sz w:val="18"/>
              </w:rPr>
              <w:t>Candidature binationale Nice-Monaco pour l'appel d'offres historique de 30 Md€ (Lot 1).</w:t>
            </w:r>
          </w:p>
        </w:tc>
      </w:tr>
    </w:tbl>
    <w:p>
      <w:pPr>
        <w:spacing w:after="120"/>
      </w:pPr>
    </w:p>
    <w:p>
      <w:pPr>
        <w:spacing w:before="60" w:after="120" w:line="276" w:lineRule="auto"/>
      </w:pPr>
      <w:r>
        <w:rPr>
          <w:color w:val="1E293B"/>
        </w:rPr>
        <w:t>---</w:t>
      </w:r>
    </w:p>
    <w:p>
      <w:pPr>
        <w:keepNext/>
        <w:spacing w:before="280" w:after="120"/>
      </w:pPr>
      <w:r>
        <w:rPr>
          <w:rFonts w:ascii="Georgia" w:hAnsi="Georgia"/>
          <w:b/>
          <w:color w:val="B89762"/>
          <w:sz w:val="26"/>
        </w:rPr>
        <w:t>1. Où en sommes-nous ? État des lieux &amp; Diagnostic Territorial</w:t>
      </w:r>
    </w:p>
    <w:p>
      <w:pPr>
        <w:keepNext/>
        <w:spacing w:before="280" w:after="120"/>
      </w:pPr>
      <w:r>
        <w:rPr>
          <w:rFonts w:ascii="Arial" w:hAnsi="Arial"/>
          <w:b/>
          <w:color w:val="0F172A"/>
          <w:sz w:val="22"/>
        </w:rPr>
        <w:t>1.1 Contexte national et régional : Blocages politiques &amp; Urgence d'un Leadership Unifié</w:t>
      </w:r>
    </w:p>
    <w:p>
      <w:pPr>
        <w:pStyle w:val="ListBullet"/>
        <w:spacing w:before="40" w:after="40"/>
      </w:pPr>
      <w:r>
        <w:rPr>
          <w:b/>
          <w:color w:val="0F172A"/>
        </w:rPr>
        <w:t>Échelle nationale</w:t>
      </w:r>
      <w:r>
        <w:rPr>
          <w:color w:val="1E293B"/>
        </w:rPr>
        <w:t xml:space="preserve"> : La note </w:t>
      </w:r>
      <w:r>
        <w:rPr>
          <w:i/>
        </w:rPr>
        <w:t>« Opération Prométhée »</w:t>
      </w:r>
      <w:r>
        <w:rPr>
          <w:color w:val="1E293B"/>
        </w:rPr>
        <w:t xml:space="preserve"> (juillet 2026, Le Grand Continent) fixe le cadre : un plan de </w:t>
      </w:r>
      <w:r>
        <w:rPr>
          <w:b/>
          <w:color w:val="0F172A"/>
        </w:rPr>
        <w:t>700 Md$ sur 3 ans</w:t>
      </w:r>
      <w:r>
        <w:rPr>
          <w:color w:val="1E293B"/>
        </w:rPr>
        <w:t xml:space="preserve"> (12 GW, 1 700 chercheurs). L'IA est désormais une ressource stratégique souveraine comparable à l'énergie.</w:t>
      </w:r>
    </w:p>
    <w:p>
      <w:pPr>
        <w:pStyle w:val="ListBullet"/>
        <w:spacing w:before="40" w:after="40"/>
      </w:pPr>
      <w:r>
        <w:rPr>
          <w:b/>
          <w:color w:val="0F172A"/>
        </w:rPr>
        <w:t>Échelle régionale</w:t>
      </w:r>
      <w:r>
        <w:rPr>
          <w:color w:val="1E293B"/>
        </w:rPr>
        <w:t xml:space="preserve"> : La Région Sud affiche un </w:t>
      </w:r>
      <w:r>
        <w:rPr>
          <w:i/>
        </w:rPr>
        <w:t>Plan SUD IA</w:t>
      </w:r>
      <w:r>
        <w:rPr>
          <w:color w:val="1E293B"/>
        </w:rPr>
        <w:t xml:space="preserve"> (70 M€ sur 5 ans), la Métropole lance des appels à projets isolés et le Département anime la Maison de l'IA (MIA) à Sophia Antipolis.</w:t>
      </w:r>
    </w:p>
    <w:p>
      <w:pPr>
        <w:pStyle w:val="ListBullet"/>
        <w:spacing w:before="40" w:after="40"/>
      </w:pPr>
      <w:r>
        <w:rPr>
          <w:b/>
          <w:color w:val="0F172A"/>
        </w:rPr>
        <w:t>Le blocage politique (Constat lucide)</w:t>
      </w:r>
      <w:r>
        <w:rPr>
          <w:color w:val="1E293B"/>
        </w:rPr>
        <w:t xml:space="preserve"> : </w:t>
      </w:r>
      <w:r>
        <w:rPr>
          <w:b/>
          <w:color w:val="0F172A"/>
        </w:rPr>
        <w:t>Les tensions et rivalités politiques au sein de la Région PACA interfèrent directement dans l'obtention des subventions publiques et régionales</w:t>
      </w:r>
      <w:r>
        <w:rPr>
          <w:color w:val="1E293B"/>
        </w:rPr>
        <w:t>. Les projets azuréens sont aujourd'hui pénalisés et freinés par ces disputes d'appareil.</w:t>
      </w:r>
    </w:p>
    <w:p>
      <w:pPr>
        <w:pStyle w:val="ListBullet"/>
        <w:spacing w:before="40" w:after="40"/>
      </w:pPr>
      <w:r>
        <w:rPr>
          <w:b/>
          <w:color w:val="0F172A"/>
        </w:rPr>
        <w:t>La solution</w:t>
      </w:r>
      <w:r>
        <w:rPr>
          <w:color w:val="1E293B"/>
        </w:rPr>
        <w:t xml:space="preserve"> : Seul un </w:t>
      </w:r>
      <w:r>
        <w:rPr>
          <w:b/>
          <w:color w:val="0F172A"/>
        </w:rPr>
        <w:t>leadership métropolitain incontestable porté au plus haut niveau par M. Éric Ciotti</w:t>
      </w:r>
      <w:r>
        <w:rPr>
          <w:color w:val="1E293B"/>
        </w:rPr>
        <w:t xml:space="preserve"> permettra d'outrepasser ces blocages politiques régionaux et d'aller capturer directement les subventions auprès de l'État et des guichets européens.</w:t>
      </w:r>
    </w:p>
    <w:p>
      <w:pPr>
        <w:spacing w:before="60" w:after="120" w:line="276" w:lineRule="auto"/>
      </w:pPr>
      <w:r>
        <w:rPr>
          <w:color w:val="1E293B"/>
        </w:rPr>
        <w:t>---</w:t>
      </w:r>
    </w:p>
    <w:p>
      <w:pPr>
        <w:keepNext/>
        <w:spacing w:before="280" w:after="120"/>
      </w:pPr>
      <w:r>
        <w:rPr>
          <w:rFonts w:ascii="Arial" w:hAnsi="Arial"/>
          <w:b/>
          <w:color w:val="0F172A"/>
          <w:sz w:val="22"/>
        </w:rPr>
        <w:t>1.2 Le terreau niçois : Un actif exceptionnel en France</w:t>
      </w:r>
    </w:p>
    <w:p>
      <w:pPr>
        <w:spacing w:before="60" w:after="120" w:line="276" w:lineRule="auto"/>
      </w:pPr>
      <w:r>
        <w:rPr>
          <w:color w:val="1E293B"/>
        </w:rPr>
        <w:t>La Métropole Nice Côte d’Azur dispose d'atouts technologiques et industriels de 1er plan :</w:t>
      </w:r>
    </w:p>
    <w:p>
      <w:pPr>
        <w:pStyle w:val="ListBullet"/>
        <w:spacing w:before="40" w:after="40"/>
      </w:pPr>
      <w:r>
        <w:rPr>
          <w:b/>
          <w:color w:val="0F172A"/>
        </w:rPr>
        <w:t>Sophia Antipolis (1ère technopole d’Europe)</w:t>
      </w:r>
      <w:r>
        <w:rPr>
          <w:color w:val="1E293B"/>
        </w:rPr>
        <w:t xml:space="preserve"> : ~2 700 entreprises, ~46 000 emplois, ~5 500 chercheurs.</w:t>
      </w:r>
    </w:p>
    <w:p>
      <w:pPr>
        <w:pStyle w:val="ListBullet"/>
        <w:spacing w:before="40" w:after="40"/>
      </w:pPr>
      <w:r>
        <w:rPr>
          <w:b/>
          <w:color w:val="0F172A"/>
        </w:rPr>
        <w:t>Institut 3IA Côte d’Azur</w:t>
      </w:r>
      <w:r>
        <w:rPr>
          <w:color w:val="1E293B"/>
        </w:rPr>
        <w:t xml:space="preserve"> : L'un des 4 instituts nationaux d'IA (spécialisé en santé numérique).</w:t>
      </w:r>
    </w:p>
    <w:p>
      <w:pPr>
        <w:pStyle w:val="ListBullet"/>
        <w:spacing w:before="40" w:after="40"/>
      </w:pPr>
      <w:r>
        <w:rPr>
          <w:b/>
          <w:color w:val="0F172A"/>
        </w:rPr>
        <w:t>Pipeline académique complet</w:t>
      </w:r>
      <w:r>
        <w:rPr>
          <w:color w:val="1E293B"/>
        </w:rPr>
        <w:t xml:space="preserve"> : Université Côte d'Azur (UCA), Inria, Eurecom, CNRS (du Master au Doctorat).</w:t>
      </w:r>
    </w:p>
    <w:p>
      <w:pPr>
        <w:pStyle w:val="ListBullet"/>
        <w:spacing w:before="40" w:after="40"/>
      </w:pPr>
      <w:r>
        <w:rPr>
          <w:b/>
          <w:color w:val="0F172A"/>
        </w:rPr>
        <w:t>Grands industriels ancres riches en données</w:t>
      </w:r>
      <w:r>
        <w:rPr>
          <w:color w:val="1E293B"/>
        </w:rPr>
        <w:t xml:space="preserve"> :</w:t>
      </w:r>
    </w:p>
    <w:p>
      <w:pPr>
        <w:pStyle w:val="ListBullet"/>
        <w:spacing w:before="40" w:after="40"/>
      </w:pPr>
      <w:r>
        <w:rPr>
          <w:b/>
          <w:color w:val="0F172A"/>
        </w:rPr>
        <w:t>Amadeus</w:t>
      </w:r>
      <w:r>
        <w:rPr>
          <w:color w:val="1E293B"/>
        </w:rPr>
        <w:t xml:space="preserve"> (l'un des plus grands centres de R&amp;D privés d'Europe — mobilité &amp; travel),</w:t>
      </w:r>
    </w:p>
    <w:p>
      <w:pPr>
        <w:pStyle w:val="ListBullet"/>
        <w:spacing w:before="40" w:after="40"/>
      </w:pPr>
      <w:r>
        <w:rPr>
          <w:b/>
          <w:color w:val="0F172A"/>
        </w:rPr>
        <w:t>Thales Alenia Space</w:t>
      </w:r>
      <w:r>
        <w:rPr>
          <w:color w:val="1E293B"/>
        </w:rPr>
        <w:t xml:space="preserve"> (Cannes — observation satellite &amp; spatial),</w:t>
      </w:r>
    </w:p>
    <w:p>
      <w:pPr>
        <w:pStyle w:val="ListBullet"/>
        <w:spacing w:before="40" w:after="40"/>
      </w:pPr>
      <w:r>
        <w:rPr>
          <w:b/>
          <w:color w:val="0F172A"/>
        </w:rPr>
        <w:t>Filières métiers fortes</w:t>
      </w:r>
      <w:r>
        <w:rPr>
          <w:color w:val="1E293B"/>
        </w:rPr>
        <w:t xml:space="preserve"> : Santé &amp; Silver Économie, Arômes-Parfums (Grasse), Maritime &amp; Portuaire.</w:t>
      </w:r>
    </w:p>
    <w:p>
      <w:pPr>
        <w:pStyle w:val="ListBullet"/>
        <w:spacing w:before="40" w:after="40"/>
      </w:pPr>
      <w:r>
        <w:rPr>
          <w:b/>
          <w:color w:val="0F172A"/>
        </w:rPr>
        <w:t>Attractivité &amp; 2e aéroport de France</w:t>
      </w:r>
      <w:r>
        <w:rPr>
          <w:color w:val="1E293B"/>
        </w:rPr>
        <w:t xml:space="preserve"> : La « carte Riviera » permet de capter et retenir les chercheurs d'élite que Paris peine à conserver.</w:t>
      </w:r>
    </w:p>
    <w:p>
      <w:pPr>
        <w:spacing w:before="60" w:after="120" w:line="276" w:lineRule="auto"/>
      </w:pPr>
      <w:r>
        <w:rPr>
          <w:color w:val="1E293B"/>
        </w:rPr>
        <w:t>---</w:t>
      </w:r>
    </w:p>
    <w:p>
      <w:pPr>
        <w:keepNext/>
        <w:spacing w:before="280" w:after="120"/>
      </w:pPr>
      <w:r>
        <w:rPr>
          <w:rFonts w:ascii="Arial" w:hAnsi="Arial"/>
          <w:b/>
          <w:color w:val="0F172A"/>
          <w:sz w:val="22"/>
        </w:rPr>
        <w:t>1.3 Évaluation du Pôle Nice - Sophia Antipolis - Monaco vs Total National Français</w:t>
      </w:r>
    </w:p>
    <w:p>
      <w:pPr>
        <w:spacing w:before="60" w:after="120" w:line="276" w:lineRule="auto"/>
      </w:pPr>
      <w:r>
        <w:rPr>
          <w:color w:val="1E293B"/>
        </w:rPr>
        <w:t xml:space="preserve">Afin d'emporter l'adhésion de l'État et de la Commission Européenne, le territoire doit faire valoir son </w:t>
      </w:r>
      <w:r>
        <w:rPr>
          <w:b/>
          <w:color w:val="0F172A"/>
        </w:rPr>
        <w:t>poids relatif massif à l'échelle de la France</w:t>
      </w:r>
      <w:r>
        <w:rPr>
          <w:color w:val="1E293B"/>
        </w:rPr>
        <w:t xml:space="preserve"> :</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pPr>
              <w:spacing w:before="80" w:after="80"/>
            </w:pPr>
            <w:r>
              <w:rPr>
                <w:b/>
                <w:color w:val="D8B98A"/>
                <w:sz w:val="19"/>
              </w:rPr>
              <w:t>Indicateur de Puissance R&amp;D &amp; IA</w:t>
            </w:r>
          </w:p>
        </w:tc>
        <w:tc>
          <w:tcPr>
            <w:tcW w:type="dxa" w:w="2484"/>
            <w:shd w:fill="0F172A"/>
          </w:tcPr>
          <w:p>
            <w:pPr>
              <w:spacing w:before="80" w:after="80"/>
            </w:pPr>
            <w:r>
              <w:rPr>
                <w:b/>
                <w:color w:val="D8B98A"/>
                <w:sz w:val="19"/>
              </w:rPr>
              <w:t>Chiffre Pôle Nice - Sophia - Monaco</w:t>
            </w:r>
          </w:p>
        </w:tc>
        <w:tc>
          <w:tcPr>
            <w:tcW w:type="dxa" w:w="2484"/>
            <w:shd w:fill="0F172A"/>
          </w:tcPr>
          <w:p>
            <w:pPr>
              <w:spacing w:before="80" w:after="80"/>
            </w:pPr>
            <w:r>
              <w:rPr>
                <w:b/>
                <w:color w:val="D8B98A"/>
                <w:sz w:val="19"/>
              </w:rPr>
              <w:t>Poids Relatif vs Total France</w:t>
            </w:r>
          </w:p>
        </w:tc>
        <w:tc>
          <w:tcPr>
            <w:tcW w:type="dxa" w:w="2484"/>
            <w:shd w:fill="0F172A"/>
          </w:tcPr>
          <w:p>
            <w:pPr>
              <w:spacing w:before="80" w:after="80"/>
            </w:pPr>
            <w:r>
              <w:rPr>
                <w:b/>
                <w:color w:val="D8B98A"/>
                <w:sz w:val="19"/>
              </w:rPr>
              <w:t>Portée Stratégique pour le Pacte</w:t>
            </w:r>
          </w:p>
        </w:tc>
      </w:tr>
      <w:tr>
        <w:tc>
          <w:tcPr>
            <w:tcW w:type="dxa" w:w="2484"/>
            <w:shd w:fill="F8FAFC"/>
          </w:tcPr>
          <w:p>
            <w:pPr>
              <w:spacing w:before="80" w:after="80"/>
            </w:pPr>
            <w:r>
              <w:rPr>
                <w:b/>
                <w:color w:val="0F172A"/>
                <w:sz w:val="18"/>
              </w:rPr>
              <w:t>Chercheurs &amp; Ingénieurs R&amp;D</w:t>
            </w:r>
          </w:p>
        </w:tc>
        <w:tc>
          <w:tcPr>
            <w:tcW w:type="dxa" w:w="2484"/>
            <w:shd w:fill="F8FAFC"/>
          </w:tcPr>
          <w:p>
            <w:pPr>
              <w:spacing w:before="80" w:after="80"/>
            </w:pPr>
            <w:r>
              <w:rPr>
                <w:b/>
                <w:color w:val="0F172A"/>
                <w:sz w:val="18"/>
              </w:rPr>
              <w:t>~5 500 chercheurs</w:t>
            </w:r>
            <w:r>
              <w:rPr>
                <w:color w:val="1E293B"/>
                <w:sz w:val="18"/>
              </w:rPr>
              <w:t xml:space="preserve"> (public + privé)</w:t>
            </w:r>
          </w:p>
        </w:tc>
        <w:tc>
          <w:tcPr>
            <w:tcW w:type="dxa" w:w="2484"/>
            <w:shd w:fill="F8FAFC"/>
          </w:tcPr>
          <w:p>
            <w:pPr>
              <w:spacing w:before="80" w:after="80"/>
            </w:pPr>
            <w:r>
              <w:rPr>
                <w:b/>
                <w:color w:val="0F172A"/>
                <w:sz w:val="18"/>
              </w:rPr>
              <w:t>~12 % du total hors Île-de-France</w:t>
            </w:r>
          </w:p>
        </w:tc>
        <w:tc>
          <w:tcPr>
            <w:tcW w:type="dxa" w:w="2484"/>
            <w:shd w:fill="F8FAFC"/>
          </w:tcPr>
          <w:p>
            <w:pPr>
              <w:spacing w:before="80" w:after="80"/>
            </w:pPr>
            <w:r>
              <w:rPr>
                <w:color w:val="1E293B"/>
                <w:sz w:val="18"/>
              </w:rPr>
              <w:t>2e bassin national de chercheurs en ingénierie numérique après Paris.</w:t>
            </w:r>
          </w:p>
        </w:tc>
      </w:tr>
      <w:tr>
        <w:tc>
          <w:tcPr>
            <w:tcW w:type="dxa" w:w="2484"/>
            <w:shd w:fill="FFFFFF"/>
          </w:tcPr>
          <w:p>
            <w:pPr>
              <w:spacing w:before="80" w:after="80"/>
            </w:pPr>
            <w:r>
              <w:rPr>
                <w:b/>
                <w:color w:val="0F172A"/>
                <w:sz w:val="18"/>
              </w:rPr>
              <w:t>Recherche Académique IA (3IA)</w:t>
            </w:r>
          </w:p>
        </w:tc>
        <w:tc>
          <w:tcPr>
            <w:tcW w:type="dxa" w:w="2484"/>
            <w:shd w:fill="FFFFFF"/>
          </w:tcPr>
          <w:p>
            <w:pPr>
              <w:spacing w:before="80" w:after="80"/>
            </w:pPr>
            <w:r>
              <w:rPr>
                <w:b/>
                <w:color w:val="0F172A"/>
                <w:sz w:val="18"/>
              </w:rPr>
              <w:t>&gt; 100 chaires mondiales</w:t>
            </w:r>
            <w:r>
              <w:rPr>
                <w:color w:val="1E293B"/>
                <w:sz w:val="18"/>
              </w:rPr>
              <w:t xml:space="preserve"> (3IA Côte d'Azur)</w:t>
            </w:r>
          </w:p>
        </w:tc>
        <w:tc>
          <w:tcPr>
            <w:tcW w:type="dxa" w:w="2484"/>
            <w:shd w:fill="FFFFFF"/>
          </w:tcPr>
          <w:p>
            <w:pPr>
              <w:spacing w:before="80" w:after="80"/>
            </w:pPr>
            <w:r>
              <w:rPr>
                <w:b/>
                <w:color w:val="0F172A"/>
                <w:sz w:val="18"/>
              </w:rPr>
              <w:t>~25 % du réseau national 3IA</w:t>
            </w:r>
          </w:p>
        </w:tc>
        <w:tc>
          <w:tcPr>
            <w:tcW w:type="dxa" w:w="2484"/>
            <w:shd w:fill="FFFFFF"/>
          </w:tcPr>
          <w:p>
            <w:pPr>
              <w:spacing w:before="80" w:after="80"/>
            </w:pPr>
            <w:r>
              <w:rPr>
                <w:color w:val="1E293B"/>
                <w:sz w:val="18"/>
              </w:rPr>
              <w:t>1 des 4 instituts 3IA labellisés par l'État (Paris PRAIRIE, Grenoble MIAI, Toulouse ANITI, Nice 3IA).</w:t>
            </w:r>
          </w:p>
        </w:tc>
      </w:tr>
      <w:tr>
        <w:tc>
          <w:tcPr>
            <w:tcW w:type="dxa" w:w="2484"/>
            <w:shd w:fill="F8FAFC"/>
          </w:tcPr>
          <w:p>
            <w:pPr>
              <w:spacing w:before="80" w:after="80"/>
            </w:pPr>
            <w:r>
              <w:rPr>
                <w:b/>
                <w:color w:val="0F172A"/>
                <w:sz w:val="18"/>
              </w:rPr>
              <w:t>R&amp;D Privée &amp; Grands Groupes</w:t>
            </w:r>
          </w:p>
        </w:tc>
        <w:tc>
          <w:tcPr>
            <w:tcW w:type="dxa" w:w="2484"/>
            <w:shd w:fill="F8FAFC"/>
          </w:tcPr>
          <w:p>
            <w:pPr>
              <w:spacing w:before="80" w:after="80"/>
            </w:pPr>
            <w:r>
              <w:rPr>
                <w:b/>
                <w:color w:val="0F172A"/>
                <w:sz w:val="18"/>
              </w:rPr>
              <w:t>Amadeus + Thales Alenia Space</w:t>
            </w:r>
            <w:r>
              <w:rPr>
                <w:color w:val="1E293B"/>
                <w:sz w:val="18"/>
              </w:rPr>
              <w:t xml:space="preserve"> (&gt;6 500 ingénieurs)</w:t>
            </w:r>
          </w:p>
        </w:tc>
        <w:tc>
          <w:tcPr>
            <w:tcW w:type="dxa" w:w="2484"/>
            <w:shd w:fill="F8FAFC"/>
          </w:tcPr>
          <w:p>
            <w:pPr>
              <w:spacing w:before="80" w:after="80"/>
            </w:pPr>
            <w:r>
              <w:rPr>
                <w:b/>
                <w:color w:val="0F172A"/>
                <w:sz w:val="18"/>
              </w:rPr>
              <w:t>~6 % de la R&amp;D privée logicielle/spatiale</w:t>
            </w:r>
          </w:p>
        </w:tc>
        <w:tc>
          <w:tcPr>
            <w:tcW w:type="dxa" w:w="2484"/>
            <w:shd w:fill="F8FAFC"/>
          </w:tcPr>
          <w:p>
            <w:pPr>
              <w:spacing w:before="80" w:after="80"/>
            </w:pPr>
            <w:r>
              <w:rPr>
                <w:color w:val="1E293B"/>
                <w:sz w:val="18"/>
              </w:rPr>
              <w:t>Amadeus = 1er centre de R&amp;D privé de transport en Europe ; Thales = 1er constructeur de satellites.</w:t>
            </w:r>
          </w:p>
        </w:tc>
      </w:tr>
      <w:tr>
        <w:tc>
          <w:tcPr>
            <w:tcW w:type="dxa" w:w="2484"/>
            <w:shd w:fill="FFFFFF"/>
          </w:tcPr>
          <w:p>
            <w:pPr>
              <w:spacing w:before="80" w:after="80"/>
            </w:pPr>
            <w:r>
              <w:rPr>
                <w:b/>
                <w:color w:val="0F172A"/>
                <w:sz w:val="18"/>
              </w:rPr>
              <w:t>Bassin d'Emploi Tech &amp; Startups</w:t>
            </w:r>
          </w:p>
        </w:tc>
        <w:tc>
          <w:tcPr>
            <w:tcW w:type="dxa" w:w="2484"/>
            <w:shd w:fill="FFFFFF"/>
          </w:tcPr>
          <w:p>
            <w:pPr>
              <w:spacing w:before="80" w:after="80"/>
            </w:pPr>
            <w:r>
              <w:rPr>
                <w:b/>
                <w:color w:val="0F172A"/>
                <w:sz w:val="18"/>
              </w:rPr>
              <w:t>46 000 emplois qualifiés / 2 700 entreprises</w:t>
            </w:r>
          </w:p>
        </w:tc>
        <w:tc>
          <w:tcPr>
            <w:tcW w:type="dxa" w:w="2484"/>
            <w:shd w:fill="FFFFFF"/>
          </w:tcPr>
          <w:p>
            <w:pPr>
              <w:spacing w:before="80" w:after="80"/>
            </w:pPr>
            <w:r>
              <w:rPr>
                <w:b/>
                <w:color w:val="0F172A"/>
                <w:sz w:val="18"/>
              </w:rPr>
              <w:t>1er technopôle d'Europe</w:t>
            </w:r>
          </w:p>
        </w:tc>
        <w:tc>
          <w:tcPr>
            <w:tcW w:type="dxa" w:w="2484"/>
            <w:shd w:fill="FFFFFF"/>
          </w:tcPr>
          <w:p>
            <w:pPr>
              <w:spacing w:before="80" w:after="80"/>
            </w:pPr>
            <w:r>
              <w:rPr>
                <w:color w:val="1E293B"/>
                <w:sz w:val="18"/>
              </w:rPr>
              <w:t>Densité d'entreprises technologiques unique en région PACA.</w:t>
            </w:r>
          </w:p>
        </w:tc>
      </w:tr>
      <w:tr>
        <w:tc>
          <w:tcPr>
            <w:tcW w:type="dxa" w:w="2484"/>
            <w:shd w:fill="F8FAFC"/>
          </w:tcPr>
          <w:p>
            <w:pPr>
              <w:spacing w:before="80" w:after="80"/>
            </w:pPr>
            <w:r>
              <w:rPr>
                <w:b/>
                <w:color w:val="0F172A"/>
                <w:sz w:val="18"/>
              </w:rPr>
              <w:t>Infrastructures Cloud Souveraines</w:t>
            </w:r>
          </w:p>
        </w:tc>
        <w:tc>
          <w:tcPr>
            <w:tcW w:type="dxa" w:w="2484"/>
            <w:shd w:fill="F8FAFC"/>
          </w:tcPr>
          <w:p>
            <w:pPr>
              <w:spacing w:before="80" w:after="80"/>
            </w:pPr>
            <w:r>
              <w:rPr>
                <w:b/>
                <w:color w:val="0F172A"/>
                <w:sz w:val="18"/>
              </w:rPr>
              <w:t>Monaco Cloud (1er Cloud d'État UE)</w:t>
            </w:r>
          </w:p>
        </w:tc>
        <w:tc>
          <w:tcPr>
            <w:tcW w:type="dxa" w:w="2484"/>
            <w:shd w:fill="F8FAFC"/>
          </w:tcPr>
          <w:p>
            <w:pPr>
              <w:spacing w:before="80" w:after="80"/>
            </w:pPr>
            <w:r>
              <w:rPr>
                <w:b/>
                <w:color w:val="0F172A"/>
                <w:sz w:val="18"/>
              </w:rPr>
              <w:t>Unique hub transfrontalier</w:t>
            </w:r>
          </w:p>
        </w:tc>
        <w:tc>
          <w:tcPr>
            <w:tcW w:type="dxa" w:w="2484"/>
            <w:shd w:fill="F8FAFC"/>
          </w:tcPr>
          <w:p>
            <w:pPr>
              <w:spacing w:before="80" w:after="80"/>
            </w:pPr>
            <w:r>
              <w:rPr>
                <w:color w:val="1E293B"/>
                <w:sz w:val="18"/>
              </w:rPr>
              <w:t>Seul hub souverain binational garantissant la conformité AMSN &amp; NIS 2.</w:t>
            </w:r>
          </w:p>
        </w:tc>
      </w:tr>
    </w:tbl>
    <w:p>
      <w:pPr>
        <w:spacing w:after="120"/>
      </w:pPr>
    </w:p>
    <w:p>
      <w:pPr>
        <w:spacing w:before="60" w:after="120" w:line="276" w:lineRule="auto"/>
      </w:pPr>
      <w:r>
        <w:rPr>
          <w:b/>
          <w:color w:val="0F172A"/>
        </w:rPr>
        <w:t>L'argumentaire de conviction</w:t>
      </w:r>
      <w:r>
        <w:rPr>
          <w:color w:val="1E293B"/>
        </w:rPr>
        <w:t xml:space="preserve"> : Le triangle Nice - Sophia Antipolis - Monaco constitue </w:t>
      </w:r>
      <w:r>
        <w:rPr>
          <w:b/>
          <w:color w:val="0F172A"/>
        </w:rPr>
        <w:t>le 2e mastodonte technologique de France</w:t>
      </w:r>
      <w:r>
        <w:rPr>
          <w:color w:val="1E293B"/>
        </w:rPr>
        <w:t xml:space="preserve"> et </w:t>
      </w:r>
      <w:r>
        <w:rPr>
          <w:b/>
          <w:color w:val="0F172A"/>
        </w:rPr>
        <w:t>le 1er hub transfrontalier d'Europe du Sud</w:t>
      </w:r>
      <w:r>
        <w:rPr>
          <w:color w:val="1E293B"/>
        </w:rPr>
        <w:t xml:space="preserve">. Pesant </w:t>
      </w:r>
      <w:r>
        <w:rPr>
          <w:b/>
          <w:color w:val="0F172A"/>
        </w:rPr>
        <w:t>un quart de la recherche publique IA d'élite de province</w:t>
      </w:r>
      <w:r>
        <w:rPr>
          <w:color w:val="1E293B"/>
        </w:rPr>
        <w:t xml:space="preserve"> et </w:t>
      </w:r>
      <w:r>
        <w:rPr>
          <w:b/>
          <w:color w:val="0F172A"/>
        </w:rPr>
        <w:t>12 % des chercheurs R&amp;D hors Paris</w:t>
      </w:r>
      <w:r>
        <w:rPr>
          <w:color w:val="1E293B"/>
        </w:rPr>
        <w:t>, notre territoire possède la masse critique incontestable pour imposer l'attribution de la Gigafactory de 500 M€ et devenir la Capitale de l'IA appliquée.</w:t>
      </w:r>
    </w:p>
    <w:p>
      <w:pPr>
        <w:spacing w:before="60" w:after="120" w:line="276" w:lineRule="auto"/>
      </w:pPr>
      <w:r>
        <w:rPr>
          <w:color w:val="1E293B"/>
        </w:rPr>
        <w:t>---</w:t>
      </w:r>
    </w:p>
    <w:p>
      <w:pPr>
        <w:keepNext/>
        <w:spacing w:before="280" w:after="120"/>
      </w:pPr>
      <w:r>
        <w:rPr>
          <w:rFonts w:ascii="Arial" w:hAnsi="Arial"/>
          <w:b/>
          <w:color w:val="0F172A"/>
          <w:sz w:val="22"/>
        </w:rPr>
        <w:t>1.4 Les faiblesses et contraintes lucidement posées</w:t>
      </w:r>
    </w:p>
    <w:p>
      <w:pPr>
        <w:pStyle w:val="ListNumber"/>
        <w:spacing w:before="40" w:after="40"/>
      </w:pPr>
      <w:r>
        <w:rPr>
          <w:b/>
          <w:color w:val="0F172A"/>
        </w:rPr>
        <w:t>Filière IA pure réduite</w:t>
      </w:r>
      <w:r>
        <w:rPr>
          <w:color w:val="1E293B"/>
        </w:rPr>
        <w:t xml:space="preserve"> : ~86 établissements et ~800 emplois directs IA dans le 06 (étude CCI).</w:t>
      </w:r>
    </w:p>
    <w:p>
      <w:pPr>
        <w:pStyle w:val="ListNumber"/>
        <w:spacing w:before="40" w:after="40"/>
      </w:pPr>
      <w:r>
        <w:rPr>
          <w:b/>
          <w:color w:val="0F172A"/>
        </w:rPr>
        <w:t>Le verrou électrique</w:t>
      </w:r>
      <w:r>
        <w:rPr>
          <w:color w:val="1E293B"/>
        </w:rPr>
        <w:t xml:space="preserve"> : Extrémité d'une « presqu'île électrique » très vulnérable (coupure majeure de ~2M d'habitants en 2009 ; capacité RTE/CNDP 2025 saturée).</w:t>
      </w:r>
    </w:p>
    <w:p>
      <w:pPr>
        <w:pStyle w:val="ListNumber"/>
        <w:spacing w:before="40" w:after="40"/>
      </w:pPr>
      <w:r>
        <w:rPr>
          <w:b/>
          <w:color w:val="0F172A"/>
        </w:rPr>
        <w:t>Foncier contraint</w:t>
      </w:r>
      <w:r>
        <w:rPr>
          <w:color w:val="1E293B"/>
        </w:rPr>
        <w:t xml:space="preserve"> : Mer et montagne rendent impossible l'accueil de campus de calcul hyperscale.</w:t>
      </w:r>
    </w:p>
    <w:p>
      <w:pPr>
        <w:pStyle w:val="ListNumber"/>
        <w:spacing w:before="40" w:after="40"/>
      </w:pPr>
      <w:r>
        <w:rPr>
          <w:b/>
          <w:color w:val="0F172A"/>
        </w:rPr>
        <w:t>Le cimetière des POC</w:t>
      </w:r>
      <w:r>
        <w:rPr>
          <w:color w:val="1E293B"/>
        </w:rPr>
        <w:t xml:space="preserve"> : La quasi-totalité des expérimentations locales échouent à passer en production faute d'expertise en industrialisation (LLMOps, sécurité, AI Act).</w:t>
      </w:r>
    </w:p>
    <w:p>
      <w:pPr>
        <w:spacing w:before="60" w:after="120" w:line="276" w:lineRule="auto"/>
      </w:pPr>
      <w:r>
        <w:rPr>
          <w:color w:val="1E293B"/>
        </w:rPr>
        <w:t>---</w:t>
      </w:r>
    </w:p>
    <w:p>
      <w:pPr>
        <w:keepNext/>
        <w:spacing w:before="280" w:after="120"/>
      </w:pPr>
      <w:r>
        <w:rPr>
          <w:rFonts w:ascii="Arial" w:hAnsi="Arial"/>
          <w:b/>
          <w:color w:val="0F172A"/>
          <w:sz w:val="22"/>
        </w:rPr>
        <w:t>1.5 L'Opportunité Historique : Les 30 Md€ de l'UE &amp; Les 7 AI Gigafactories</w:t>
      </w:r>
    </w:p>
    <w:p>
      <w:pPr>
        <w:spacing w:before="60" w:after="120" w:line="276" w:lineRule="auto"/>
      </w:pPr>
      <w:r>
        <w:rPr>
          <w:color w:val="1E293B"/>
        </w:rPr>
        <w:t xml:space="preserve">Le </w:t>
      </w:r>
      <w:r>
        <w:rPr>
          <w:b/>
          <w:color w:val="0F172A"/>
        </w:rPr>
        <w:t>30 juillet 2026</w:t>
      </w:r>
      <w:r>
        <w:rPr>
          <w:color w:val="1E293B"/>
        </w:rPr>
        <w:t xml:space="preserve">, la Commission Européenne a officiellement lancé un appel d'offres historique de </w:t>
      </w:r>
      <w:r>
        <w:rPr>
          <w:b/>
          <w:color w:val="0F172A"/>
        </w:rPr>
        <w:t>30 milliards d'euros</w:t>
      </w:r>
      <w:r>
        <w:rPr>
          <w:color w:val="1E293B"/>
        </w:rPr>
        <w:t xml:space="preserve"> pour bâtir </w:t>
      </w:r>
      <w:r>
        <w:rPr>
          <w:b/>
          <w:color w:val="0F172A"/>
        </w:rPr>
        <w:t>7 AI Gigafactories</w:t>
      </w:r>
      <w:r>
        <w:rPr>
          <w:color w:val="1E293B"/>
        </w:rPr>
        <w:t xml:space="preserve"> en Europe :</w:t>
      </w:r>
    </w:p>
    <w:p>
      <w:pPr>
        <w:pStyle w:val="ListBullet"/>
        <w:spacing w:before="40" w:after="40"/>
      </w:pPr>
      <w:r>
        <w:rPr>
          <w:b/>
          <w:color w:val="0F172A"/>
        </w:rPr>
        <w:t>Lot 1 — Subvention directe UE de 500 M€</w:t>
      </w:r>
      <w:r>
        <w:rPr>
          <w:color w:val="1E293B"/>
        </w:rPr>
        <w:t xml:space="preserve"> par site pour co-financer un supercalculateur d'IA souverain.</w:t>
      </w:r>
    </w:p>
    <w:p>
      <w:pPr>
        <w:pStyle w:val="ListBullet"/>
        <w:spacing w:before="40" w:after="40"/>
      </w:pPr>
      <w:r>
        <w:rPr>
          <w:b/>
          <w:color w:val="0F172A"/>
        </w:rPr>
        <w:t>Le levier Nice-Monaco</w:t>
      </w:r>
      <w:r>
        <w:rPr>
          <w:color w:val="1E293B"/>
        </w:rPr>
        <w:t xml:space="preserve"> : Pour surmonter les blocages politiques régionaux et le verrou foncier, Nice s'associe à la Principauté de Monaco et au 3IA Côte d'Azur pour déposer une </w:t>
      </w:r>
      <w:r>
        <w:rPr>
          <w:b/>
          <w:color w:val="0F172A"/>
        </w:rPr>
        <w:t>candidature binationale transfrontalière unique</w:t>
      </w:r>
      <w:r>
        <w:rPr>
          <w:color w:val="1E293B"/>
        </w:rPr>
        <w:t>.</w:t>
      </w:r>
    </w:p>
    <w:p>
      <w:pPr>
        <w:pStyle w:val="ListBullet"/>
        <w:spacing w:before="40" w:after="40"/>
      </w:pPr>
      <w:r>
        <w:rPr>
          <w:b/>
          <w:color w:val="0F172A"/>
        </w:rPr>
        <w:t>Montage mixte à 1,5 Md€</w:t>
      </w:r>
      <w:r>
        <w:rPr>
          <w:color w:val="1E293B"/>
        </w:rPr>
        <w:t xml:space="preserve"> : 500 M€ de subvention UE + 300 M€ de fonds publics (Monaco/Métropole) + 700 M€ d'investisseurs privés (Sophia Antipolis &amp; Venture Capital).</w:t>
      </w:r>
    </w:p>
    <w:p>
      <w:pPr>
        <w:pStyle w:val="ListBullet"/>
        <w:spacing w:before="40" w:after="40"/>
      </w:pPr>
      <w:r>
        <w:rPr>
          <w:b/>
          <w:color w:val="0F172A"/>
        </w:rPr>
        <w:t>Calendrier couperet</w:t>
      </w:r>
      <w:r>
        <w:rPr>
          <w:color w:val="1E293B"/>
        </w:rPr>
        <w:t xml:space="preserve"> : Dépôt du dossier de candidature avant le </w:t>
      </w:r>
      <w:r>
        <w:rPr>
          <w:b/>
          <w:color w:val="0F172A"/>
        </w:rPr>
        <w:t>12 novembre 2026</w:t>
      </w:r>
      <w:r>
        <w:rPr>
          <w:color w:val="1E293B"/>
        </w:rPr>
        <w:t>.</w:t>
      </w:r>
    </w:p>
    <w:p>
      <w:pPr>
        <w:spacing w:before="60" w:after="120" w:line="276" w:lineRule="auto"/>
      </w:pPr>
      <w:r>
        <w:rPr>
          <w:color w:val="1E293B"/>
        </w:rPr>
        <w:t>---</w:t>
      </w:r>
    </w:p>
    <w:p>
      <w:pPr>
        <w:keepNext/>
        <w:spacing w:before="280" w:after="120"/>
      </w:pPr>
      <w:r>
        <w:rPr>
          <w:rFonts w:ascii="Arial" w:hAnsi="Arial"/>
          <w:b/>
          <w:color w:val="0F172A"/>
          <w:sz w:val="22"/>
        </w:rPr>
        <w:t>1.6 La Doctrine Stratégique Nice IA : 3 Choix Clairs</w:t>
      </w:r>
    </w:p>
    <w:p>
      <w:pPr>
        <w:pStyle w:val="ListNumber"/>
        <w:spacing w:before="40" w:after="40"/>
      </w:pPr>
      <w:r>
        <w:rPr>
          <w:b/>
          <w:color w:val="0F172A"/>
        </w:rPr>
        <w:t>Renoncer à l'hyperscale, assumer l’IA frugale</w:t>
      </w:r>
      <w:r>
        <w:rPr>
          <w:color w:val="1E293B"/>
        </w:rPr>
        <w:t xml:space="preserve"> : Sobriété énergétique, cas d'usage utiles et sécurité maximale (conforme AI Act).</w:t>
      </w:r>
    </w:p>
    <w:p>
      <w:pPr>
        <w:pStyle w:val="ListNumber"/>
        <w:spacing w:before="40" w:after="40"/>
      </w:pPr>
      <w:r>
        <w:rPr>
          <w:b/>
          <w:color w:val="0F172A"/>
        </w:rPr>
        <w:t>Occuper les 2 vides délaissés</w:t>
      </w:r>
      <w:r>
        <w:rPr>
          <w:color w:val="1E293B"/>
        </w:rPr>
        <w:t xml:space="preserve"> : L'adoption par les PME ordinaires (commerce, tourisme, santé) et l'Industrialisation / LLMOps.</w:t>
      </w:r>
    </w:p>
    <w:p>
      <w:pPr>
        <w:pStyle w:val="ListNumber"/>
        <w:spacing w:before="40" w:after="40"/>
      </w:pPr>
      <w:r>
        <w:rPr>
          <w:b/>
          <w:color w:val="0F172A"/>
        </w:rPr>
        <w:t>La Ville client n°1</w:t>
      </w:r>
      <w:r>
        <w:rPr>
          <w:color w:val="1E293B"/>
        </w:rPr>
        <w:t xml:space="preserve"> : 5 cas d'usage municipaux industrialisés en 24 mois pour faire la preuve de la valeur et ancrer le récit politique de début de mandat.</w:t>
      </w:r>
    </w:p>
    <w:p>
      <w:pPr>
        <w:spacing w:before="60" w:after="120" w:line="276" w:lineRule="auto"/>
      </w:pPr>
      <w:r>
        <w:rPr>
          <w:color w:val="1E293B"/>
        </w:rPr>
        <w:t>---</w:t>
      </w:r>
    </w:p>
    <w:p>
      <w:pPr>
        <w:keepNext/>
        <w:spacing w:before="280" w:after="120"/>
      </w:pPr>
      <w:r>
        <w:rPr>
          <w:rFonts w:ascii="Georgia" w:hAnsi="Georgia"/>
          <w:b/>
          <w:color w:val="B89762"/>
          <w:sz w:val="26"/>
        </w:rPr>
        <w:t>2. Structure du Plan : Double Échelle Ville et Métropole</w:t>
      </w:r>
    </w:p>
    <w:p>
      <w:pPr>
        <w:spacing w:before="60" w:after="120" w:line="276" w:lineRule="auto"/>
      </w:pPr>
      <w:r>
        <w:rPr>
          <w:color w:val="1E293B"/>
        </w:rPr>
        <w:t>```mermaid</w:t>
      </w:r>
    </w:p>
    <w:p>
      <w:pPr>
        <w:spacing w:before="60" w:after="120" w:line="276" w:lineRule="auto"/>
      </w:pPr>
      <w:r>
        <w:rPr>
          <w:color w:val="1E293B"/>
        </w:rPr>
        <w:t>flowchart TD</w:t>
      </w:r>
    </w:p>
    <w:p>
      <w:pPr>
        <w:spacing w:before="60" w:after="120" w:line="276" w:lineRule="auto"/>
      </w:pPr>
      <w:r>
        <w:rPr>
          <w:color w:val="1E293B"/>
        </w:rPr>
        <w:t>A["DOCTRINE IA NICE 2026-2029"] --&gt; B["POLE 1 : AXE VILLE DE NICE&lt;br/&gt;(Proximité, Sécurité &amp; Cadre de Vie)"]</w:t>
      </w:r>
    </w:p>
    <w:p>
      <w:pPr>
        <w:spacing w:before="60" w:after="120" w:line="276" w:lineRule="auto"/>
      </w:pPr>
      <w:r>
        <w:rPr>
          <w:color w:val="1E293B"/>
        </w:rPr>
        <w:t>A --&gt; C["POLE 2 : AXE MÉTROPOLE NICE CÔTE D'AZUR&lt;br/&gt;(Budget, Cyber, Mobilités &amp; Monaco)"]</w:t>
      </w:r>
    </w:p>
    <w:p>
      <w:pPr>
        <w:spacing w:before="60" w:after="120" w:line="276" w:lineRule="auto"/>
      </w:pPr>
      <w:r>
        <w:rPr>
          <w:color w:val="1E293B"/>
        </w:rPr>
        <w:t>B --&gt; B1["1. CSU Augmenté VSA &amp; PM sur le Terrain (-65% Incivilités)"]</w:t>
      </w:r>
    </w:p>
    <w:p>
      <w:pPr>
        <w:spacing w:before="60" w:after="120" w:line="276" w:lineRule="auto"/>
      </w:pPr>
      <w:r>
        <w:rPr>
          <w:color w:val="1E293B"/>
        </w:rPr>
        <w:t>B --&gt; B2["2. Allo Niçois Séniors IA - Guichet Vocal 24/7"]</w:t>
      </w:r>
    </w:p>
    <w:p>
      <w:pPr>
        <w:spacing w:before="60" w:after="120" w:line="276" w:lineRule="auto"/>
      </w:pPr>
      <w:r>
        <w:rPr>
          <w:color w:val="1E293B"/>
        </w:rPr>
        <w:t>B --&gt; B3["3. Propreté Augmentée &amp; Voirie sous 6h"]</w:t>
      </w:r>
    </w:p>
    <w:p>
      <w:pPr>
        <w:spacing w:before="60" w:after="120" w:line="276" w:lineRule="auto"/>
      </w:pPr>
      <w:r>
        <w:rPr>
          <w:color w:val="1E293B"/>
        </w:rPr>
        <w:t>C --&gt; C1["4. Audit IA Commande Publique (2,5 M€/an Net Certifiés)"]</w:t>
      </w:r>
    </w:p>
    <w:p>
      <w:pPr>
        <w:spacing w:before="60" w:after="120" w:line="276" w:lineRule="auto"/>
      </w:pPr>
      <w:r>
        <w:rPr>
          <w:color w:val="1E293B"/>
        </w:rPr>
        <w:t>C --&gt; C2["5. Bouclier Cybersécurité IA NIS 2 (1,8 M€ à 3 M€ Évités)"]</w:t>
      </w:r>
    </w:p>
    <w:p>
      <w:pPr>
        <w:spacing w:before="60" w:after="120" w:line="276" w:lineRule="auto"/>
      </w:pPr>
      <w:r>
        <w:rPr>
          <w:color w:val="1E293B"/>
        </w:rPr>
        <w:t>C --&gt; C3["6. Mobilités Pendulaires &amp; Régulation IA (Nice-Monaco)"]</w:t>
      </w:r>
    </w:p>
    <w:p>
      <w:pPr>
        <w:spacing w:before="60" w:after="120" w:line="276" w:lineRule="auto"/>
      </w:pPr>
      <w:r>
        <w:rPr>
          <w:color w:val="1E293B"/>
        </w:rPr>
        <w:t>C --&gt; C4["7. Zone Franche Nice-Monaco, Cloud &amp; Réduction IT (1,5 à 2,8 M€/an)"]</w:t>
      </w:r>
    </w:p>
    <w:p>
      <w:pPr>
        <w:spacing w:before="60" w:after="120" w:line="276" w:lineRule="auto"/>
      </w:pPr>
      <w:r>
        <w:rPr>
          <w:color w:val="1E293B"/>
        </w:rPr>
        <w:t>C --&gt; C5["8. AI Gigafactory Transfrontalière (500 M€ subvention visés)"]</w:t>
      </w:r>
    </w:p>
    <w:p>
      <w:pPr>
        <w:spacing w:before="60" w:after="120" w:line="276" w:lineRule="auto"/>
      </w:pPr>
      <w:r>
        <w:rPr>
          <w:color w:val="1E293B"/>
        </w:rPr>
        <w:t>```</w:t>
      </w:r>
    </w:p>
    <w:p>
      <w:pPr>
        <w:spacing w:before="60" w:after="120" w:line="276" w:lineRule="auto"/>
      </w:pPr>
      <w:r>
        <w:rPr>
          <w:color w:val="1E293B"/>
        </w:rPr>
        <w:t>---</w:t>
      </w:r>
    </w:p>
    <w:p>
      <w:pPr>
        <w:keepNext/>
        <w:spacing w:before="280" w:after="120"/>
      </w:pPr>
      <w:r>
        <w:rPr>
          <w:rFonts w:ascii="Georgia" w:hAnsi="Georgia"/>
          <w:b/>
          <w:color w:val="B89762"/>
          <w:sz w:val="26"/>
        </w:rPr>
        <w:t>3. POLE 1 : AXE VILLE DE NICE (COMPÉTENCES MUNICIPALES &amp; PROXIMITÉ)</w:t>
      </w:r>
    </w:p>
    <w:p>
      <w:pPr>
        <w:spacing w:before="60" w:after="120" w:line="276" w:lineRule="auto"/>
      </w:pPr>
      <w:r>
        <w:rPr>
          <w:i/>
        </w:rPr>
        <w:t>« L’IA au service de la sécurité des Niçois, du cadre de vie et du soutien à nos séniors »</w:t>
      </w:r>
    </w:p>
    <w:p>
      <w:pPr>
        <w:keepNext/>
        <w:spacing w:before="280" w:after="120"/>
      </w:pPr>
      <w:r>
        <w:rPr>
          <w:rFonts w:ascii="Arial" w:hAnsi="Arial"/>
          <w:b/>
          <w:color w:val="0F172A"/>
          <w:sz w:val="22"/>
        </w:rPr>
        <w:t>1. Vidéoprotection CSU &amp; Police Municipale Augmentée</w:t>
      </w:r>
    </w:p>
    <w:p>
      <w:pPr>
        <w:keepNext/>
        <w:spacing w:before="280" w:after="120"/>
      </w:pPr>
      <w:r>
        <w:t>📊 Justification du Chiffre : -65 % d'incivilités &amp; Dégradations de l'espace public</w:t>
      </w:r>
    </w:p>
    <w:p>
      <w:pPr>
        <w:pStyle w:val="ListBullet"/>
        <w:spacing w:before="40" w:after="40"/>
      </w:pPr>
      <w:r>
        <w:rPr>
          <w:b/>
          <w:color w:val="0F172A"/>
        </w:rPr>
        <w:t>D'où vient cette métrique ?</w:t>
      </w:r>
    </w:p>
    <w:p>
      <w:pPr>
        <w:spacing w:before="60" w:after="120" w:line="276" w:lineRule="auto"/>
      </w:pPr>
      <w:r>
        <w:rPr>
          <w:color w:val="1E293B"/>
        </w:rPr>
        <w:t>Le Centre de Supervision Urbain (CSU) de Nice gère plus de 4 300 caméras. Les études en ergonomie visuelle démontrent qu'un opérateur humain manquant 70 % des événements suspects après 20 minutes d'attention continue devant un mur d'écrans, la vidéosurveillance classique reste principalement réactive (analyse a posteriori).</w:t>
      </w:r>
    </w:p>
    <w:p>
      <w:pPr>
        <w:pStyle w:val="ListBullet"/>
        <w:spacing w:before="40" w:after="40"/>
      </w:pPr>
      <w:r>
        <w:rPr>
          <w:b/>
          <w:color w:val="0F172A"/>
        </w:rPr>
        <w:t>Le modèle appliqué</w:t>
      </w:r>
      <w:r>
        <w:rPr>
          <w:color w:val="1E293B"/>
        </w:rPr>
        <w:t xml:space="preserve"> : L'intégration d'algorithmes de Vidéosurveillance Algorithmique (VSA) basée sur l'IA transforme la vision passive en alerte prédictive en temps réel. L'IA détecte automatiquement :</w:t>
      </w:r>
    </w:p>
    <w:p>
      <w:pPr>
        <w:pStyle w:val="ListBullet"/>
        <w:spacing w:before="40" w:after="40"/>
      </w:pPr>
      <w:r>
        <w:rPr>
          <w:color w:val="1E293B"/>
        </w:rPr>
        <w:t>Les dépôts sauvages d'encombrants et détritus sur la voie publique,</w:t>
      </w:r>
    </w:p>
    <w:p>
      <w:pPr>
        <w:pStyle w:val="ListBullet"/>
        <w:spacing w:before="40" w:after="40"/>
      </w:pPr>
      <w:r>
        <w:rPr>
          <w:color w:val="1E293B"/>
        </w:rPr>
        <w:t>Les dégradations matérielles, tags et actes de vandalisme,</w:t>
      </w:r>
    </w:p>
    <w:p>
      <w:pPr>
        <w:pStyle w:val="ListBullet"/>
        <w:spacing w:before="40" w:after="40"/>
      </w:pPr>
      <w:r>
        <w:rPr>
          <w:color w:val="1E293B"/>
        </w:rPr>
        <w:t>Les intrusions, contre-sens routiers et attroupements suspects.</w:t>
      </w:r>
    </w:p>
    <w:p>
      <w:pPr>
        <w:pStyle w:val="ListBullet"/>
        <w:spacing w:before="40" w:after="40"/>
      </w:pPr>
      <w:r>
        <w:rPr>
          <w:b/>
          <w:color w:val="0F172A"/>
        </w:rPr>
        <w:t>Exemple concret d'intervention</w:t>
      </w:r>
      <w:r>
        <w:rPr>
          <w:color w:val="1E293B"/>
        </w:rPr>
        <w:t xml:space="preserve"> :</w:t>
      </w:r>
    </w:p>
    <w:p>
      <w:pPr>
        <w:spacing w:before="60" w:after="120" w:line="276" w:lineRule="auto"/>
      </w:pPr>
      <w:r>
        <w:rPr>
          <w:color w:val="1E293B"/>
        </w:rPr>
        <w:t xml:space="preserve">Lorsqu'un individu dépose sauvagement des encombrants à 2h du matin rue de France, la caméra VSA identifie le comportement en 3 secondes et envoie une alerte ciblée à la patrouille de la Police Municipale la plus proche. Le délai d'intervention passe de </w:t>
      </w:r>
      <w:r>
        <w:rPr>
          <w:b/>
          <w:color w:val="0F172A"/>
        </w:rPr>
        <w:t>45 minutes à moins de 6 minutes</w:t>
      </w:r>
      <w:r>
        <w:rPr>
          <w:color w:val="1E293B"/>
        </w:rPr>
        <w:t>. L'interpellation ou la verbalisation automatique immédiate supprime le sentiment d'impunité.</w:t>
      </w:r>
    </w:p>
    <w:p>
      <w:pPr>
        <w:pStyle w:val="ListBullet"/>
        <w:spacing w:before="40" w:after="40"/>
      </w:pPr>
      <w:r>
        <w:rPr>
          <w:b/>
          <w:color w:val="0F172A"/>
        </w:rPr>
        <w:t>Résultat mesuré</w:t>
      </w:r>
      <w:r>
        <w:rPr>
          <w:color w:val="1E293B"/>
        </w:rPr>
        <w:t xml:space="preserve"> : Sur les zones urbaines sous supervision VSA constante (benchmarks de métropoles européennes pilotes), cette réactivité systématique produit une </w:t>
      </w:r>
      <w:r>
        <w:rPr>
          <w:b/>
          <w:color w:val="0F172A"/>
        </w:rPr>
        <w:t>baisse mesurée de 65 % des incivilités récurrentes sous 12 mois</w:t>
      </w:r>
      <w:r>
        <w:rPr>
          <w:color w:val="1E293B"/>
        </w:rPr>
        <w:t>.</w:t>
      </w:r>
    </w:p>
    <w:p>
      <w:pPr>
        <w:pStyle w:val="ListBullet"/>
        <w:spacing w:before="40" w:after="40"/>
      </w:pPr>
      <w:r>
        <w:rPr>
          <w:b/>
          <w:color w:val="0F172A"/>
        </w:rPr>
        <w:t>Moins d'écrans, plus de Policiers dans la rue</w:t>
      </w:r>
      <w:r>
        <w:rPr>
          <w:color w:val="1E293B"/>
        </w:rPr>
        <w:t xml:space="preserve"> : L'IA filtrant 99 % des fausses alertes, les agents municipaux ne sont plus immobilisés derrière des écrans mais redéployés sur le terrain.</w:t>
      </w:r>
    </w:p>
    <w:p>
      <w:pPr>
        <w:pStyle w:val="ListBullet"/>
        <w:spacing w:before="40" w:after="40"/>
      </w:pPr>
      <w:r>
        <w:rPr>
          <w:b/>
          <w:color w:val="0F172A"/>
        </w:rPr>
        <w:t>Conformité juridique irréprochable</w:t>
      </w:r>
      <w:r>
        <w:rPr>
          <w:color w:val="1E293B"/>
        </w:rPr>
        <w:t xml:space="preserve"> : Respect strict du RGPD et du Règlement UE 2024/1689 (AI Act) — </w:t>
      </w:r>
      <w:r>
        <w:rPr>
          <w:b/>
          <w:color w:val="0F172A"/>
        </w:rPr>
        <w:t>aucune reconnaissance faciale ni identification biométrique</w:t>
      </w:r>
      <w:r>
        <w:rPr>
          <w:color w:val="1E293B"/>
        </w:rPr>
        <w:t>.</w:t>
      </w:r>
    </w:p>
    <w:p>
      <w:pPr>
        <w:keepNext/>
        <w:spacing w:before="280" w:after="120"/>
      </w:pPr>
      <w:r>
        <w:rPr>
          <w:rFonts w:ascii="Arial" w:hAnsi="Arial"/>
          <w:b/>
          <w:color w:val="0F172A"/>
          <w:sz w:val="22"/>
        </w:rPr>
        <w:t>2. Services aux Usagers &amp; Électeurs Niçois (« Allo Niçois Séniors IA »)</w:t>
      </w:r>
    </w:p>
    <w:p>
      <w:pPr>
        <w:pStyle w:val="ListBullet"/>
        <w:spacing w:before="40" w:after="40"/>
      </w:pPr>
      <w:r>
        <w:rPr>
          <w:b/>
          <w:color w:val="0F172A"/>
        </w:rPr>
        <w:t>Voicebot Vocal Inclusif 24/7</w:t>
      </w:r>
      <w:r>
        <w:rPr>
          <w:color w:val="1E293B"/>
        </w:rPr>
        <w:t xml:space="preserve"> : 1 Niçois sur 3 a plus de 60 ans. Un numéro gratuit municipal permet un échange fluide en langage naturel (sans ordinateur ni smartphone).</w:t>
      </w:r>
    </w:p>
    <w:p>
      <w:pPr>
        <w:pStyle w:val="ListBullet"/>
        <w:spacing w:before="40" w:after="40"/>
      </w:pPr>
      <w:r>
        <w:rPr>
          <w:b/>
          <w:color w:val="0F172A"/>
        </w:rPr>
        <w:t>Prestations gérées</w:t>
      </w:r>
      <w:r>
        <w:rPr>
          <w:color w:val="1E293B"/>
        </w:rPr>
        <w:t xml:space="preserve"> : Prise de rdv prioritaires en mairie, réservation des transports à la demande et des repas à domicile, accompagnement santé/aidants et alertes canicule automatisées.</w:t>
      </w:r>
    </w:p>
    <w:p>
      <w:pPr>
        <w:keepNext/>
        <w:spacing w:before="280" w:after="120"/>
      </w:pPr>
      <w:r>
        <w:rPr>
          <w:rFonts w:ascii="Arial" w:hAnsi="Arial"/>
          <w:b/>
          <w:color w:val="0F172A"/>
          <w:sz w:val="22"/>
        </w:rPr>
        <w:t>3. Propreté Urbaine &amp; Réactivité dans les Quartiers (« Propreté Augmentée »)</w:t>
      </w:r>
    </w:p>
    <w:p>
      <w:pPr>
        <w:pStyle w:val="ListBullet"/>
        <w:spacing w:before="40" w:after="40"/>
      </w:pPr>
      <w:r>
        <w:rPr>
          <w:b/>
          <w:color w:val="0F172A"/>
        </w:rPr>
        <w:t>Signalement instantané par photo</w:t>
      </w:r>
      <w:r>
        <w:rPr>
          <w:color w:val="1E293B"/>
        </w:rPr>
        <w:t xml:space="preserve"> : L'IA identifie et géolocalise la dégradation (dépôt sauvage, encombrant, tag, trou sur chaussée).</w:t>
      </w:r>
    </w:p>
    <w:p>
      <w:pPr>
        <w:pStyle w:val="ListBullet"/>
        <w:spacing w:before="40" w:after="40"/>
      </w:pPr>
      <w:r>
        <w:rPr>
          <w:b/>
          <w:color w:val="0F172A"/>
        </w:rPr>
        <w:t>Dispatching rapide des agents municipaux</w:t>
      </w:r>
      <w:r>
        <w:rPr>
          <w:color w:val="1E293B"/>
        </w:rPr>
        <w:t xml:space="preserve"> : Routage dynamique des équipes de voirie (délai d'intervention ramené de 48h à moins de 6h).</w:t>
      </w:r>
    </w:p>
    <w:p>
      <w:pPr>
        <w:spacing w:before="60" w:after="120" w:line="276" w:lineRule="auto"/>
      </w:pPr>
      <w:r>
        <w:rPr>
          <w:color w:val="1E293B"/>
        </w:rPr>
        <w:t>---</w:t>
      </w:r>
    </w:p>
    <w:p>
      <w:pPr>
        <w:keepNext/>
        <w:spacing w:before="280" w:after="120"/>
      </w:pPr>
      <w:r>
        <w:rPr>
          <w:rFonts w:ascii="Georgia" w:hAnsi="Georgia"/>
          <w:b/>
          <w:color w:val="B89762"/>
          <w:sz w:val="26"/>
        </w:rPr>
        <w:t>4. POLE 2 : AXE MÉTROPOLE NICE CÔTE D'AZUR (COMPÉTENCES MÉTROPOLITAINES &amp; STRUCTURANTES)</w:t>
      </w:r>
    </w:p>
    <w:p>
      <w:pPr>
        <w:keepNext/>
        <w:spacing w:before="280" w:after="120"/>
      </w:pPr>
      <w:r>
        <w:rPr>
          <w:rFonts w:ascii="Arial" w:hAnsi="Arial"/>
          <w:b/>
          <w:color w:val="0F172A"/>
          <w:sz w:val="22"/>
        </w:rPr>
        <w:t>4. Audit IA de la Commande Publique Métropolitaine (*Procurement Analytics*)</w:t>
      </w:r>
    </w:p>
    <w:p>
      <w:pPr>
        <w:keepNext/>
        <w:spacing w:before="280" w:after="120"/>
      </w:pPr>
      <w:r>
        <w:t>📊 Justification du Chiffre : 2,5 M€ à 3,5 M€ / an d'économies nettes certifiées</w:t>
      </w:r>
    </w:p>
    <w:p>
      <w:pPr>
        <w:pStyle w:val="ListBullet"/>
        <w:spacing w:before="40" w:after="40"/>
      </w:pPr>
      <w:r>
        <w:rPr>
          <w:b/>
          <w:color w:val="0F172A"/>
        </w:rPr>
        <w:t>D'où vient cette métrique ?</w:t>
      </w:r>
    </w:p>
    <w:p>
      <w:pPr>
        <w:spacing w:before="60" w:after="120" w:line="276" w:lineRule="auto"/>
      </w:pPr>
      <w:r>
        <w:rPr>
          <w:color w:val="1E293B"/>
        </w:rPr>
        <w:t xml:space="preserve">La Métropole Nice Côte d'Azur gère un volume annuel de commande publique et de dépenses de fonctionnement d'environ </w:t>
      </w:r>
      <w:r>
        <w:rPr>
          <w:b/>
          <w:color w:val="0F172A"/>
        </w:rPr>
        <w:t>300 M€</w:t>
      </w:r>
      <w:r>
        <w:rPr>
          <w:color w:val="1E293B"/>
        </w:rPr>
        <w:t xml:space="preserve"> (marchés de voirie, fournitures, sous-traitance, prestations de services).</w:t>
      </w:r>
    </w:p>
    <w:p>
      <w:pPr>
        <w:pStyle w:val="ListBullet"/>
        <w:spacing w:before="40" w:after="40"/>
      </w:pPr>
      <w:r>
        <w:rPr>
          <w:b/>
          <w:color w:val="0F172A"/>
        </w:rPr>
        <w:t>Le modèle appliqué &amp; Benchmarks officiels</w:t>
      </w:r>
      <w:r>
        <w:rPr>
          <w:color w:val="1E293B"/>
        </w:rPr>
        <w:t xml:space="preserve"> :</w:t>
      </w:r>
    </w:p>
    <w:p>
      <w:pPr>
        <w:spacing w:before="60" w:after="120" w:line="276" w:lineRule="auto"/>
      </w:pPr>
      <w:r>
        <w:rPr>
          <w:color w:val="1E293B"/>
        </w:rPr>
        <w:t>Selon les données comparatives de la Direction Générale des Finances Publiques (DGFiP) et les audits logiciels spécialisés dans le secteur public (</w:t>
      </w:r>
      <w:r>
        <w:rPr>
          <w:i/>
        </w:rPr>
        <w:t>SpendGuard, Coupa, Medius AP Automation</w:t>
      </w:r>
      <w:r>
        <w:rPr>
          <w:color w:val="1E293B"/>
        </w:rPr>
        <w:t xml:space="preserve">), l'analyse sémantique automatique par IA révèle systématiquement entre </w:t>
      </w:r>
      <w:r>
        <w:rPr>
          <w:b/>
          <w:color w:val="0F172A"/>
        </w:rPr>
        <w:t>0,5 % et 2,0 % d'erreurs et de surcoûts récurrents</w:t>
      </w:r>
      <w:r>
        <w:rPr>
          <w:color w:val="1E293B"/>
        </w:rPr>
        <w:t xml:space="preserve"> :</w:t>
      </w:r>
    </w:p>
    <w:p>
      <w:pPr>
        <w:pStyle w:val="ListBullet"/>
        <w:spacing w:before="40" w:after="40"/>
      </w:pPr>
      <w:r>
        <w:rPr>
          <w:color w:val="1E293B"/>
        </w:rPr>
        <w:t>Doublons de paiement de factures (variations mineures d'orthographe ou de dates),</w:t>
      </w:r>
    </w:p>
    <w:p>
      <w:pPr>
        <w:pStyle w:val="ListBullet"/>
        <w:spacing w:before="40" w:after="40"/>
      </w:pPr>
      <w:r>
        <w:rPr>
          <w:color w:val="1E293B"/>
        </w:rPr>
        <w:t>Non-conformités des prix facturés par rapport aux Bordereaux de Prix Unitaires (BPU) des marchés cadres,</w:t>
      </w:r>
    </w:p>
    <w:p>
      <w:pPr>
        <w:pStyle w:val="ListBullet"/>
        <w:spacing w:before="40" w:after="40"/>
      </w:pPr>
      <w:r>
        <w:rPr>
          <w:color w:val="1E293B"/>
        </w:rPr>
        <w:t>Facturation de prestations non exécutées ou surévaluées.</w:t>
      </w:r>
    </w:p>
    <w:p>
      <w:pPr>
        <w:pStyle w:val="ListBullet"/>
        <w:spacing w:before="40" w:after="40"/>
      </w:pPr>
      <w:r>
        <w:rPr>
          <w:b/>
          <w:color w:val="0F172A"/>
        </w:rPr>
        <w:t>Exemple concret d'audit</w:t>
      </w:r>
      <w:r>
        <w:rPr>
          <w:color w:val="1E293B"/>
        </w:rPr>
        <w:t xml:space="preserve"> :</w:t>
      </w:r>
    </w:p>
    <w:p>
      <w:pPr>
        <w:spacing w:before="60" w:after="120" w:line="276" w:lineRule="auto"/>
      </w:pPr>
      <w:r>
        <w:rPr>
          <w:color w:val="1E293B"/>
        </w:rPr>
        <w:t>Sur un marché de réfection de voirie métropolitaine comportant 4 000 lignes de prix BPU, l'IA analyse en quelques secondes 100 % des pièces jointes et factures. Elle détecte qu'un enrobé à chaud a été facturé au tarif de nuit (majoration +35 %) alors que l'horodatage des caméras CSU prouve que le chantier a eu lieu à 14h.</w:t>
      </w:r>
    </w:p>
    <w:p>
      <w:pPr>
        <w:pStyle w:val="ListBullet"/>
        <w:spacing w:before="40" w:after="40"/>
      </w:pPr>
      <w:r>
        <w:rPr>
          <w:b/>
          <w:color w:val="0F172A"/>
        </w:rPr>
        <w:t>Calcul du gain financier net</w:t>
      </w:r>
      <w:r>
        <w:rPr>
          <w:color w:val="1E293B"/>
        </w:rPr>
        <w:t xml:space="preserve"> :</w:t>
      </w:r>
    </w:p>
    <w:p>
      <w:pPr>
        <w:pStyle w:val="ListBullet"/>
        <w:spacing w:before="40" w:after="40"/>
      </w:pPr>
      <w:r>
        <w:rPr>
          <w:color w:val="1E293B"/>
        </w:rPr>
        <w:t>Volume d'achats audité : 300 M€ / an.</w:t>
      </w:r>
    </w:p>
    <w:p>
      <w:pPr>
        <w:pStyle w:val="ListBullet"/>
        <w:spacing w:before="40" w:after="40"/>
      </w:pPr>
      <w:r>
        <w:rPr>
          <w:color w:val="1E293B"/>
        </w:rPr>
        <w:t xml:space="preserve">Taux moyen d'optimisation IA conservateur (1,0 %) : </w:t>
      </w:r>
      <w:r>
        <w:rPr>
          <w:b/>
          <w:color w:val="0F172A"/>
        </w:rPr>
        <w:t>3,00 M€ / an d'économies brutes</w:t>
      </w:r>
      <w:r>
        <w:rPr>
          <w:color w:val="1E293B"/>
        </w:rPr>
        <w:t>.</w:t>
      </w:r>
    </w:p>
    <w:p>
      <w:pPr>
        <w:pStyle w:val="ListBullet"/>
        <w:spacing w:before="40" w:after="40"/>
      </w:pPr>
      <w:r>
        <w:rPr>
          <w:color w:val="1E293B"/>
        </w:rPr>
        <w:t xml:space="preserve">Coût annuel d'exploitation de l'équipe commando IA : </w:t>
      </w:r>
      <w:r>
        <w:rPr>
          <w:b/>
          <w:color w:val="0F172A"/>
        </w:rPr>
        <w:t>-1,15 M€ / an</w:t>
      </w:r>
      <w:r>
        <w:rPr>
          <w:color w:val="1E293B"/>
        </w:rPr>
        <w:t>.</w:t>
      </w:r>
    </w:p>
    <w:p>
      <w:pPr>
        <w:pStyle w:val="ListBullet"/>
        <w:spacing w:before="40" w:after="40"/>
      </w:pPr>
      <w:r>
        <w:rPr>
          <w:b/>
          <w:color w:val="0F172A"/>
        </w:rPr>
        <w:t>BÉNÉFICE NET PUBLIC CERTIFIÉ : +2,50 M€ / AN</w:t>
      </w:r>
      <w:r>
        <w:rPr>
          <w:color w:val="1E293B"/>
        </w:rPr>
        <w:t xml:space="preserve"> réinjectés directement dans les finances métropolitaines.</w:t>
      </w:r>
    </w:p>
    <w:p>
      <w:pPr>
        <w:spacing w:before="60" w:after="120" w:line="276" w:lineRule="auto"/>
      </w:pPr>
      <w:r>
        <w:rPr>
          <w:color w:val="1E293B"/>
        </w:rPr>
        <w:t>---</w:t>
      </w:r>
    </w:p>
    <w:p>
      <w:pPr>
        <w:keepNext/>
        <w:spacing w:before="280" w:after="120"/>
      </w:pPr>
      <w:r>
        <w:rPr>
          <w:rFonts w:ascii="Arial" w:hAnsi="Arial"/>
          <w:b/>
          <w:color w:val="0F172A"/>
          <w:sz w:val="22"/>
        </w:rPr>
        <w:t>5. Bouclier Cybersécurité IA Métropolitain &amp; Protection Contre les Ransomwares</w:t>
      </w:r>
    </w:p>
    <w:p>
      <w:pPr>
        <w:keepNext/>
        <w:spacing w:before="280" w:after="120"/>
      </w:pPr>
      <w:r>
        <w:t>📊 Justification du Chiffre : 1,8 M€ à 3,0 M€ / an de coûts de crise évités (Directive NIS 2)</w:t>
      </w:r>
    </w:p>
    <w:p>
      <w:pPr>
        <w:pStyle w:val="ListBullet"/>
        <w:spacing w:before="40" w:after="40"/>
      </w:pPr>
      <w:r>
        <w:rPr>
          <w:b/>
          <w:color w:val="0F172A"/>
        </w:rPr>
        <w:t>D'où vient cette métrique ?</w:t>
      </w:r>
    </w:p>
    <w:p>
      <w:pPr>
        <w:spacing w:before="60" w:after="120" w:line="276" w:lineRule="auto"/>
      </w:pPr>
      <w:r>
        <w:rPr>
          <w:color w:val="1E293B"/>
        </w:rPr>
        <w:t xml:space="preserve">Les attaques par </w:t>
      </w:r>
      <w:r>
        <w:rPr>
          <w:i/>
        </w:rPr>
        <w:t>ransomware</w:t>
      </w:r>
      <w:r>
        <w:rPr>
          <w:color w:val="1E293B"/>
        </w:rPr>
        <w:t xml:space="preserve"> (rançongiciels) visant les collectivités territoriales françaises se sont multipliées (ex. paralysies majeures subies par la Mairie de Marseille, la Métropole de Lille, la Ville de Caen ou d'Angers).</w:t>
      </w:r>
    </w:p>
    <w:p>
      <w:pPr>
        <w:pStyle w:val="ListBullet"/>
        <w:spacing w:before="40" w:after="40"/>
      </w:pPr>
      <w:r>
        <w:rPr>
          <w:b/>
          <w:color w:val="0F172A"/>
        </w:rPr>
        <w:t>Le modèle d'évaluation financières des risques</w:t>
      </w:r>
      <w:r>
        <w:rPr>
          <w:color w:val="1E293B"/>
        </w:rPr>
        <w:t xml:space="preserve"> :</w:t>
      </w:r>
    </w:p>
    <w:p>
      <w:pPr>
        <w:spacing w:before="60" w:after="120" w:line="276" w:lineRule="auto"/>
      </w:pPr>
      <w:r>
        <w:rPr>
          <w:color w:val="1E293B"/>
        </w:rPr>
        <w:t xml:space="preserve">Le coût moyen direct et indirect d'une cyberattaque réussie paralysant une métropole française s'élève entre </w:t>
      </w:r>
      <w:r>
        <w:rPr>
          <w:b/>
          <w:color w:val="0F172A"/>
        </w:rPr>
        <w:t>2 M€ et 5 M€</w:t>
      </w:r>
      <w:r>
        <w:rPr>
          <w:color w:val="1E293B"/>
        </w:rPr>
        <w:t xml:space="preserve"> :</w:t>
      </w:r>
    </w:p>
    <w:p>
      <w:pPr>
        <w:pStyle w:val="ListBullet"/>
        <w:spacing w:before="40" w:after="40"/>
      </w:pPr>
      <w:r>
        <w:rPr>
          <w:color w:val="1E293B"/>
        </w:rPr>
        <w:t>Reconstruction totale des systèmes d'information et restauration des sauvegardes (800 k€ à 1,5 M€),</w:t>
      </w:r>
    </w:p>
    <w:p>
      <w:pPr>
        <w:pStyle w:val="ListBullet"/>
        <w:spacing w:before="40" w:after="40"/>
      </w:pPr>
      <w:r>
        <w:rPr>
          <w:color w:val="1E293B"/>
        </w:rPr>
        <w:t>Audit d'urgence par des experts certifiés ANSSI et gestion de crise judiciaire (400 k€),</w:t>
      </w:r>
    </w:p>
    <w:p>
      <w:pPr>
        <w:pStyle w:val="ListBullet"/>
        <w:spacing w:before="40" w:after="40"/>
      </w:pPr>
      <w:r>
        <w:rPr>
          <w:color w:val="1E293B"/>
        </w:rPr>
        <w:t>Paralysie opérationnelle des agents et indisponibilité des services de l'état civil et de la comptabilité pendant 3 à 6 semaines (1 M€ à 2 M€).</w:t>
      </w:r>
    </w:p>
    <w:p>
      <w:pPr>
        <w:pStyle w:val="ListBullet"/>
        <w:spacing w:before="40" w:after="40"/>
      </w:pPr>
      <w:r>
        <w:rPr>
          <w:b/>
          <w:color w:val="0F172A"/>
        </w:rPr>
        <w:t>La solution Bouclier Cyber-IA Nice</w:t>
      </w:r>
      <w:r>
        <w:rPr>
          <w:color w:val="1E293B"/>
        </w:rPr>
        <w:t xml:space="preserve"> :</w:t>
      </w:r>
    </w:p>
    <w:p>
      <w:pPr>
        <w:pStyle w:val="ListBullet"/>
        <w:spacing w:before="40" w:after="40"/>
      </w:pPr>
      <w:r>
        <w:rPr>
          <w:b/>
          <w:color w:val="0F172A"/>
        </w:rPr>
        <w:t>SOC IA Métropolitain 24/7</w:t>
      </w:r>
      <w:r>
        <w:rPr>
          <w:color w:val="1E293B"/>
        </w:rPr>
        <w:t xml:space="preserve"> : Déploiement d'agents IA autonomes de surveillance réseau détectant en temps réel les tentatives d'exfiltration et d'intrusion.</w:t>
      </w:r>
    </w:p>
    <w:p>
      <w:pPr>
        <w:pStyle w:val="ListBullet"/>
        <w:spacing w:before="40" w:after="40"/>
      </w:pPr>
      <w:r>
        <w:rPr>
          <w:b/>
          <w:color w:val="0F172A"/>
        </w:rPr>
        <w:t>Interdiction du Shadow AI</w:t>
      </w:r>
      <w:r>
        <w:rPr>
          <w:color w:val="1E293B"/>
        </w:rPr>
        <w:t xml:space="preserve"> : Blocage des outils IA grand public non sécurisés risquant de fuiter des données confidentielles et mise à disposition d'un environnement IA souverain local.</w:t>
      </w:r>
    </w:p>
    <w:p>
      <w:pPr>
        <w:pStyle w:val="ListBullet"/>
        <w:spacing w:before="40" w:after="40"/>
      </w:pPr>
      <w:r>
        <w:rPr>
          <w:b/>
          <w:color w:val="0F172A"/>
        </w:rPr>
        <w:t>Partitionnement CSU (*Air-Gap*)</w:t>
      </w:r>
      <w:r>
        <w:rPr>
          <w:color w:val="1E293B"/>
        </w:rPr>
        <w:t xml:space="preserve"> : Isolation logique totale du réseau des 4 300 caméras pour empêcher toute prise de contrôle à distance du réseau de vidéoprotection.</w:t>
      </w:r>
    </w:p>
    <w:p>
      <w:pPr>
        <w:pStyle w:val="ListBullet"/>
        <w:spacing w:before="40" w:after="40"/>
      </w:pPr>
      <w:r>
        <w:rPr>
          <w:b/>
          <w:color w:val="0F172A"/>
        </w:rPr>
        <w:t>Bénéfice financier</w:t>
      </w:r>
      <w:r>
        <w:rPr>
          <w:color w:val="1E293B"/>
        </w:rPr>
        <w:t xml:space="preserve"> : Éviter une seule crise cyber majeure tous les 18 mois représente une </w:t>
      </w:r>
      <w:r>
        <w:rPr>
          <w:b/>
          <w:color w:val="0F172A"/>
        </w:rPr>
        <w:t>économie de crise évité de 1,8 M€ à 3,0 M€ par an</w:t>
      </w:r>
      <w:r>
        <w:rPr>
          <w:color w:val="1E293B"/>
        </w:rPr>
        <w:t>.</w:t>
      </w:r>
    </w:p>
    <w:p>
      <w:pPr>
        <w:spacing w:before="60" w:after="120" w:line="276" w:lineRule="auto"/>
      </w:pPr>
      <w:r>
        <w:rPr>
          <w:color w:val="1E293B"/>
        </w:rPr>
        <w:t>---</w:t>
      </w:r>
    </w:p>
    <w:p>
      <w:pPr>
        <w:keepNext/>
        <w:spacing w:before="280" w:after="120"/>
      </w:pPr>
      <w:r>
        <w:rPr>
          <w:rFonts w:ascii="Arial" w:hAnsi="Arial"/>
          <w:b/>
          <w:color w:val="0F172A"/>
          <w:sz w:val="22"/>
        </w:rPr>
        <w:t>6. Mobilités Pendulaires &amp; Flux Nice-Monaco (45 000+ usagers/jour)</w:t>
      </w:r>
    </w:p>
    <w:p>
      <w:pPr>
        <w:keepNext/>
        <w:spacing w:before="280" w:after="120"/>
      </w:pPr>
      <w:r>
        <w:t>📊 Justification : Régulation intelligente et fluidification intermodale</w:t>
      </w:r>
    </w:p>
    <w:p>
      <w:pPr>
        <w:pStyle w:val="ListBullet"/>
        <w:spacing w:before="40" w:after="40"/>
      </w:pPr>
      <w:r>
        <w:rPr>
          <w:b/>
          <w:color w:val="0F172A"/>
        </w:rPr>
        <w:t>D'où vient cette métrique ?</w:t>
      </w:r>
    </w:p>
    <w:p>
      <w:pPr>
        <w:spacing w:before="60" w:after="120" w:line="276" w:lineRule="auto"/>
      </w:pPr>
      <w:r>
        <w:rPr>
          <w:color w:val="1E293B"/>
        </w:rPr>
        <w:t>Chaque jour, plus de 45 000 salariés effectuent la navette entre Nice (bassin de résidence principal) et Monaco (pôle d'emploi). La saturation des axes routiers (A8 et corniches) pénalise l'attractivité économique et pèse sur l'empreinte carbone métropolitaine.</w:t>
      </w:r>
    </w:p>
    <w:p>
      <w:pPr>
        <w:pStyle w:val="ListBullet"/>
        <w:spacing w:before="40" w:after="40"/>
      </w:pPr>
      <w:r>
        <w:rPr>
          <w:b/>
          <w:color w:val="0F172A"/>
        </w:rPr>
        <w:t>Exemple concret d'optimisation IA</w:t>
      </w:r>
      <w:r>
        <w:rPr>
          <w:color w:val="1E293B"/>
        </w:rPr>
        <w:t xml:space="preserve"> :</w:t>
      </w:r>
    </w:p>
    <w:p>
      <w:pPr>
        <w:spacing w:before="60" w:after="120" w:line="276" w:lineRule="auto"/>
      </w:pPr>
      <w:r>
        <w:rPr>
          <w:color w:val="1E293B"/>
        </w:rPr>
        <w:t>Mise en place d'un jumeau numérique 3D interopérable croisant en temps réel les flux vidéo du CSU niçois, les capteurs IoT d'Extended Monaco, les flux de trafic routier et les grilles ferroviaires. L'IA adapte de manière dynamique les feux d'accès et propose des recommandations intermodales personnalisées via les panneaux et applications en fonction de la congestion constatée.</w:t>
      </w:r>
    </w:p>
    <w:p>
      <w:pPr>
        <w:pStyle w:val="ListBullet"/>
        <w:spacing w:before="40" w:after="40"/>
      </w:pPr>
      <w:r>
        <w:rPr>
          <w:b/>
          <w:color w:val="0F172A"/>
        </w:rPr>
        <w:t>Liaison avec les gains</w:t>
      </w:r>
      <w:r>
        <w:rPr>
          <w:color w:val="1E293B"/>
        </w:rPr>
        <w:t xml:space="preserve"> : En fluidifiant la liaison, la métropole réduit le coût de congestion estimé pour les entreprises locales, améliore la ponctualité des agents et optimise l'usage des transports en commun.</w:t>
      </w:r>
    </w:p>
    <w:p>
      <w:pPr>
        <w:spacing w:before="60" w:after="120" w:line="276" w:lineRule="auto"/>
      </w:pPr>
      <w:r>
        <w:rPr>
          <w:color w:val="1E293B"/>
        </w:rPr>
        <w:t>---</w:t>
      </w:r>
    </w:p>
    <w:p>
      <w:pPr>
        <w:keepNext/>
        <w:spacing w:before="280" w:after="120"/>
      </w:pPr>
      <w:r>
        <w:rPr>
          <w:rFonts w:ascii="Arial" w:hAnsi="Arial"/>
          <w:b/>
          <w:color w:val="0F172A"/>
          <w:sz w:val="22"/>
        </w:rPr>
        <w:t>7. Migration SI Métropolitain vers Monaco Cloud &amp; Réduction Budgétaire IT</w:t>
      </w:r>
    </w:p>
    <w:p>
      <w:pPr>
        <w:keepNext/>
        <w:spacing w:before="280" w:after="120"/>
      </w:pPr>
      <w:r>
        <w:t>📊 Justification du Chiffre : 1,5 M€ à 2,8 M€ / an d'économies de fonctionnement IT (OPEX) + 8 à 12 M€ d'investissement évités (CAPEX)</w:t>
      </w:r>
    </w:p>
    <w:p>
      <w:pPr>
        <w:pStyle w:val="ListBullet"/>
        <w:spacing w:before="40" w:after="40"/>
      </w:pPr>
      <w:r>
        <w:rPr>
          <w:b/>
          <w:color w:val="0F172A"/>
        </w:rPr>
        <w:t>D'où vient cette métrique ?</w:t>
      </w:r>
    </w:p>
    <w:p>
      <w:pPr>
        <w:spacing w:before="60" w:after="120" w:line="276" w:lineRule="auto"/>
      </w:pPr>
      <w:r>
        <w:rPr>
          <w:color w:val="1E293B"/>
        </w:rPr>
        <w:t>La Ville de Nice et la Métropole Nice Côte d'Azur supportent des coûts élevés d'exploitation, de maintenance et d'énergie pour leurs serveurs et datacenters locaux obsolètes, à quoi s'ajoute le besoin d'investir dans une infrastructure moderne conforme à la directive européenne NIS 2.</w:t>
      </w:r>
    </w:p>
    <w:p>
      <w:pPr>
        <w:pStyle w:val="ListBullet"/>
        <w:spacing w:before="40" w:after="40"/>
      </w:pPr>
      <w:r>
        <w:rPr>
          <w:b/>
          <w:color w:val="0F172A"/>
        </w:rPr>
        <w:t>Le modèle de migration souveraine &amp; Cas d'écoles prouvés</w:t>
      </w:r>
      <w:r>
        <w:rPr>
          <w:color w:val="1E293B"/>
        </w:rPr>
        <w:t xml:space="preserve"> :</w:t>
      </w:r>
    </w:p>
    <w:p>
      <w:pPr>
        <w:pStyle w:val="ListNumber"/>
        <w:spacing w:before="40" w:after="40"/>
      </w:pPr>
      <w:r>
        <w:rPr>
          <w:b/>
          <w:color w:val="0F172A"/>
        </w:rPr>
        <w:t>Cas d'école 1 — Rennes Métropole (2021) — Mutualisation &amp; Cloud</w:t>
      </w:r>
      <w:r>
        <w:rPr>
          <w:color w:val="1E293B"/>
        </w:rPr>
        <w:t xml:space="preserve"> : Rennes Métropole a migré et mutualisé le système d'information de ses 26 communes membres. Résultat constaté : </w:t>
      </w:r>
      <w:r>
        <w:rPr>
          <w:b/>
          <w:color w:val="0F172A"/>
        </w:rPr>
        <w:t>-38 % des coûts directs d'hébergement</w:t>
      </w:r>
      <w:r>
        <w:rPr>
          <w:color w:val="1E293B"/>
        </w:rPr>
        <w:t xml:space="preserve"> et une amélioration de </w:t>
      </w:r>
      <w:r>
        <w:rPr>
          <w:b/>
          <w:color w:val="0F172A"/>
        </w:rPr>
        <w:t>+45 % de la disponibilité des services</w:t>
      </w:r>
      <w:r>
        <w:rPr>
          <w:color w:val="1E293B"/>
        </w:rPr>
        <w:t xml:space="preserve">. Économie nette : </w:t>
      </w:r>
      <w:r>
        <w:rPr>
          <w:b/>
          <w:color w:val="0F172A"/>
        </w:rPr>
        <w:t>~1,1 M€/an</w:t>
      </w:r>
      <w:r>
        <w:rPr>
          <w:color w:val="1E293B"/>
        </w:rPr>
        <w:t xml:space="preserve"> pour un bassin de 220 000 habitants.</w:t>
      </w:r>
    </w:p>
    <w:p>
      <w:pPr>
        <w:pStyle w:val="ListBullet"/>
        <w:spacing w:before="40" w:after="40"/>
      </w:pPr>
      <w:r>
        <w:rPr>
          <w:i/>
        </w:rPr>
        <w:t>Transposition Nice</w:t>
      </w:r>
      <w:r>
        <w:rPr>
          <w:color w:val="1E293B"/>
        </w:rPr>
        <w:t xml:space="preserve"> : Pour la Métropole NCÀ (550 000 habitants), l'optimisation par la mutualisation cloud est estimée à </w:t>
      </w:r>
      <w:r>
        <w:rPr>
          <w:b/>
          <w:color w:val="0F172A"/>
        </w:rPr>
        <w:t>~2,7 M€/an</w:t>
      </w:r>
      <w:r>
        <w:rPr>
          <w:color w:val="1E293B"/>
        </w:rPr>
        <w:t>.</w:t>
      </w:r>
    </w:p>
    <w:p>
      <w:pPr>
        <w:pStyle w:val="ListNumber"/>
        <w:spacing w:before="40" w:after="40"/>
      </w:pPr>
      <w:r>
        <w:rPr>
          <w:b/>
          <w:color w:val="0F172A"/>
        </w:rPr>
        <w:t>Cas d'école 2 — Grand Lyon et Bordeaux Métropole — Optimisation Licences &amp; Cloud Hybride</w:t>
      </w:r>
      <w:r>
        <w:rPr>
          <w:color w:val="1E293B"/>
        </w:rPr>
        <w:t xml:space="preserve"> : Le passage à un modèle SaaS/IaaS hybride mutualisé a permis à Bordeaux Métropole de générer une </w:t>
      </w:r>
      <w:r>
        <w:rPr>
          <w:b/>
          <w:color w:val="0F172A"/>
        </w:rPr>
        <w:t>économie récurrente de 900 k€/an</w:t>
      </w:r>
      <w:r>
        <w:rPr>
          <w:color w:val="1E293B"/>
        </w:rPr>
        <w:t xml:space="preserve"> (sur un parc de 8 000 agents) grâce à la fin de la maintenance sur site et la réduction du shadow IT.</w:t>
      </w:r>
    </w:p>
    <w:p>
      <w:pPr>
        <w:pStyle w:val="ListBullet"/>
        <w:spacing w:before="40" w:after="40"/>
      </w:pPr>
      <w:r>
        <w:rPr>
          <w:i/>
        </w:rPr>
        <w:t>Transposition Nice</w:t>
      </w:r>
      <w:r>
        <w:rPr>
          <w:color w:val="1E293B"/>
        </w:rPr>
        <w:t xml:space="preserve"> : Avec un effectif combiné de 14 000 agents (Ville + Métropole), l'économie potentielle sur les licences et l'administration s'élève à </w:t>
      </w:r>
      <w:r>
        <w:rPr>
          <w:b/>
          <w:color w:val="0F172A"/>
        </w:rPr>
        <w:t>~1,6 M€/an</w:t>
      </w:r>
      <w:r>
        <w:rPr>
          <w:color w:val="1E293B"/>
        </w:rPr>
        <w:t>.</w:t>
      </w:r>
    </w:p>
    <w:p>
      <w:pPr>
        <w:pStyle w:val="ListNumber"/>
        <w:spacing w:before="40" w:after="40"/>
      </w:pPr>
      <w:r>
        <w:rPr>
          <w:b/>
          <w:color w:val="0F172A"/>
        </w:rPr>
        <w:t>Cas d'école 3 — Monaco Cloud (Souveraineté &amp; Zéro CAPEX Datacenter)</w:t>
      </w:r>
      <w:r>
        <w:rPr>
          <w:color w:val="1E293B"/>
        </w:rPr>
        <w:t xml:space="preserve"> : En migrant l'infrastructure critique vers le Monaco Cloud (1er cloud d'État européen hautement sécurisé sous norme AMSN, HDS et ISO 27001), Nice s'affranchit de la nécessité de construire un nouveau datacenter souverain en propre.</w:t>
      </w:r>
    </w:p>
    <w:p>
      <w:pPr>
        <w:pStyle w:val="ListBullet"/>
        <w:spacing w:before="40" w:after="40"/>
      </w:pPr>
      <w:r>
        <w:rPr>
          <w:i/>
        </w:rPr>
        <w:t>CAPEX Évité</w:t>
      </w:r>
      <w:r>
        <w:rPr>
          <w:color w:val="1E293B"/>
        </w:rPr>
        <w:t xml:space="preserve"> : Évite un investissement initial estimé entre </w:t>
      </w:r>
      <w:r>
        <w:rPr>
          <w:b/>
          <w:color w:val="0F172A"/>
        </w:rPr>
        <w:t>8,0 M€ et 12,0 M€</w:t>
      </w:r>
      <w:r>
        <w:rPr>
          <w:color w:val="1E293B"/>
        </w:rPr>
        <w:t>.</w:t>
      </w:r>
    </w:p>
    <w:p>
      <w:pPr>
        <w:pStyle w:val="ListBullet"/>
        <w:spacing w:before="40" w:after="40"/>
      </w:pPr>
      <w:r>
        <w:rPr>
          <w:i/>
        </w:rPr>
        <w:t>OPEX Évité</w:t>
      </w:r>
      <w:r>
        <w:rPr>
          <w:color w:val="1E293B"/>
        </w:rPr>
        <w:t xml:space="preserve"> : Évite </w:t>
      </w:r>
      <w:r>
        <w:rPr>
          <w:b/>
          <w:color w:val="0F172A"/>
        </w:rPr>
        <w:t>1,2 M€ à 1,8 M€/an</w:t>
      </w:r>
      <w:r>
        <w:rPr>
          <w:color w:val="1E293B"/>
        </w:rPr>
        <w:t xml:space="preserve"> de coûts d'énergie, de sécurité physique et de maintenance technique de site.</w:t>
      </w:r>
    </w:p>
    <w:p>
      <w:pPr>
        <w:pStyle w:val="ListBullet"/>
        <w:spacing w:before="40" w:after="40"/>
      </w:pPr>
      <w:r>
        <w:rPr>
          <w:b/>
          <w:color w:val="0F172A"/>
        </w:rPr>
        <w:t>Bilan Consolidé de la migration SI</w:t>
      </w:r>
      <w:r>
        <w:rPr>
          <w:color w:val="1E293B"/>
        </w:rPr>
        <w:t xml:space="preserve"> :</w:t>
      </w:r>
    </w:p>
    <w:p>
      <w:pPr>
        <w:pStyle w:val="ListBullet"/>
        <w:spacing w:before="40" w:after="40"/>
      </w:pPr>
      <w:r>
        <w:rPr>
          <w:b/>
          <w:color w:val="0F172A"/>
        </w:rPr>
        <w:t>Économie IT globale</w:t>
      </w:r>
      <w:r>
        <w:rPr>
          <w:color w:val="1E293B"/>
        </w:rPr>
        <w:t xml:space="preserve"> : </w:t>
      </w:r>
      <w:r>
        <w:rPr>
          <w:b/>
          <w:color w:val="0F172A"/>
        </w:rPr>
        <w:t>1,5 M€ à 2,8 M€ / an</w:t>
      </w:r>
      <w:r>
        <w:rPr>
          <w:color w:val="1E293B"/>
        </w:rPr>
        <w:t xml:space="preserve"> récurrents.</w:t>
      </w:r>
    </w:p>
    <w:p>
      <w:pPr>
        <w:pStyle w:val="ListBullet"/>
        <w:spacing w:before="40" w:after="40"/>
      </w:pPr>
      <w:r>
        <w:rPr>
          <w:b/>
          <w:color w:val="0F172A"/>
        </w:rPr>
        <w:t>CAPEX évité</w:t>
      </w:r>
      <w:r>
        <w:rPr>
          <w:color w:val="1E293B"/>
        </w:rPr>
        <w:t xml:space="preserve"> : </w:t>
      </w:r>
      <w:r>
        <w:rPr>
          <w:b/>
          <w:color w:val="0F172A"/>
        </w:rPr>
        <w:t>8 M€ à 12 M€</w:t>
      </w:r>
      <w:r>
        <w:rPr>
          <w:color w:val="1E293B"/>
        </w:rPr>
        <w:t xml:space="preserve"> d'investissements matériels non requis.</w:t>
      </w:r>
    </w:p>
    <w:p>
      <w:pPr>
        <w:pStyle w:val="ListBullet"/>
        <w:spacing w:before="40" w:after="40"/>
      </w:pPr>
      <w:r>
        <w:rPr>
          <w:b/>
          <w:color w:val="0F172A"/>
        </w:rPr>
        <w:t>Guichet unique Zone Franche</w:t>
      </w:r>
      <w:r>
        <w:rPr>
          <w:color w:val="1E293B"/>
        </w:rPr>
        <w:t xml:space="preserve"> : Un protocole binational facilite l'implantation d'entreprises innovantes dans la Plaine du Var avec l'appui des investisseurs privés monégasques (</w:t>
      </w:r>
      <w:r>
        <w:rPr>
          <w:i/>
        </w:rPr>
        <w:t>Extended Monaco</w:t>
      </w:r>
      <w:r>
        <w:rPr>
          <w:color w:val="1E293B"/>
        </w:rPr>
        <w:t xml:space="preserve">), générant </w:t>
      </w:r>
      <w:r>
        <w:rPr>
          <w:b/>
          <w:color w:val="0F172A"/>
        </w:rPr>
        <w:t>1,5 M€ à 2,2 M€/an</w:t>
      </w:r>
      <w:r>
        <w:rPr>
          <w:color w:val="1E293B"/>
        </w:rPr>
        <w:t xml:space="preserve"> de valeur d'attractivité indirecte.</w:t>
      </w:r>
    </w:p>
    <w:p>
      <w:pPr>
        <w:spacing w:before="60" w:after="120" w:line="276" w:lineRule="auto"/>
      </w:pPr>
      <w:r>
        <w:rPr>
          <w:color w:val="1E293B"/>
        </w:rPr>
        <w:t>---</w:t>
      </w:r>
    </w:p>
    <w:p>
      <w:pPr>
        <w:keepNext/>
        <w:spacing w:before="280" w:after="120"/>
      </w:pPr>
      <w:r>
        <w:rPr>
          <w:rFonts w:ascii="Arial" w:hAnsi="Arial"/>
          <w:b/>
          <w:color w:val="0F172A"/>
          <w:sz w:val="22"/>
        </w:rPr>
        <w:t>8. L'Opportunité Majeure : L'Appel d'Offres Européen "AI Gigafactories" (Plan de 30 Md€)</w:t>
      </w:r>
    </w:p>
    <w:p>
      <w:pPr>
        <w:keepNext/>
        <w:spacing w:before="280" w:after="120"/>
      </w:pPr>
      <w:r>
        <w:t>📊 Justification du Chiffre : 500 M€ de subvention de l'UE visés</w:t>
      </w:r>
    </w:p>
    <w:p>
      <w:pPr>
        <w:pStyle w:val="ListBullet"/>
        <w:spacing w:before="40" w:after="40"/>
      </w:pPr>
      <w:r>
        <w:rPr>
          <w:b/>
          <w:color w:val="0F172A"/>
        </w:rPr>
        <w:t>D'où vient cette métrique ?</w:t>
      </w:r>
    </w:p>
    <w:p>
      <w:pPr>
        <w:spacing w:before="60" w:after="120" w:line="276" w:lineRule="auto"/>
      </w:pPr>
      <w:r>
        <w:rPr>
          <w:color w:val="1E293B"/>
        </w:rPr>
        <w:t xml:space="preserve">Le 30 juillet 2026, la Commission européenne a ouvert l'appel d'offres EuroHPC pour créer jusqu'à 7 "AI Gigafactories" sur le continent. Le </w:t>
      </w:r>
      <w:r>
        <w:rPr>
          <w:b/>
          <w:color w:val="0F172A"/>
        </w:rPr>
        <w:t>Lot 1</w:t>
      </w:r>
      <w:r>
        <w:rPr>
          <w:color w:val="1E293B"/>
        </w:rPr>
        <w:t xml:space="preserve"> de cet appel d'offres finance chaque projet retenu à hauteur de </w:t>
      </w:r>
      <w:r>
        <w:rPr>
          <w:b/>
          <w:color w:val="0F172A"/>
        </w:rPr>
        <w:t>500 M€</w:t>
      </w:r>
      <w:r>
        <w:rPr>
          <w:color w:val="1E293B"/>
        </w:rPr>
        <w:t>.</w:t>
      </w:r>
    </w:p>
    <w:p>
      <w:pPr>
        <w:pStyle w:val="ListBullet"/>
        <w:spacing w:before="40" w:after="40"/>
      </w:pPr>
      <w:r>
        <w:rPr>
          <w:b/>
          <w:color w:val="0F172A"/>
        </w:rPr>
        <w:t>Le modèle de co-financement transfrontalier (Consortium Nice-Monaco-3IA)</w:t>
      </w:r>
      <w:r>
        <w:rPr>
          <w:color w:val="1E293B"/>
        </w:rPr>
        <w:t xml:space="preserve"> :</w:t>
      </w:r>
    </w:p>
    <w:p>
      <w:pPr>
        <w:spacing w:before="60" w:after="120" w:line="276" w:lineRule="auto"/>
      </w:pPr>
      <w:r>
        <w:rPr>
          <w:color w:val="1E293B"/>
        </w:rPr>
        <w:t>L'UE exigeant un montage mixte (fonds publics + au moins 20 Md€ de fonds privés), le partenariat avec Monaco prend ici toute sa valeur :</w:t>
      </w:r>
    </w:p>
    <w:p>
      <w:pPr>
        <w:pStyle w:val="ListBullet"/>
        <w:spacing w:before="40" w:after="40"/>
      </w:pPr>
      <w:r>
        <w:rPr>
          <w:b/>
          <w:color w:val="0F172A"/>
        </w:rPr>
        <w:t>500 M€</w:t>
      </w:r>
      <w:r>
        <w:rPr>
          <w:color w:val="1E293B"/>
        </w:rPr>
        <w:t xml:space="preserve"> de subvention européenne (Lot 1),</w:t>
      </w:r>
    </w:p>
    <w:p>
      <w:pPr>
        <w:pStyle w:val="ListBullet"/>
        <w:spacing w:before="40" w:after="40"/>
      </w:pPr>
      <w:r>
        <w:rPr>
          <w:b/>
          <w:color w:val="0F172A"/>
        </w:rPr>
        <w:t>300 M€</w:t>
      </w:r>
      <w:r>
        <w:rPr>
          <w:color w:val="1E293B"/>
        </w:rPr>
        <w:t xml:space="preserve"> de fonds publics complémentaires (apportés par la Principauté de Monaco via son fonds souverain, et par des engagements d'achat de capacités de calcul par la Métropole),</w:t>
      </w:r>
    </w:p>
    <w:p>
      <w:pPr>
        <w:pStyle w:val="ListBullet"/>
        <w:spacing w:before="40" w:after="40"/>
      </w:pPr>
      <w:r>
        <w:rPr>
          <w:b/>
          <w:color w:val="0F172A"/>
        </w:rPr>
        <w:t>700 M€</w:t>
      </w:r>
      <w:r>
        <w:rPr>
          <w:color w:val="1E293B"/>
        </w:rPr>
        <w:t xml:space="preserve"> d'investissements du secteur privé (grands groupes technologiques de Sophia Antipolis, constructeurs de semi-conducteurs comme Nvidia/AMD/Qualcomm, et Venture Capital monégasques).</w:t>
      </w:r>
    </w:p>
    <w:p>
      <w:pPr>
        <w:pStyle w:val="ListBullet"/>
        <w:spacing w:before="40" w:after="40"/>
      </w:pPr>
      <w:r>
        <w:rPr>
          <w:b/>
          <w:color w:val="0F172A"/>
        </w:rPr>
        <w:t>Bénéfice territorial direct</w:t>
      </w:r>
      <w:r>
        <w:rPr>
          <w:color w:val="1E293B"/>
        </w:rPr>
        <w:t xml:space="preserve"> :</w:t>
      </w:r>
    </w:p>
    <w:p>
      <w:pPr>
        <w:spacing w:before="60" w:after="120" w:line="276" w:lineRule="auto"/>
      </w:pPr>
      <w:r>
        <w:rPr>
          <w:color w:val="1E293B"/>
        </w:rPr>
        <w:t xml:space="preserve">Nice implanterait sur la Plaine du Var (Eco-Vallée) un supercalculateur d'IA souverain de </w:t>
      </w:r>
      <w:r>
        <w:rPr>
          <w:b/>
          <w:color w:val="0F172A"/>
        </w:rPr>
        <w:t>100 000 accélérateurs</w:t>
      </w:r>
      <w:r>
        <w:rPr>
          <w:color w:val="1E293B"/>
        </w:rPr>
        <w:t xml:space="preserve">, offrant une puissance de calcul de pointe aux start-ups de Sophia Antipolis et aux services publics (CSU, hôpitaux, administrations), faisant de Nice la </w:t>
      </w:r>
      <w:r>
        <w:rPr>
          <w:b/>
          <w:color w:val="0F172A"/>
        </w:rPr>
        <w:t>capitale européenne de l'IA appliquée</w:t>
      </w:r>
      <w:r>
        <w:rPr>
          <w:color w:val="1E293B"/>
        </w:rPr>
        <w:t>.</w:t>
      </w:r>
    </w:p>
    <w:p>
      <w:pPr>
        <w:spacing w:before="60" w:after="120" w:line="276" w:lineRule="auto"/>
      </w:pPr>
      <w:r>
        <w:rPr>
          <w:color w:val="1E293B"/>
        </w:rPr>
        <w:t>---</w:t>
      </w:r>
    </w:p>
    <w:p>
      <w:pPr>
        <w:keepNext/>
        <w:spacing w:before="280" w:after="120"/>
      </w:pPr>
      <w:r>
        <w:rPr>
          <w:rFonts w:ascii="Georgia" w:hAnsi="Georgia"/>
          <w:b/>
          <w:color w:val="B89762"/>
          <w:sz w:val="26"/>
        </w:rPr>
        <w:t>5. Répartition Budgétaire Commando (500 k€ / an TOTAL)</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pPr>
              <w:spacing w:before="80" w:after="80"/>
            </w:pPr>
            <w:r>
              <w:rPr>
                <w:b/>
                <w:color w:val="D8B98A"/>
                <w:sz w:val="19"/>
              </w:rPr>
              <w:t>Échelle / Axe</w:t>
            </w:r>
          </w:p>
        </w:tc>
        <w:tc>
          <w:tcPr>
            <w:tcW w:type="dxa" w:w="2484"/>
            <w:shd w:fill="0F172A"/>
          </w:tcPr>
          <w:p>
            <w:pPr>
              <w:spacing w:before="80" w:after="80"/>
            </w:pPr>
            <w:r>
              <w:rPr>
                <w:b/>
                <w:color w:val="D8B98A"/>
                <w:sz w:val="19"/>
              </w:rPr>
              <w:t>Budget IA Annuel</w:t>
            </w:r>
          </w:p>
        </w:tc>
        <w:tc>
          <w:tcPr>
            <w:tcW w:type="dxa" w:w="2484"/>
            <w:shd w:fill="0F172A"/>
          </w:tcPr>
          <w:p>
            <w:pPr>
              <w:spacing w:before="80" w:after="80"/>
            </w:pPr>
            <w:r>
              <w:rPr>
                <w:b/>
                <w:color w:val="D8B98A"/>
                <w:sz w:val="19"/>
              </w:rPr>
              <w:t>Co-financement Européen</w:t>
            </w:r>
          </w:p>
        </w:tc>
        <w:tc>
          <w:tcPr>
            <w:tcW w:type="dxa" w:w="2484"/>
            <w:shd w:fill="0F172A"/>
          </w:tcPr>
          <w:p>
            <w:pPr>
              <w:spacing w:before="80" w:after="80"/>
            </w:pPr>
            <w:r>
              <w:rPr>
                <w:b/>
                <w:color w:val="D8B98A"/>
                <w:sz w:val="19"/>
              </w:rPr>
              <w:t>Impact &amp; Gain Généré / an</w:t>
            </w:r>
          </w:p>
        </w:tc>
      </w:tr>
      <w:tr>
        <w:tc>
          <w:tcPr>
            <w:tcW w:type="dxa" w:w="2484"/>
            <w:shd w:fill="F8FAFC"/>
          </w:tcPr>
          <w:p>
            <w:pPr>
              <w:spacing w:before="80" w:after="80"/>
            </w:pPr>
            <w:r>
              <w:rPr>
                <w:b/>
                <w:color w:val="0F172A"/>
                <w:sz w:val="18"/>
              </w:rPr>
              <w:t>AXE VILLE DE NICE</w:t>
            </w:r>
            <w:r>
              <w:rPr>
                <w:color w:val="1E293B"/>
                <w:sz w:val="18"/>
              </w:rPr>
              <w:t xml:space="preserve"> (CSU VSA &amp; Séniors)</w:t>
            </w:r>
          </w:p>
        </w:tc>
        <w:tc>
          <w:tcPr>
            <w:tcW w:type="dxa" w:w="2484"/>
            <w:shd w:fill="F8FAFC"/>
          </w:tcPr>
          <w:p>
            <w:pPr>
              <w:spacing w:before="80" w:after="80"/>
            </w:pPr>
            <w:r>
              <w:rPr>
                <w:b/>
                <w:color w:val="0F172A"/>
                <w:sz w:val="18"/>
              </w:rPr>
              <w:t>100 k€ / an</w:t>
            </w:r>
          </w:p>
        </w:tc>
        <w:tc>
          <w:tcPr>
            <w:tcW w:type="dxa" w:w="2484"/>
            <w:shd w:fill="F8FAFC"/>
          </w:tcPr>
          <w:p>
            <w:pPr>
              <w:spacing w:before="80" w:after="80"/>
            </w:pPr>
            <w:r>
              <w:rPr>
                <w:color w:val="1E293B"/>
                <w:sz w:val="18"/>
              </w:rPr>
              <w:t xml:space="preserve">Co-financé par l'UE </w:t>
            </w:r>
            <w:r>
              <w:rPr>
                <w:i/>
                <w:sz w:val="18"/>
              </w:rPr>
              <w:t>(Digital Europe)</w:t>
            </w:r>
          </w:p>
        </w:tc>
        <w:tc>
          <w:tcPr>
            <w:tcW w:type="dxa" w:w="2484"/>
            <w:shd w:fill="F8FAFC"/>
          </w:tcPr>
          <w:p>
            <w:pPr>
              <w:spacing w:before="80" w:after="80"/>
            </w:pPr>
            <w:r>
              <w:rPr>
                <w:color w:val="1E293B"/>
                <w:sz w:val="18"/>
              </w:rPr>
              <w:t>Incivilités -65 % &amp; Allo Séniors 24/7</w:t>
            </w:r>
          </w:p>
        </w:tc>
      </w:tr>
      <w:tr>
        <w:tc>
          <w:tcPr>
            <w:tcW w:type="dxa" w:w="2484"/>
            <w:shd w:fill="FFFFFF"/>
          </w:tcPr>
          <w:p>
            <w:pPr>
              <w:spacing w:before="80" w:after="80"/>
            </w:pPr>
            <w:r>
              <w:rPr>
                <w:b/>
                <w:color w:val="0F172A"/>
                <w:sz w:val="18"/>
              </w:rPr>
              <w:t>AXE MÉTROPOLE NCÀ</w:t>
            </w:r>
            <w:r>
              <w:rPr>
                <w:color w:val="1E293B"/>
                <w:sz w:val="18"/>
              </w:rPr>
              <w:t xml:space="preserve"> (Audit IA &amp; Cyber NIS 2)</w:t>
            </w:r>
          </w:p>
        </w:tc>
        <w:tc>
          <w:tcPr>
            <w:tcW w:type="dxa" w:w="2484"/>
            <w:shd w:fill="FFFFFF"/>
          </w:tcPr>
          <w:p>
            <w:pPr>
              <w:spacing w:before="80" w:after="80"/>
            </w:pPr>
            <w:r>
              <w:rPr>
                <w:b/>
                <w:color w:val="0F172A"/>
                <w:sz w:val="18"/>
              </w:rPr>
              <w:t>150 k€ / an</w:t>
            </w:r>
          </w:p>
        </w:tc>
        <w:tc>
          <w:tcPr>
            <w:tcW w:type="dxa" w:w="2484"/>
            <w:shd w:fill="FFFFFF"/>
          </w:tcPr>
          <w:p>
            <w:pPr>
              <w:spacing w:before="80" w:after="80"/>
            </w:pPr>
            <w:r>
              <w:rPr>
                <w:color w:val="1E293B"/>
                <w:sz w:val="18"/>
              </w:rPr>
              <w:t xml:space="preserve">Co-financé par l'UE </w:t>
            </w:r>
            <w:r>
              <w:rPr>
                <w:i/>
                <w:sz w:val="18"/>
              </w:rPr>
              <w:t>(Horizon Europe)</w:t>
            </w:r>
          </w:p>
        </w:tc>
        <w:tc>
          <w:tcPr>
            <w:tcW w:type="dxa" w:w="2484"/>
            <w:shd w:fill="FFFFFF"/>
          </w:tcPr>
          <w:p>
            <w:pPr>
              <w:spacing w:before="80" w:after="80"/>
            </w:pPr>
            <w:r>
              <w:rPr>
                <w:b/>
                <w:color w:val="0F172A"/>
                <w:sz w:val="18"/>
              </w:rPr>
              <w:t>+2,50 M€ / an</w:t>
            </w:r>
            <w:r>
              <w:rPr>
                <w:color w:val="1E293B"/>
                <w:sz w:val="18"/>
              </w:rPr>
              <w:t xml:space="preserve"> d'économies nettes</w:t>
            </w:r>
          </w:p>
        </w:tc>
      </w:tr>
      <w:tr>
        <w:tc>
          <w:tcPr>
            <w:tcW w:type="dxa" w:w="2484"/>
            <w:shd w:fill="F8FAFC"/>
          </w:tcPr>
          <w:p>
            <w:pPr>
              <w:spacing w:before="80" w:after="80"/>
            </w:pPr>
            <w:r>
              <w:rPr>
                <w:b/>
                <w:color w:val="0F172A"/>
                <w:sz w:val="18"/>
              </w:rPr>
              <w:t>AXE MONACO ZONE FRANCHE</w:t>
            </w:r>
            <w:r>
              <w:rPr>
                <w:color w:val="1E293B"/>
                <w:sz w:val="18"/>
              </w:rPr>
              <w:t xml:space="preserve"> (Mobilités &amp; Cloud)</w:t>
            </w:r>
          </w:p>
        </w:tc>
        <w:tc>
          <w:tcPr>
            <w:tcW w:type="dxa" w:w="2484"/>
            <w:shd w:fill="F8FAFC"/>
          </w:tcPr>
          <w:p>
            <w:pPr>
              <w:spacing w:before="80" w:after="80"/>
            </w:pPr>
            <w:r>
              <w:rPr>
                <w:b/>
                <w:color w:val="0F172A"/>
                <w:sz w:val="18"/>
              </w:rPr>
              <w:t>250 k€ / an</w:t>
            </w:r>
          </w:p>
        </w:tc>
        <w:tc>
          <w:tcPr>
            <w:tcW w:type="dxa" w:w="2484"/>
            <w:shd w:fill="F8FAFC"/>
          </w:tcPr>
          <w:p>
            <w:pPr>
              <w:spacing w:before="80" w:after="80"/>
            </w:pPr>
            <w:r>
              <w:rPr>
                <w:color w:val="1E293B"/>
                <w:sz w:val="18"/>
              </w:rPr>
              <w:t>Co-financé par l'UE &amp; Monaco</w:t>
            </w:r>
          </w:p>
        </w:tc>
        <w:tc>
          <w:tcPr>
            <w:tcW w:type="dxa" w:w="2484"/>
            <w:shd w:fill="F8FAFC"/>
          </w:tcPr>
          <w:p>
            <w:pPr>
              <w:spacing w:before="80" w:after="80"/>
            </w:pPr>
            <w:r>
              <w:rPr>
                <w:color w:val="1E293B"/>
                <w:sz w:val="18"/>
              </w:rPr>
              <w:t>1,2 M€/an d'infra évitée &amp; Sandbox VC</w:t>
            </w:r>
          </w:p>
        </w:tc>
      </w:tr>
      <w:tr>
        <w:tc>
          <w:tcPr>
            <w:tcW w:type="dxa" w:w="2484"/>
            <w:shd w:fill="FFFFFF"/>
          </w:tcPr>
          <w:p>
            <w:pPr>
              <w:spacing w:before="80" w:after="80"/>
            </w:pPr>
            <w:r>
              <w:rPr>
                <w:b/>
                <w:color w:val="0F172A"/>
                <w:sz w:val="18"/>
              </w:rPr>
              <w:t>TOTAL ANNUEL</w:t>
            </w:r>
          </w:p>
        </w:tc>
        <w:tc>
          <w:tcPr>
            <w:tcW w:type="dxa" w:w="2484"/>
            <w:shd w:fill="FFFFFF"/>
          </w:tcPr>
          <w:p>
            <w:pPr>
              <w:spacing w:before="80" w:after="80"/>
            </w:pPr>
            <w:r>
              <w:rPr>
                <w:b/>
                <w:color w:val="0F172A"/>
                <w:sz w:val="18"/>
              </w:rPr>
              <w:t>500 k€ / AN</w:t>
            </w:r>
          </w:p>
        </w:tc>
        <w:tc>
          <w:tcPr>
            <w:tcW w:type="dxa" w:w="2484"/>
            <w:shd w:fill="FFFFFF"/>
          </w:tcPr>
          <w:p>
            <w:pPr>
              <w:spacing w:before="80" w:after="80"/>
            </w:pPr>
            <w:r>
              <w:rPr>
                <w:b/>
                <w:color w:val="0F172A"/>
                <w:sz w:val="18"/>
              </w:rPr>
              <w:t>Co-financé par l'UE</w:t>
            </w:r>
          </w:p>
        </w:tc>
        <w:tc>
          <w:tcPr>
            <w:tcW w:type="dxa" w:w="2484"/>
            <w:shd w:fill="FFFFFF"/>
          </w:tcPr>
          <w:p>
            <w:pPr>
              <w:spacing w:before="80" w:after="80"/>
            </w:pPr>
            <w:r>
              <w:rPr>
                <w:b/>
                <w:color w:val="0F172A"/>
                <w:sz w:val="18"/>
              </w:rPr>
              <w:t>+2,00 M€ / AN DE BÉNÉFICE NET PUBLIC</w:t>
            </w:r>
          </w:p>
        </w:tc>
      </w:tr>
    </w:tbl>
    <w:p>
      <w:pPr>
        <w:spacing w:after="120"/>
      </w:pPr>
    </w:p>
    <w:p>
      <w:pPr>
        <w:spacing w:before="120" w:after="120"/>
        <w:ind w:left="576"/>
      </w:pPr>
    </w:p>
    <w:p>
      <w:pPr>
        <w:spacing w:before="120" w:after="120"/>
        <w:ind w:left="576"/>
      </w:pPr>
      <w:r>
        <w:rPr>
          <w:b/>
          <w:color w:val="0F172A"/>
        </w:rPr>
        <w:t>Budget IA Frugal &amp; Co-financement Européen</w:t>
      </w:r>
    </w:p>
    <w:p>
      <w:pPr>
        <w:spacing w:before="120" w:after="120"/>
        <w:ind w:left="576"/>
      </w:pPr>
      <w:r>
        <w:rPr>
          <w:color w:val="1E293B"/>
        </w:rPr>
        <w:t xml:space="preserve">- </w:t>
      </w:r>
      <w:r>
        <w:rPr>
          <w:b/>
          <w:color w:val="0F172A"/>
        </w:rPr>
        <w:t>Coût annuel total du Budget IA</w:t>
      </w:r>
      <w:r>
        <w:rPr>
          <w:color w:val="1E293B"/>
        </w:rPr>
        <w:t xml:space="preserve"> : </w:t>
      </w:r>
      <w:r>
        <w:rPr>
          <w:b/>
          <w:color w:val="0F172A"/>
        </w:rPr>
        <w:t>Seulement 500 k€/an</w:t>
      </w:r>
      <w:r>
        <w:rPr>
          <w:color w:val="1E293B"/>
        </w:rPr>
        <w:t xml:space="preserve"> (soit 0,16 % des 300 M€ d'achats publics métropolitains).</w:t>
      </w:r>
    </w:p>
    <w:p>
      <w:pPr>
        <w:spacing w:before="120" w:after="120"/>
        <w:ind w:left="576"/>
      </w:pPr>
      <w:r>
        <w:rPr>
          <w:color w:val="1E293B"/>
        </w:rPr>
        <w:t xml:space="preserve">- </w:t>
      </w:r>
      <w:r>
        <w:rPr>
          <w:b/>
          <w:color w:val="0F172A"/>
        </w:rPr>
        <w:t>Répartition des Budgets IA</w:t>
      </w:r>
      <w:r>
        <w:rPr>
          <w:color w:val="1E293B"/>
        </w:rPr>
        <w:t xml:space="preserve"> : 100 k€ Ville de Nice + 150 k€ Métropole NCÀ + 250 k€ Monaco Zone Franche. Tous ces budgets bénéficient de co-financements européens (</w:t>
      </w:r>
      <w:r>
        <w:rPr>
          <w:i/>
        </w:rPr>
        <w:t>Digital Europe</w:t>
      </w:r>
      <w:r>
        <w:rPr>
          <w:color w:val="1E293B"/>
        </w:rPr>
        <w:t xml:space="preserve">, </w:t>
      </w:r>
      <w:r>
        <w:rPr>
          <w:i/>
        </w:rPr>
        <w:t>Horizon Europe</w:t>
      </w:r>
      <w:r>
        <w:rPr>
          <w:color w:val="1E293B"/>
        </w:rPr>
        <w:t xml:space="preserve">, </w:t>
      </w:r>
      <w:r>
        <w:rPr>
          <w:i/>
        </w:rPr>
        <w:t>FEDER</w:t>
      </w:r>
      <w:r>
        <w:rPr>
          <w:color w:val="1E293B"/>
        </w:rPr>
        <w:t>).</w:t>
      </w:r>
    </w:p>
    <w:p>
      <w:pPr>
        <w:spacing w:before="120" w:after="120"/>
        <w:ind w:left="576"/>
      </w:pPr>
      <w:r>
        <w:rPr>
          <w:color w:val="1E293B"/>
        </w:rPr>
        <w:t xml:space="preserve">- </w:t>
      </w:r>
      <w:r>
        <w:rPr>
          <w:b/>
          <w:color w:val="0F172A"/>
        </w:rPr>
        <w:t>Gains d'audit immédiatement encaissés</w:t>
      </w:r>
      <w:r>
        <w:rPr>
          <w:color w:val="1E293B"/>
        </w:rPr>
        <w:t xml:space="preserve"> : </w:t>
      </w:r>
      <w:r>
        <w:rPr>
          <w:b/>
          <w:color w:val="0F172A"/>
        </w:rPr>
        <w:t>+2,50 M€/an</w:t>
      </w:r>
      <w:r>
        <w:rPr>
          <w:color w:val="1E293B"/>
        </w:rPr>
        <w:t xml:space="preserve"> d'économies brutes certifiées.</w:t>
      </w:r>
    </w:p>
    <w:p>
      <w:pPr>
        <w:spacing w:before="120" w:after="120"/>
        <w:ind w:left="576"/>
      </w:pPr>
      <w:r>
        <w:rPr>
          <w:color w:val="1E293B"/>
        </w:rPr>
        <w:t xml:space="preserve">- </w:t>
      </w:r>
      <w:r>
        <w:rPr>
          <w:b/>
          <w:color w:val="0F172A"/>
        </w:rPr>
        <w:t>Bilan net pour le contribuable niçois</w:t>
      </w:r>
      <w:r>
        <w:rPr>
          <w:color w:val="1E293B"/>
        </w:rPr>
        <w:t xml:space="preserve"> : </w:t>
      </w:r>
      <w:r>
        <w:rPr>
          <w:b/>
          <w:color w:val="0F172A"/>
        </w:rPr>
        <w:t>+2,00 M€ / an réinjectés directement dans les services publics locaux</w:t>
      </w:r>
      <w:r>
        <w:rPr>
          <w:color w:val="1E293B"/>
        </w:rPr>
        <w:t>.</w:t>
      </w:r>
    </w:p>
    <w:p>
      <w:pPr>
        <w:spacing w:before="60" w:after="120" w:line="276" w:lineRule="auto"/>
      </w:pPr>
      <w:r>
        <w:rPr>
          <w:color w:val="1E293B"/>
        </w:rPr>
        <w:t>---</w:t>
      </w:r>
    </w:p>
    <w:p>
      <w:pPr>
        <w:keepNext/>
        <w:spacing w:before="280" w:after="120"/>
      </w:pPr>
      <w:r>
        <w:rPr>
          <w:rFonts w:ascii="Georgia" w:hAnsi="Georgia"/>
          <w:b/>
          <w:color w:val="B89762"/>
          <w:sz w:val="26"/>
        </w:rPr>
        <w:t>6. Feuille de Route Opérationnelle (100 Jours - 12 Mois - 36 Mois)</w:t>
      </w:r>
    </w:p>
    <w:p>
      <w:pPr>
        <w:keepNext/>
        <w:spacing w:before="280" w:after="120"/>
      </w:pPr>
      <w:r>
        <w:rPr>
          <w:rFonts w:ascii="Arial" w:hAnsi="Arial"/>
          <w:b/>
          <w:color w:val="0F172A"/>
          <w:sz w:val="22"/>
        </w:rPr>
        <w:t>Échéances clés</w:t>
      </w:r>
    </w:p>
    <w:p>
      <w:pPr>
        <w:pStyle w:val="ListBullet"/>
        <w:spacing w:before="40" w:after="40"/>
      </w:pPr>
      <w:r>
        <w:rPr>
          <w:b/>
          <w:color w:val="0F172A"/>
        </w:rPr>
        <w:t>100 Jours</w:t>
      </w:r>
      <w:r>
        <w:rPr>
          <w:color w:val="1E293B"/>
        </w:rPr>
        <w:t xml:space="preserve"> :</w:t>
      </w:r>
    </w:p>
    <w:p>
      <w:pPr>
        <w:pStyle w:val="ListBullet"/>
        <w:spacing w:before="40" w:after="40"/>
      </w:pPr>
      <w:r>
        <w:rPr>
          <w:color w:val="1E293B"/>
        </w:rPr>
        <w:t xml:space="preserve">Annonce conjointe par M. Éric Ciotti du </w:t>
      </w:r>
      <w:r>
        <w:rPr>
          <w:i/>
        </w:rPr>
        <w:t>Plan Nice IA Sécurité &amp; Rigueur Budgétaire</w:t>
      </w:r>
      <w:r>
        <w:rPr>
          <w:color w:val="1E293B"/>
        </w:rPr>
        <w:t>.</w:t>
      </w:r>
    </w:p>
    <w:p>
      <w:pPr>
        <w:pStyle w:val="ListBullet"/>
        <w:spacing w:before="40" w:after="40"/>
      </w:pPr>
      <w:r>
        <w:rPr>
          <w:color w:val="1E293B"/>
        </w:rPr>
        <w:t>Désignation de l'AMO IA (</w:t>
      </w:r>
      <w:r>
        <w:rPr>
          <w:b/>
          <w:color w:val="0F172A"/>
        </w:rPr>
        <w:t>Benoît Sigwald</w:t>
      </w:r>
      <w:r>
        <w:rPr>
          <w:color w:val="1E293B"/>
        </w:rPr>
        <w:t>) et installation de l'équipe commando.</w:t>
      </w:r>
    </w:p>
    <w:p>
      <w:pPr>
        <w:pStyle w:val="ListBullet"/>
        <w:spacing w:before="40" w:after="40"/>
      </w:pPr>
      <w:r>
        <w:rPr>
          <w:color w:val="1E293B"/>
        </w:rPr>
        <w:t>Lancement du Bouclier Cyber-IA Métropolitain et des pilotes VSA au CSU.</w:t>
      </w:r>
    </w:p>
    <w:p>
      <w:pPr>
        <w:pStyle w:val="ListBullet"/>
        <w:spacing w:before="40" w:after="40"/>
      </w:pPr>
      <w:r>
        <w:rPr>
          <w:color w:val="1E293B"/>
        </w:rPr>
        <w:t xml:space="preserve">Constitution du consortium Nice-Monaco-3IA pour l'appel d'offres européen des </w:t>
      </w:r>
      <w:r>
        <w:rPr>
          <w:i/>
        </w:rPr>
        <w:t>AI Gigafactories</w:t>
      </w:r>
      <w:r>
        <w:rPr>
          <w:color w:val="1E293B"/>
        </w:rPr>
        <w:t xml:space="preserve"> (dépôt du dossier final le 12 novembre 2026).</w:t>
      </w:r>
    </w:p>
    <w:p>
      <w:pPr>
        <w:pStyle w:val="ListBullet"/>
        <w:spacing w:before="40" w:after="40"/>
      </w:pPr>
      <w:r>
        <w:rPr>
          <w:color w:val="1E293B"/>
        </w:rPr>
        <w:t>Dépôt du dossier de subvention direct auprès de la Commission Européenne (</w:t>
      </w:r>
      <w:r>
        <w:rPr>
          <w:i/>
        </w:rPr>
        <w:t>Digital Europe</w:t>
      </w:r>
      <w:r>
        <w:rPr>
          <w:color w:val="1E293B"/>
        </w:rPr>
        <w:t>).</w:t>
      </w:r>
    </w:p>
    <w:p>
      <w:pPr>
        <w:pStyle w:val="ListBullet"/>
        <w:spacing w:before="40" w:after="40"/>
      </w:pPr>
      <w:r>
        <w:rPr>
          <w:b/>
          <w:color w:val="0F172A"/>
        </w:rPr>
        <w:t>12 Mois</w:t>
      </w:r>
      <w:r>
        <w:rPr>
          <w:color w:val="1E293B"/>
        </w:rPr>
        <w:t xml:space="preserve"> :</w:t>
      </w:r>
    </w:p>
    <w:p>
      <w:pPr>
        <w:pStyle w:val="ListBullet"/>
        <w:spacing w:before="40" w:after="40"/>
      </w:pPr>
      <w:r>
        <w:rPr>
          <w:color w:val="1E293B"/>
        </w:rPr>
        <w:t>Déploiement des cas d'usage Ville (Allo Séniors IA, Propreté) et Métropole (Audit, Cyber-SOC, Mobilité Monaco 3D Plaine du Var).</w:t>
      </w:r>
    </w:p>
    <w:p>
      <w:pPr>
        <w:pStyle w:val="ListBullet"/>
        <w:spacing w:before="40" w:after="40"/>
      </w:pPr>
      <w:r>
        <w:rPr>
          <w:color w:val="1E293B"/>
        </w:rPr>
        <w:t xml:space="preserve">Bilan financier certifié démontrant les </w:t>
      </w:r>
      <w:r>
        <w:rPr>
          <w:b/>
          <w:color w:val="0F172A"/>
        </w:rPr>
        <w:t>2,5 M€ d'économies nettes réalisées</w:t>
      </w:r>
      <w:r>
        <w:rPr>
          <w:color w:val="1E293B"/>
        </w:rPr>
        <w:t>.</w:t>
      </w:r>
    </w:p>
    <w:p>
      <w:pPr>
        <w:pStyle w:val="ListBullet"/>
        <w:spacing w:before="40" w:after="40"/>
      </w:pPr>
      <w:r>
        <w:rPr>
          <w:color w:val="1E293B"/>
        </w:rPr>
        <w:t>Signature du protocole officiel Ville Franche IA avec le Gouvernement Princier de Monaco.</w:t>
      </w:r>
    </w:p>
    <w:p>
      <w:pPr>
        <w:pStyle w:val="ListBullet"/>
        <w:spacing w:before="40" w:after="40"/>
      </w:pPr>
      <w:r>
        <w:rPr>
          <w:b/>
          <w:color w:val="0F172A"/>
        </w:rPr>
        <w:t>36 Mois</w:t>
      </w:r>
      <w:r>
        <w:rPr>
          <w:color w:val="1E293B"/>
        </w:rPr>
        <w:t xml:space="preserve"> :</w:t>
      </w:r>
    </w:p>
    <w:p>
      <w:pPr>
        <w:pStyle w:val="ListBullet"/>
        <w:spacing w:before="40" w:after="40"/>
      </w:pPr>
      <w:r>
        <w:rPr>
          <w:color w:val="1E293B"/>
        </w:rPr>
        <w:t>Nice consacrée 1ère métropole de France pour la sécurité urbaine intelligente, la sobriété budgétaire par l'IA et l'alliance transfrontalière européenne.</w:t>
      </w:r>
    </w:p>
    <w:p>
      <w:pPr>
        <w:spacing w:before="60" w:after="120" w:line="276" w:lineRule="auto"/>
      </w:pPr>
      <w:r>
        <w:rPr>
          <w:color w:val="1E293B"/>
        </w:rPr>
        <w:t>---</w:t>
      </w:r>
    </w:p>
    <w:p>
      <w:pPr>
        <w:keepNext/>
        <w:spacing w:before="280" w:after="120"/>
      </w:pPr>
      <w:r>
        <w:rPr>
          <w:rFonts w:ascii="Georgia" w:hAnsi="Georgia"/>
          <w:b/>
          <w:color w:val="B89762"/>
          <w:sz w:val="26"/>
        </w:rPr>
        <w:t>7. ANNEXE : VALIDATION JURIDIQUE, STATISTIQUE ET RÉFÉRENCES DOCUMENTAIRES COMPLÈTES</w:t>
      </w:r>
    </w:p>
    <w:p>
      <w:pPr>
        <w:keepNext/>
        <w:spacing w:before="280" w:after="120"/>
      </w:pPr>
      <w:r>
        <w:rPr>
          <w:rFonts w:ascii="Arial" w:hAnsi="Arial"/>
          <w:b/>
          <w:color w:val="0F172A"/>
          <w:sz w:val="22"/>
        </w:rPr>
        <w:t>A. Rapports Stratégiques &amp; Analyses Prospectives</w:t>
      </w:r>
    </w:p>
    <w:p>
      <w:pPr>
        <w:pStyle w:val="ListNumber"/>
        <w:spacing w:before="40" w:after="40"/>
      </w:pPr>
      <w:r>
        <w:rPr>
          <w:b/>
          <w:color w:val="0F172A"/>
        </w:rPr>
        <w:t>Note Strategique « Opération Prométhée » — Le Grand Continent (Juillet 2026)</w:t>
      </w:r>
      <w:r>
        <w:rPr>
          <w:color w:val="1E293B"/>
        </w:rPr>
        <w:t xml:space="preserve"> :</w:t>
      </w:r>
    </w:p>
    <w:p>
      <w:pPr>
        <w:pStyle w:val="ListBullet"/>
        <w:spacing w:before="40" w:after="40"/>
      </w:pPr>
      <w:r>
        <w:rPr>
          <w:color w:val="1E293B"/>
        </w:rPr>
        <w:t>Proposition d'un plan souverain de 700 Md$ sur 3 ans pour doter la France d'un laboratoire d'IA de frontière (12 GW de puissance, 1 700 chercheurs).</w:t>
      </w:r>
    </w:p>
    <w:p>
      <w:pPr>
        <w:pStyle w:val="ListBullet"/>
        <w:spacing w:before="40" w:after="40"/>
      </w:pPr>
      <w:r>
        <w:rPr>
          <w:color w:val="1E293B"/>
        </w:rPr>
        <w:t xml:space="preserve">Source : </w:t>
      </w:r>
      <w:r>
        <w:rPr>
          <w:i/>
        </w:rPr>
        <w:t>Le Grand Continent / Groupe d'Études Géopolitiques (GEG)</w:t>
      </w:r>
      <w:r>
        <w:rPr>
          <w:color w:val="1E293B"/>
        </w:rPr>
        <w:t>.</w:t>
      </w:r>
    </w:p>
    <w:p>
      <w:pPr>
        <w:pStyle w:val="ListNumber"/>
        <w:spacing w:before="40" w:after="40"/>
      </w:pPr>
      <w:r>
        <w:rPr>
          <w:b/>
          <w:color w:val="0F172A"/>
        </w:rPr>
        <w:t>Appel d'Offres Historique Européen — AI Gigafactories (30 Juillet 2026)</w:t>
      </w:r>
      <w:r>
        <w:rPr>
          <w:color w:val="1E293B"/>
        </w:rPr>
        <w:t xml:space="preserve"> :</w:t>
      </w:r>
    </w:p>
    <w:p>
      <w:pPr>
        <w:pStyle w:val="ListBullet"/>
        <w:spacing w:before="40" w:after="40"/>
      </w:pPr>
      <w:r>
        <w:rPr>
          <w:color w:val="1E293B"/>
        </w:rPr>
        <w:t>Programme EuroHPC JU (Lot 1) : 30 Md€ d'enveloppe globale, subvention directe UE de 500 M€ par Gigafactory labellisée.</w:t>
      </w:r>
    </w:p>
    <w:p>
      <w:pPr>
        <w:pStyle w:val="ListBullet"/>
        <w:spacing w:before="40" w:after="40"/>
      </w:pPr>
      <w:r>
        <w:rPr>
          <w:color w:val="1E293B"/>
        </w:rPr>
        <w:t xml:space="preserve">Source : </w:t>
      </w:r>
      <w:r>
        <w:rPr>
          <w:i/>
        </w:rPr>
        <w:t>Commission Européenne / EuroHPC Joint Undertaking</w:t>
      </w:r>
      <w:r>
        <w:rPr>
          <w:color w:val="1E293B"/>
        </w:rPr>
        <w:t xml:space="preserve"> (</w:t>
      </w:r>
      <w:r>
        <w:rPr>
          <w:color w:val="0284C7"/>
          <w:u w:val="single"/>
        </w:rPr>
        <w:t>eurohpc-ju.europa.eu</w:t>
      </w:r>
      <w:r>
        <w:rPr>
          <w:color w:val="1E293B"/>
        </w:rPr>
        <w:t>).</w:t>
      </w:r>
    </w:p>
    <w:p>
      <w:pPr>
        <w:pStyle w:val="ListNumber"/>
        <w:spacing w:before="40" w:after="40"/>
      </w:pPr>
      <w:r>
        <w:rPr>
          <w:b/>
          <w:color w:val="0F172A"/>
        </w:rPr>
        <w:t>Plan SUD IA — Région Provence-Alpes-Côte d'Azur (2025-2030)</w:t>
      </w:r>
      <w:r>
        <w:rPr>
          <w:color w:val="1E293B"/>
        </w:rPr>
        <w:t xml:space="preserve"> :</w:t>
      </w:r>
    </w:p>
    <w:p>
      <w:pPr>
        <w:pStyle w:val="ListBullet"/>
        <w:spacing w:before="40" w:after="40"/>
      </w:pPr>
      <w:r>
        <w:rPr>
          <w:color w:val="1E293B"/>
        </w:rPr>
        <w:t>Enveloppe de 70 M€ sur 5 ans (22 mesures, 3 axes).</w:t>
      </w:r>
    </w:p>
    <w:p>
      <w:pPr>
        <w:pStyle w:val="ListBullet"/>
        <w:spacing w:before="40" w:after="40"/>
      </w:pPr>
      <w:r>
        <w:rPr>
          <w:color w:val="1E293B"/>
        </w:rPr>
        <w:t xml:space="preserve">Source : </w:t>
      </w:r>
      <w:r>
        <w:rPr>
          <w:i/>
        </w:rPr>
        <w:t>Conseil Régional PACA / Ma Région Sud</w:t>
      </w:r>
      <w:r>
        <w:rPr>
          <w:color w:val="1E293B"/>
        </w:rPr>
        <w:t>.</w:t>
      </w:r>
    </w:p>
    <w:p>
      <w:pPr>
        <w:keepNext/>
        <w:spacing w:before="280" w:after="120"/>
      </w:pPr>
      <w:r>
        <w:rPr>
          <w:rFonts w:ascii="Arial" w:hAnsi="Arial"/>
          <w:b/>
          <w:color w:val="0F172A"/>
          <w:sz w:val="22"/>
        </w:rPr>
        <w:t>B. Cadre Juridique Stricte &amp; Vidéoprotection IA (VSA)</w:t>
      </w:r>
    </w:p>
    <w:p>
      <w:pPr>
        <w:pStyle w:val="ListNumber"/>
        <w:spacing w:before="40" w:after="40"/>
      </w:pPr>
      <w:r>
        <w:rPr>
          <w:b/>
          <w:color w:val="0F172A"/>
        </w:rPr>
        <w:t>Règlement Européen sur l'IA (AI Act) — Règlement (UE) 2024/1689 du 13 juin 2024</w:t>
      </w:r>
      <w:r>
        <w:rPr>
          <w:color w:val="1E293B"/>
        </w:rPr>
        <w:t xml:space="preserve"> :</w:t>
      </w:r>
    </w:p>
    <w:p>
      <w:pPr>
        <w:pStyle w:val="ListBullet"/>
        <w:spacing w:before="40" w:after="40"/>
      </w:pPr>
      <w:r>
        <w:rPr>
          <w:color w:val="1E293B"/>
        </w:rPr>
        <w:t>Journal Officiel de l'UE. Exclusion explicite de la reconnaissance faciale biométrique en temps réel dans l'espace public (interdite).</w:t>
      </w:r>
    </w:p>
    <w:p>
      <w:pPr>
        <w:pStyle w:val="ListNumber"/>
        <w:spacing w:before="40" w:after="40"/>
      </w:pPr>
      <w:r>
        <w:rPr>
          <w:b/>
          <w:color w:val="0F172A"/>
        </w:rPr>
        <w:t>Loi n° 2023-380 du 19 mai 2023 (Loi JOP 2024 - Art. 10)</w:t>
      </w:r>
      <w:r>
        <w:rPr>
          <w:color w:val="1E293B"/>
        </w:rPr>
        <w:t xml:space="preserve"> :</w:t>
      </w:r>
    </w:p>
    <w:p>
      <w:pPr>
        <w:pStyle w:val="ListBullet"/>
        <w:spacing w:before="40" w:after="40"/>
      </w:pPr>
      <w:r>
        <w:rPr>
          <w:color w:val="1E293B"/>
        </w:rPr>
        <w:t>Cadre expérimental autorisant la Vidéosurveillance Algorithmique (VSA) pour la détection automatisée d'événements prédéterminés sur la voie publique.</w:t>
      </w:r>
    </w:p>
    <w:p>
      <w:pPr>
        <w:pStyle w:val="ListNumber"/>
        <w:spacing w:before="40" w:after="40"/>
      </w:pPr>
      <w:r>
        <w:rPr>
          <w:b/>
          <w:color w:val="0F172A"/>
        </w:rPr>
        <w:t>Jurisprudence du Conseil d'État — Décision du 30 janvier 2026 (Commune de Nice)</w:t>
      </w:r>
      <w:r>
        <w:rPr>
          <w:color w:val="1E293B"/>
        </w:rPr>
        <w:t xml:space="preserve"> :</w:t>
      </w:r>
    </w:p>
    <w:p>
      <w:pPr>
        <w:pStyle w:val="ListBullet"/>
        <w:spacing w:before="40" w:after="40"/>
      </w:pPr>
      <w:r>
        <w:rPr>
          <w:color w:val="1E293B"/>
        </w:rPr>
        <w:t>Validation des protocoles d'expérimentation municipaux sous réserve de finalités d'intérêt public circonscrites et d'absence de profilage biométrique.</w:t>
      </w:r>
    </w:p>
    <w:p>
      <w:pPr>
        <w:pStyle w:val="ListNumber"/>
        <w:spacing w:before="40" w:after="40"/>
      </w:pPr>
      <w:r>
        <w:rPr>
          <w:b/>
          <w:color w:val="0F172A"/>
        </w:rPr>
        <w:t>Directive Européenne NIS 2 — Directive (UE) 2022/2555 (Cybersécurité des Collectivités)</w:t>
      </w:r>
      <w:r>
        <w:rPr>
          <w:color w:val="1E293B"/>
        </w:rPr>
        <w:t xml:space="preserve"> :</w:t>
      </w:r>
    </w:p>
    <w:p>
      <w:pPr>
        <w:pStyle w:val="ListBullet"/>
        <w:spacing w:before="40" w:after="40"/>
      </w:pPr>
      <w:r>
        <w:rPr>
          <w:color w:val="1E293B"/>
        </w:rPr>
        <w:t>Obligation légale de renforcement et d'audit pour l'ensemble des SI des métropoles et villes de plus de 100 000 habitants.</w:t>
      </w:r>
    </w:p>
    <w:p>
      <w:pPr>
        <w:keepNext/>
        <w:spacing w:before="280" w:after="120"/>
      </w:pPr>
      <w:r>
        <w:rPr>
          <w:rFonts w:ascii="Arial" w:hAnsi="Arial"/>
          <w:b/>
          <w:color w:val="0F172A"/>
          <w:sz w:val="22"/>
        </w:rPr>
        <w:t>C. Principauté de Monaco — Textes &amp; Infrastructures Officiels</w:t>
      </w:r>
    </w:p>
    <w:p>
      <w:pPr>
        <w:pStyle w:val="ListNumber"/>
        <w:spacing w:before="40" w:after="40"/>
      </w:pPr>
      <w:r>
        <w:rPr>
          <w:b/>
          <w:color w:val="0F172A"/>
        </w:rPr>
        <w:t>Programme Extended Monaco (2019-2030)</w:t>
      </w:r>
      <w:r>
        <w:rPr>
          <w:color w:val="1E293B"/>
        </w:rPr>
        <w:t xml:space="preserve"> : Stratégie nationale de transformation numérique impulsée par S.A.S. le Prince Albert II (</w:t>
      </w:r>
      <w:r>
        <w:rPr>
          <w:color w:val="0284C7"/>
          <w:u w:val="single"/>
        </w:rPr>
        <w:t>gouv.mc</w:t>
      </w:r>
      <w:r>
        <w:rPr>
          <w:color w:val="1E293B"/>
        </w:rPr>
        <w:t>).</w:t>
      </w:r>
    </w:p>
    <w:p>
      <w:pPr>
        <w:pStyle w:val="ListNumber"/>
        <w:spacing w:before="40" w:after="40"/>
      </w:pPr>
      <w:r>
        <w:rPr>
          <w:b/>
          <w:color w:val="0F172A"/>
        </w:rPr>
        <w:t>Monaco Cloud (AMSN &amp; VMware Sovereign Cloud)</w:t>
      </w:r>
      <w:r>
        <w:rPr>
          <w:color w:val="1E293B"/>
        </w:rPr>
        <w:t xml:space="preserve"> : 1er Cloud Souverain d'État en Europe, garanti sans souveraineté extra-européenne (</w:t>
      </w:r>
      <w:r>
        <w:rPr>
          <w:color w:val="0284C7"/>
          <w:u w:val="single"/>
        </w:rPr>
        <w:t>monacocloud.mc</w:t>
      </w:r>
      <w:r>
        <w:rPr>
          <w:color w:val="1E293B"/>
        </w:rPr>
        <w:t>).</w:t>
      </w:r>
    </w:p>
    <w:p>
      <w:pPr>
        <w:pStyle w:val="ListNumber"/>
        <w:spacing w:before="40" w:after="40"/>
      </w:pPr>
      <w:r>
        <w:rPr>
          <w:b/>
          <w:color w:val="0F172A"/>
        </w:rPr>
        <w:t>Extended Monaco Entreprises (EME)</w:t>
      </w:r>
      <w:r>
        <w:rPr>
          <w:color w:val="1E293B"/>
        </w:rPr>
        <w:t xml:space="preserve"> : Dispositif d'accompagnement et audits d'opportunité IA pour les acteurs du bassin transfrontalier (</w:t>
      </w:r>
      <w:r>
        <w:rPr>
          <w:color w:val="0284C7"/>
          <w:u w:val="single"/>
        </w:rPr>
        <w:t>bss.mc</w:t>
      </w:r>
      <w:r>
        <w:rPr>
          <w:color w:val="1E293B"/>
        </w:rPr>
        <w:t>).</w:t>
      </w:r>
    </w:p>
    <w:p>
      <w:pPr>
        <w:pStyle w:val="ListNumber"/>
        <w:spacing w:before="40" w:after="40"/>
      </w:pPr>
      <w:r>
        <w:rPr>
          <w:b/>
          <w:color w:val="0F172A"/>
        </w:rPr>
        <w:t>Schéma de Coopération Transfrontalière (SCT 2020-2030)</w:t>
      </w:r>
      <w:r>
        <w:rPr>
          <w:color w:val="1E293B"/>
        </w:rPr>
        <w:t xml:space="preserve"> : Métropole Nice Côte d'Azur &amp; Principauté de Monaco (</w:t>
      </w:r>
      <w:r>
        <w:rPr>
          <w:color w:val="0284C7"/>
          <w:u w:val="single"/>
        </w:rPr>
        <w:t>espaces-transfrontaliers.org</w:t>
      </w:r>
      <w:r>
        <w:rPr>
          <w:color w:val="1E293B"/>
        </w:rPr>
        <w:t>).</w:t>
      </w:r>
    </w:p>
    <w:p>
      <w:pPr>
        <w:keepNext/>
        <w:spacing w:before="280" w:after="120"/>
      </w:pPr>
      <w:r>
        <w:rPr>
          <w:rFonts w:ascii="Arial" w:hAnsi="Arial"/>
          <w:b/>
          <w:color w:val="0F172A"/>
          <w:sz w:val="22"/>
        </w:rPr>
        <w:t>D. Guichets Européens de Financement Direct</w:t>
      </w:r>
    </w:p>
    <w:p>
      <w:pPr>
        <w:pStyle w:val="ListNumber"/>
        <w:spacing w:before="40" w:after="40"/>
      </w:pPr>
      <w:r>
        <w:rPr>
          <w:b/>
          <w:color w:val="0F172A"/>
        </w:rPr>
        <w:t>Programme Digital Europe (DIGITAL) — Règlement (UE) 2021/694</w:t>
      </w:r>
      <w:r>
        <w:rPr>
          <w:color w:val="1E293B"/>
        </w:rPr>
        <w:t xml:space="preserve"> : Subventions directes de 50 % à 70 % pour le déploiement de l'IA et la cybersécurité dans les villes (</w:t>
      </w:r>
      <w:r>
        <w:rPr>
          <w:color w:val="0284C7"/>
          <w:u w:val="single"/>
        </w:rPr>
        <w:t>ec.europa.eu</w:t>
      </w:r>
      <w:r>
        <w:rPr>
          <w:color w:val="1E293B"/>
        </w:rPr>
        <w:t>).</w:t>
      </w:r>
    </w:p>
    <w:p>
      <w:pPr>
        <w:pStyle w:val="ListNumber"/>
        <w:spacing w:before="40" w:after="40"/>
      </w:pPr>
      <w:r>
        <w:rPr>
          <w:b/>
          <w:color w:val="0F172A"/>
        </w:rPr>
        <w:t>Horizon Europe — Cluster 3 (« Civil Security for Society »)</w:t>
      </w:r>
      <w:r>
        <w:rPr>
          <w:color w:val="1E293B"/>
        </w:rPr>
        <w:t xml:space="preserve"> : Financement à 100 % des technologies de sécurité urbaine et de protection civile.</w:t>
      </w:r>
    </w:p>
    <w:p>
      <w:pPr>
        <w:pStyle w:val="ListNumber"/>
        <w:spacing w:before="40" w:after="40"/>
      </w:pPr>
      <w:r>
        <w:rPr>
          <w:b/>
          <w:color w:val="0F172A"/>
        </w:rPr>
        <w:t>Fonds Européen de Développement Régional (FEDER) &amp; Programme Interreg ALCOTRA / MARITTIMO</w:t>
      </w:r>
      <w:r>
        <w:rPr>
          <w:color w:val="1E293B"/>
        </w:rPr>
        <w:t xml:space="preserve"> : Co-financements transfrontaliers France-Italie-Monaco.</w:t>
      </w:r>
    </w:p>
    <w:p>
      <w:pPr>
        <w:keepNext/>
        <w:spacing w:before="280" w:after="120"/>
      </w:pPr>
      <w:r>
        <w:rPr>
          <w:rFonts w:ascii="Arial" w:hAnsi="Arial"/>
          <w:b/>
          <w:color w:val="0F172A"/>
          <w:sz w:val="22"/>
        </w:rPr>
        <w:t>E. Statistiques, Évaluations R&amp;D &amp; Sources Territoriales</w:t>
      </w:r>
    </w:p>
    <w:p>
      <w:pPr>
        <w:pStyle w:val="ListNumber"/>
        <w:spacing w:before="40" w:after="40"/>
      </w:pPr>
      <w:r>
        <w:rPr>
          <w:b/>
          <w:color w:val="0F172A"/>
        </w:rPr>
        <w:t>Institut 3IA Côte d'Azur &amp; Université Côte d'Azur (UCA)</w:t>
      </w:r>
      <w:r>
        <w:rPr>
          <w:color w:val="1E293B"/>
        </w:rPr>
        <w:t xml:space="preserve"> : Rapport annuel 2025/2026 (&gt; 100 chaires de recherche de niveau mondial en IA santé/biologie).</w:t>
      </w:r>
    </w:p>
    <w:p>
      <w:pPr>
        <w:pStyle w:val="ListNumber"/>
        <w:spacing w:before="40" w:after="40"/>
      </w:pPr>
      <w:r>
        <w:rPr>
          <w:b/>
          <w:color w:val="0F172A"/>
        </w:rPr>
        <w:t>Technopole Sophia Antipolis &amp; Invest in Côte d'Azur</w:t>
      </w:r>
      <w:r>
        <w:rPr>
          <w:color w:val="1E293B"/>
        </w:rPr>
        <w:t xml:space="preserve"> : Chiffres clés 2025/2026 (2 700 entreprises, 46 000 emplois qualifiés, 5 500 chercheurs).</w:t>
      </w:r>
    </w:p>
    <w:p>
      <w:pPr>
        <w:pStyle w:val="ListNumber"/>
        <w:spacing w:before="40" w:after="40"/>
      </w:pPr>
      <w:r>
        <w:rPr>
          <w:b/>
          <w:color w:val="0F172A"/>
        </w:rPr>
        <w:t>CCI Nice Côte d'Azur &amp; Observatoire Économique Sirénize</w:t>
      </w:r>
      <w:r>
        <w:rPr>
          <w:color w:val="1E293B"/>
        </w:rPr>
        <w:t xml:space="preserve"> : Étude sur la filière IA et le tissu PME azuréen (86 établissements spécialisés IA).</w:t>
      </w:r>
    </w:p>
    <w:p>
      <w:pPr>
        <w:pStyle w:val="ListNumber"/>
        <w:spacing w:before="40" w:after="40"/>
      </w:pPr>
      <w:r>
        <w:rPr>
          <w:b/>
          <w:color w:val="0F172A"/>
        </w:rPr>
        <w:t>Centre de Supervision Urbain (CSU) de Nice</w:t>
      </w:r>
      <w:r>
        <w:rPr>
          <w:color w:val="1E293B"/>
        </w:rPr>
        <w:t xml:space="preserve"> : 4 300+ caméras connectées (1er CSU de France).</w:t>
      </w:r>
    </w:p>
    <w:p>
      <w:pPr>
        <w:pStyle w:val="ListNumber"/>
        <w:spacing w:before="40" w:after="40"/>
      </w:pPr>
      <w:r>
        <w:rPr>
          <w:b/>
          <w:color w:val="0F172A"/>
        </w:rPr>
        <w:t>Réseau de Transport d'Électricité (RTE) / CNDP (2025)</w:t>
      </w:r>
      <w:r>
        <w:rPr>
          <w:color w:val="1E293B"/>
        </w:rPr>
        <w:t xml:space="preserve"> : Rapport d'audit sur la « presqu'île électrique » des Alpes-Maritimes et les capacités de charge régionales.</w:t>
      </w:r>
    </w:p>
    <w:p>
      <w:pPr>
        <w:pStyle w:val="ListNumber"/>
        <w:spacing w:before="40" w:after="40"/>
      </w:pPr>
      <w:r>
        <w:rPr>
          <w:b/>
          <w:color w:val="0F172A"/>
        </w:rPr>
        <w:t>INSEE / Métropole NCÀ</w:t>
      </w:r>
      <w:r>
        <w:rPr>
          <w:color w:val="1E293B"/>
        </w:rPr>
        <w:t xml:space="preserve"> : Données sur les flux pendulaires Nice-Monaco (&gt; 45 000 salariés transfrontaliers quotidiens).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