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334155"/>
          <w:sz w:val="17"/>
        </w:rPr>
        <w:t>ARX CONSULTING — DOCUMENT STRATÉGIQUE MÉTROPOLITAIN</w:t>
        <w:br/>
      </w:r>
      <w:r>
        <w:rPr>
          <w:rFonts w:ascii="Georgia" w:hAnsi="Georgia"/>
          <w:b/>
          <w:color w:val="0F172A"/>
          <w:sz w:val="44"/>
        </w:rPr>
        <w:t>LE PACTE NICE IA</w:t>
        <w:br/>
      </w:r>
      <w:r>
        <w:rPr>
          <w:rFonts w:ascii="Arial" w:hAnsi="Arial"/>
          <w:color w:val="1E3A8A"/>
          <w:sz w:val="21"/>
        </w:rPr>
        <w:t>Doctrine Stratégique, Rigueur Budgétaire &amp; Alliance Transfrontalière (2026-2029)</w:t>
      </w:r>
    </w:p>
    <w:p>
      <w:pPr>
        <w:spacing w:after="320"/>
      </w:pPr>
      <w:r>
        <w:rPr>
          <w:i/>
          <w:color w:val="64748B"/>
          <w:sz w:val="17"/>
        </w:rPr>
        <w:t>Rédigé pour M. Éric Ciotti par Benoît Sigwald — Senior AI Architect &amp; AMO IA Métropolitain — Août 2026</w:t>
      </w:r>
    </w:p>
    <w:p>
      <w:pPr>
        <w:keepNext/>
        <w:spacing w:before="320" w:after="120"/>
      </w:pPr>
      <w:r>
        <w:rPr>
          <w:rFonts w:ascii="Georgia" w:hAnsi="Georgia"/>
          <w:b/>
          <w:color w:val="0F172A"/>
          <w:sz w:val="30"/>
        </w:rPr>
        <w:t>Résumé Exécutif &amp; Chiffrage Consolidé pour M. le Maire</w:t>
      </w:r>
    </w:p>
    <w:p>
      <w:pPr>
        <w:spacing w:before="40" w:after="100" w:line="276" w:lineRule="auto"/>
      </w:pPr>
      <w:r>
        <w:rPr>
          <w:b/>
          <w:color w:val="0F172A"/>
        </w:rPr>
        <w:t>La thèse.</w:t>
      </w:r>
      <w:r>
        <w:rPr>
          <w:color w:val="1E293B"/>
        </w:rPr>
        <w:t xml:space="preserve"> La course aux modèles de frontière se joue à l’échelle des superpuissances. Pour Nice, la vraie bataille stratégique réside dans </w:t>
      </w:r>
      <w:r>
        <w:rPr>
          <w:b/>
          <w:color w:val="0F172A"/>
        </w:rPr>
        <w:t>l'usage concret, la sécurité publique, la souveraineté et la rigueur budgétaire</w:t>
      </w:r>
      <w:r>
        <w:rPr>
          <w:color w:val="1E293B"/>
        </w:rPr>
        <w:t xml:space="preserve">. Aucune collectivité n'a encore préempté la position de </w:t>
      </w:r>
      <w:r>
        <w:rPr>
          <w:b/>
          <w:color w:val="0F172A"/>
        </w:rPr>
        <w:t>« Capitale de l'IA de sécurité et d'efficience publique »</w:t>
      </w:r>
      <w:r>
        <w:rPr>
          <w:color w:val="1E293B"/>
        </w:rPr>
        <w:t>. Nice doit être la première sous la conduite de M. Éric Ciotti.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Pilier Stratégique</w:t>
            </w:r>
          </w:p>
        </w:tc>
        <w:tc>
          <w:tcPr>
            <w:tcW w:type="dxa" w:w="2484"/>
            <w:shd w:fill="1E293B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Levier IA Appliqué</w:t>
            </w:r>
          </w:p>
        </w:tc>
        <w:tc>
          <w:tcPr>
            <w:tcW w:type="dxa" w:w="2484"/>
            <w:shd w:fill="1E293B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Chiffre Clé &amp; Impact</w:t>
            </w:r>
          </w:p>
        </w:tc>
        <w:tc>
          <w:tcPr>
            <w:tcW w:type="dxa" w:w="2484"/>
            <w:shd w:fill="1E293B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Justification / Source</w:t>
            </w:r>
          </w:p>
        </w:tc>
      </w:tr>
      <w:tr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1. CSU Augmenté &amp; Sécurité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VSA 4 300+ caméras &amp; alertes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Incivilités -65 %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Intervention PM &lt; 6 min.</w:t>
            </w:r>
          </w:p>
        </w:tc>
      </w:tr>
      <w:tr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2. Audit Commande Publique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Ingestion sémantique factures (300 M€)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+2,50 M€ / an NET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Erreurs &amp; doublons filtrés.</w:t>
            </w:r>
          </w:p>
        </w:tc>
      </w:tr>
      <w:tr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3. Bouclier Cyber-IA (NIS 2)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SOC IA 24/7 souverain &amp; Air-Gap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1,8 à 3 M€ / an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Crises ransomware évitées.</w:t>
            </w:r>
          </w:p>
        </w:tc>
      </w:tr>
      <w:tr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4. Monaco Cloud &amp; Zone Franche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Data Center Souverain (AMSN) &amp; Zone Franche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1,5 à 2,8 M€ / an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Économies IT + 8-12M€ CAPEX évité.</w:t>
            </w:r>
          </w:p>
        </w:tc>
      </w:tr>
      <w:tr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5. Financements Europe &amp; Gigafactory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Subventions UE (EuroHPC, DIGITAL)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500 M€ visés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Candidature binationale Nice-Monaco.</w:t>
            </w:r>
          </w:p>
        </w:tc>
      </w:tr>
    </w:tbl>
    <w:p>
      <w:pPr>
        <w:spacing w:after="80"/>
      </w:pP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1282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roi_gai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82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320" w:after="120"/>
      </w:pPr>
      <w:r>
        <w:rPr>
          <w:rFonts w:ascii="Georgia" w:hAnsi="Georgia"/>
          <w:b/>
          <w:color w:val="0F172A"/>
          <w:sz w:val="30"/>
        </w:rPr>
        <w:t>1. Où en sommes-nous ? État des lieux &amp; Diagnostic Territorial</w:t>
      </w:r>
    </w:p>
    <w:p>
      <w:pPr>
        <w:keepNext/>
        <w:spacing w:before="240" w:after="80"/>
      </w:pPr>
      <w:r>
        <w:rPr>
          <w:rFonts w:ascii="Georgia" w:hAnsi="Georgia"/>
          <w:b/>
          <w:color w:val="1E3A8A"/>
          <w:sz w:val="25"/>
        </w:rPr>
        <w:t>1.1 Contexte national &amp; régional : Blocages politiques &amp; Urgence d'un Leadership Unifié</w:t>
      </w:r>
    </w:p>
    <w:p>
      <w:pPr>
        <w:pStyle w:val="ListBullet"/>
        <w:spacing w:before="40" w:after="60"/>
      </w:pPr>
      <w:r>
        <w:rPr>
          <w:b/>
          <w:color w:val="0F172A"/>
        </w:rPr>
        <w:t>Échelle nationale</w:t>
      </w:r>
      <w:r>
        <w:rPr>
          <w:color w:val="1E293B"/>
        </w:rPr>
        <w:t xml:space="preserve"> : La note </w:t>
      </w:r>
      <w:r>
        <w:rPr>
          <w:i/>
        </w:rPr>
        <w:t>« Opération Prométhée »</w:t>
      </w:r>
      <w:r>
        <w:rPr>
          <w:color w:val="1E293B"/>
        </w:rPr>
        <w:t xml:space="preserve"> (juillet 2026, Le Grand Continent) fixe le cadre : un plan de </w:t>
      </w:r>
      <w:r>
        <w:rPr>
          <w:b/>
          <w:color w:val="0F172A"/>
        </w:rPr>
        <w:t>700 Md$ sur 3 ans</w:t>
      </w:r>
      <w:r>
        <w:rPr>
          <w:color w:val="1E293B"/>
        </w:rPr>
        <w:t xml:space="preserve"> (12 GW, 1 700 chercheurs). L'IA est devenue une ressource stratégique souveraine identique à l'énergie.</w:t>
      </w:r>
    </w:p>
    <w:p>
      <w:pPr>
        <w:pStyle w:val="ListBullet"/>
        <w:spacing w:before="40" w:after="60"/>
      </w:pPr>
      <w:r>
        <w:rPr>
          <w:b/>
          <w:color w:val="0F172A"/>
        </w:rPr>
        <w:t>Échelle régionale</w:t>
      </w:r>
      <w:r>
        <w:rPr>
          <w:color w:val="1E293B"/>
        </w:rPr>
        <w:t xml:space="preserve"> : La Région Sud affiche un </w:t>
      </w:r>
      <w:r>
        <w:rPr>
          <w:i/>
        </w:rPr>
        <w:t>Plan SUD IA</w:t>
      </w:r>
      <w:r>
        <w:rPr>
          <w:color w:val="1E293B"/>
        </w:rPr>
        <w:t xml:space="preserve"> (70 M€ sur 5 ans), la Métropole lance des appels à projets isolés et le Département anime la Maison de l'IA (MIA) à Sophia Antipolis.</w:t>
      </w:r>
    </w:p>
    <w:p>
      <w:pPr>
        <w:pStyle w:val="ListBullet"/>
        <w:spacing w:before="40" w:after="60"/>
      </w:pPr>
      <w:r>
        <w:rPr>
          <w:b/>
          <w:color w:val="0F172A"/>
        </w:rPr>
        <w:t>Le blocage politique (Constat lucide)</w:t>
      </w:r>
      <w:r>
        <w:rPr>
          <w:color w:val="1E293B"/>
        </w:rPr>
        <w:t xml:space="preserve"> : </w:t>
      </w:r>
      <w:r>
        <w:rPr>
          <w:b/>
          <w:color w:val="0F172A"/>
        </w:rPr>
        <w:t>Les tensions et rivalités politiques au sein de la Région PACA interfèrent directement dans l'obtention des subventions publiques et régionales</w:t>
      </w:r>
      <w:r>
        <w:rPr>
          <w:color w:val="1E293B"/>
        </w:rPr>
        <w:t>. Les projets azuréens sont aujourd'hui pénalisés par ces disputes d'appareil.</w:t>
      </w:r>
    </w:p>
    <w:p>
      <w:pPr>
        <w:pStyle w:val="ListBullet"/>
        <w:spacing w:before="40" w:after="60"/>
      </w:pPr>
      <w:r>
        <w:rPr>
          <w:b/>
          <w:color w:val="0F172A"/>
        </w:rPr>
        <w:t>La solution</w:t>
      </w:r>
      <w:r>
        <w:rPr>
          <w:color w:val="1E293B"/>
        </w:rPr>
        <w:t xml:space="preserve"> : Seul un </w:t>
      </w:r>
      <w:r>
        <w:rPr>
          <w:b/>
          <w:color w:val="0F172A"/>
        </w:rPr>
        <w:t>leadership métropolitain incontestable porté au plus haut niveau par M. Éric Ciotti</w:t>
      </w:r>
      <w:r>
        <w:rPr>
          <w:color w:val="1E293B"/>
        </w:rPr>
        <w:t xml:space="preserve"> permettra d'outrepasser ces blocages politiques régionaux et d'aller capturer directement les subventions auprès de l'État et des guichets européens.</w:t>
      </w:r>
    </w:p>
    <w:p>
      <w:pPr>
        <w:keepNext/>
        <w:spacing w:before="240" w:after="80"/>
      </w:pPr>
      <w:r>
        <w:rPr>
          <w:rFonts w:ascii="Georgia" w:hAnsi="Georgia"/>
          <w:b/>
          <w:color w:val="1E3A8A"/>
          <w:sz w:val="25"/>
        </w:rPr>
        <w:t>1.2 Le terreau niçois : Un actif exceptionnel en France</w:t>
      </w:r>
    </w:p>
    <w:p>
      <w:pPr>
        <w:pStyle w:val="ListBullet"/>
        <w:spacing w:before="40" w:after="60"/>
      </w:pPr>
      <w:r>
        <w:rPr>
          <w:b/>
          <w:color w:val="0F172A"/>
        </w:rPr>
        <w:t>Sophia Antipolis (1ère technopole d’Europe)</w:t>
      </w:r>
      <w:r>
        <w:rPr>
          <w:color w:val="1E293B"/>
        </w:rPr>
        <w:t xml:space="preserve"> : ~2 700 entreprises, ~46 000 emplois, ~5 500 chercheurs.</w:t>
      </w:r>
    </w:p>
    <w:p>
      <w:pPr>
        <w:pStyle w:val="ListBullet"/>
        <w:spacing w:before="40" w:after="60"/>
      </w:pPr>
      <w:r>
        <w:rPr>
          <w:b/>
          <w:color w:val="0F172A"/>
        </w:rPr>
        <w:t>Institut 3IA Côte d’Azur</w:t>
      </w:r>
      <w:r>
        <w:rPr>
          <w:color w:val="1E293B"/>
        </w:rPr>
        <w:t xml:space="preserve"> : L'un des 4 instituts nationaux d'IA (spécialisé en santé numérique).</w:t>
      </w:r>
    </w:p>
    <w:p>
      <w:pPr>
        <w:pStyle w:val="ListBullet"/>
        <w:spacing w:before="40" w:after="60"/>
      </w:pPr>
      <w:r>
        <w:rPr>
          <w:b/>
          <w:color w:val="0F172A"/>
        </w:rPr>
        <w:t>Pipeline académique complet</w:t>
      </w:r>
      <w:r>
        <w:rPr>
          <w:color w:val="1E293B"/>
        </w:rPr>
        <w:t xml:space="preserve"> : Université Côte d'Azur (UCA), Inria, Eurecom, CNRS (du Master au Doctorat).</w:t>
      </w:r>
    </w:p>
    <w:p>
      <w:pPr>
        <w:pStyle w:val="ListBullet"/>
        <w:spacing w:before="40" w:after="60"/>
      </w:pPr>
      <w:r>
        <w:rPr>
          <w:b/>
          <w:color w:val="0F172A"/>
        </w:rPr>
        <w:t>Monaco Cloud &amp; Data Center Souverain d'État</w:t>
      </w:r>
      <w:r>
        <w:rPr>
          <w:color w:val="1E293B"/>
        </w:rPr>
        <w:t xml:space="preserve"> : Premier Cloud d'État souverain d'Europe (certifié AMSN), garantissant une étanchéité totale contre le Cloud Act américain, connecté en fibre noire dédiée à Nice.</w:t>
      </w:r>
    </w:p>
    <w:p>
      <w:pPr>
        <w:pStyle w:val="ListBullet"/>
        <w:spacing w:before="40" w:after="60"/>
      </w:pPr>
      <w:r>
        <w:rPr>
          <w:b/>
          <w:color w:val="0F172A"/>
        </w:rPr>
        <w:t>Le levier Zone Franche Numérique Nice-Monaco</w:t>
      </w:r>
      <w:r>
        <w:rPr>
          <w:color w:val="1E293B"/>
        </w:rPr>
        <w:t xml:space="preserve"> : Création d'une zone d'expérimentation fiscale et réglementaire transfrontalière privilégiée pour attirer et retenir les PME, startups et licornes de l'IA.</w:t>
      </w:r>
    </w:p>
    <w:p>
      <w:pPr>
        <w:pStyle w:val="ListBullet"/>
        <w:spacing w:before="40" w:after="60"/>
      </w:pPr>
      <w:r>
        <w:rPr>
          <w:b/>
          <w:color w:val="0F172A"/>
        </w:rPr>
        <w:t>Grands industriels ancres riches en données</w:t>
      </w:r>
      <w:r>
        <w:rPr>
          <w:color w:val="1E293B"/>
        </w:rPr>
        <w:t xml:space="preserve"> : </w:t>
      </w:r>
      <w:r>
        <w:rPr>
          <w:b/>
          <w:color w:val="0F172A"/>
        </w:rPr>
        <w:t>Amadeus</w:t>
      </w:r>
      <w:r>
        <w:rPr>
          <w:color w:val="1E293B"/>
        </w:rPr>
        <w:t xml:space="preserve"> (1er centre de R&amp;D privé de transport en Europe), </w:t>
      </w:r>
      <w:r>
        <w:rPr>
          <w:b/>
          <w:color w:val="0F172A"/>
        </w:rPr>
        <w:t>Thales Alenia Space</w:t>
      </w:r>
      <w:r>
        <w:rPr>
          <w:color w:val="1E293B"/>
        </w:rPr>
        <w:t xml:space="preserve"> Cannes (spatial &amp; observation satellite), santé, arômes-parfums (Grasse), maritime.</w:t>
      </w:r>
    </w:p>
    <w:p>
      <w:pPr>
        <w:pStyle w:val="ListBullet"/>
        <w:spacing w:before="40" w:after="60"/>
      </w:pPr>
      <w:r>
        <w:rPr>
          <w:b/>
          <w:color w:val="0F172A"/>
        </w:rPr>
        <w:t>Attractivité &amp; 2e aéroport de France</w:t>
      </w:r>
      <w:r>
        <w:rPr>
          <w:color w:val="1E293B"/>
        </w:rPr>
        <w:t xml:space="preserve"> : La « carte Riviera » permet de capter et retenir les chercheurs d'élite que Paris peine à conserver.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17100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poids_natio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0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80"/>
      </w:pPr>
      <w:r>
        <w:rPr>
          <w:rFonts w:ascii="Georgia" w:hAnsi="Georgia"/>
          <w:b/>
          <w:color w:val="1E3A8A"/>
          <w:sz w:val="25"/>
        </w:rPr>
        <w:t>1.3 Évaluation du Pôle Nice - Sophia Antipolis - Monaco vs Total National Français</w:t>
      </w:r>
    </w:p>
    <w:p>
      <w:pPr>
        <w:spacing w:before="40" w:after="100" w:line="276" w:lineRule="auto"/>
      </w:pPr>
      <w:r>
        <w:rPr>
          <w:color w:val="1E293B"/>
        </w:rPr>
        <w:t xml:space="preserve">Afin d'emporter l'adhésion de l'État et de la Commission Européenne, le territoire fait valoir son </w:t>
      </w:r>
      <w:r>
        <w:rPr>
          <w:b/>
          <w:color w:val="0F172A"/>
        </w:rPr>
        <w:t>poids relatif massif à l'échelle de la France</w:t>
      </w:r>
      <w:r>
        <w:rPr>
          <w:color w:val="1E293B"/>
        </w:rPr>
        <w:t xml:space="preserve"> :</w:t>
      </w:r>
    </w:p>
    <w:p>
      <w:pPr>
        <w:pStyle w:val="ListBullet"/>
        <w:spacing w:before="40" w:after="60"/>
      </w:pPr>
      <w:r>
        <w:rPr>
          <w:b/>
          <w:color w:val="0F172A"/>
        </w:rPr>
        <w:t>Chercheurs R&amp;D Numérique</w:t>
      </w:r>
      <w:r>
        <w:rPr>
          <w:color w:val="1E293B"/>
        </w:rPr>
        <w:t xml:space="preserve"> : ~5 500 chercheurs (public+privé), soit </w:t>
      </w:r>
      <w:r>
        <w:rPr>
          <w:b/>
          <w:color w:val="0F172A"/>
        </w:rPr>
        <w:t>~12 % du total hors Île-de-France</w:t>
      </w:r>
      <w:r>
        <w:rPr>
          <w:color w:val="1E293B"/>
        </w:rPr>
        <w:t xml:space="preserve"> (2e bassin national après Paris).</w:t>
      </w:r>
    </w:p>
    <w:p>
      <w:pPr>
        <w:pStyle w:val="ListBullet"/>
        <w:spacing w:before="40" w:after="60"/>
      </w:pPr>
      <w:r>
        <w:rPr>
          <w:b/>
          <w:color w:val="0F172A"/>
        </w:rPr>
        <w:t>Recherche Académique 3IA</w:t>
      </w:r>
      <w:r>
        <w:rPr>
          <w:color w:val="1E293B"/>
        </w:rPr>
        <w:t xml:space="preserve"> : &gt; 100 chaires mondiales, soit </w:t>
      </w:r>
      <w:r>
        <w:rPr>
          <w:b/>
          <w:color w:val="0F172A"/>
        </w:rPr>
        <w:t>~25 % du réseau national des 4 Instituts 3IA</w:t>
      </w:r>
      <w:r>
        <w:rPr>
          <w:color w:val="1E293B"/>
        </w:rPr>
        <w:t xml:space="preserve"> (Paris, Grenoble, Toulouse, Nice-Sophia).</w:t>
      </w:r>
    </w:p>
    <w:p>
      <w:pPr>
        <w:pStyle w:val="ListBullet"/>
        <w:spacing w:before="40" w:after="60"/>
      </w:pPr>
      <w:r>
        <w:rPr>
          <w:b/>
          <w:color w:val="0F172A"/>
        </w:rPr>
        <w:t>R&amp;D Privée</w:t>
      </w:r>
      <w:r>
        <w:rPr>
          <w:color w:val="1E293B"/>
        </w:rPr>
        <w:t xml:space="preserve"> : Amadeus &amp; Thales Alenia Space (&gt;6 500 ingénieurs), soit </w:t>
      </w:r>
      <w:r>
        <w:rPr>
          <w:b/>
          <w:color w:val="0F172A"/>
        </w:rPr>
        <w:t>~6 % de la dépense privée logicielle/spatiale française</w:t>
      </w:r>
      <w:r>
        <w:rPr>
          <w:color w:val="1E293B"/>
        </w:rPr>
        <w:t>.</w:t>
      </w:r>
    </w:p>
    <w:p>
      <w:pPr>
        <w:pStyle w:val="ListBullet"/>
        <w:spacing w:before="40" w:after="60"/>
      </w:pPr>
      <w:r>
        <w:rPr>
          <w:b/>
          <w:color w:val="0F172A"/>
        </w:rPr>
        <w:t>Infrastructures Cloud Souveraines</w:t>
      </w:r>
      <w:r>
        <w:rPr>
          <w:color w:val="1E293B"/>
        </w:rPr>
        <w:t xml:space="preserve"> : Monaco Cloud (1er Cloud d'État UE), seul hub souverain binational conforme AMSN &amp; NIS 2.</w:t>
      </w:r>
    </w:p>
    <w:p>
      <w:pPr>
        <w:keepNext/>
        <w:spacing w:before="240" w:after="80"/>
      </w:pPr>
      <w:r>
        <w:rPr>
          <w:rFonts w:ascii="Georgia" w:hAnsi="Georgia"/>
          <w:b/>
          <w:color w:val="1E3A8A"/>
          <w:sz w:val="25"/>
        </w:rPr>
        <w:t>1.4 Les faiblesses et contraintes lucidement posées</w:t>
      </w:r>
    </w:p>
    <w:p>
      <w:pPr>
        <w:pStyle w:val="ListBullet"/>
        <w:spacing w:before="40" w:after="60"/>
      </w:pPr>
      <w:r>
        <w:rPr>
          <w:b/>
          <w:color w:val="0F172A"/>
        </w:rPr>
        <w:t>Filière IA pure réduite</w:t>
      </w:r>
      <w:r>
        <w:rPr>
          <w:color w:val="1E293B"/>
        </w:rPr>
        <w:t xml:space="preserve"> : ~86 établissements et ~800 emplois directs IA dans le 06 (étude CCI).</w:t>
      </w:r>
    </w:p>
    <w:p>
      <w:pPr>
        <w:pStyle w:val="ListBullet"/>
        <w:spacing w:before="40" w:after="60"/>
      </w:pPr>
      <w:r>
        <w:rPr>
          <w:b/>
          <w:color w:val="0F172A"/>
        </w:rPr>
        <w:t>Le verrou électrique</w:t>
      </w:r>
      <w:r>
        <w:rPr>
          <w:color w:val="1E293B"/>
        </w:rPr>
        <w:t xml:space="preserve"> : Extrémité d'une « presqu'île électrique » vulnérable (coupure majeure en 2009 ; capacité RTE/CNDP 2025 saturée).</w:t>
      </w:r>
    </w:p>
    <w:p>
      <w:pPr>
        <w:pStyle w:val="ListBullet"/>
        <w:spacing w:before="40" w:after="60"/>
      </w:pPr>
      <w:r>
        <w:rPr>
          <w:b/>
          <w:color w:val="0F172A"/>
        </w:rPr>
        <w:t>Foncier contraint</w:t>
      </w:r>
      <w:r>
        <w:rPr>
          <w:color w:val="1E293B"/>
        </w:rPr>
        <w:t xml:space="preserve"> : Mer et montagne rendent impossible l'accueil de campus de calcul hyperscale.</w:t>
      </w:r>
    </w:p>
    <w:p>
      <w:pPr>
        <w:pStyle w:val="ListBullet"/>
        <w:spacing w:before="40" w:after="60"/>
      </w:pPr>
      <w:r>
        <w:rPr>
          <w:b/>
          <w:color w:val="0F172A"/>
        </w:rPr>
        <w:t>Le cimetière des POC</w:t>
      </w:r>
      <w:r>
        <w:rPr>
          <w:color w:val="1E293B"/>
        </w:rPr>
        <w:t xml:space="preserve"> : Expérimentations locales bloquées au stade de prototype faute d'expertise en industrialisation (LLMOps, sécurité, AI Act).</w:t>
      </w:r>
    </w:p>
    <w:p>
      <w:pPr>
        <w:keepNext/>
        <w:spacing w:before="240" w:after="80"/>
      </w:pPr>
      <w:r>
        <w:rPr>
          <w:rFonts w:ascii="Georgia" w:hAnsi="Georgia"/>
          <w:b/>
          <w:color w:val="1E3A8A"/>
          <w:sz w:val="25"/>
        </w:rPr>
        <w:t>1.5 L'Opportunité Historique : Les 30 Md€ de l'UE &amp; Les 7 AI Gigafactories</w:t>
      </w:r>
    </w:p>
    <w:p>
      <w:pPr>
        <w:spacing w:before="40" w:after="100" w:line="276" w:lineRule="auto"/>
      </w:pPr>
      <w:r>
        <w:rPr>
          <w:color w:val="1E293B"/>
        </w:rPr>
        <w:t xml:space="preserve">Le </w:t>
      </w:r>
      <w:r>
        <w:rPr>
          <w:b/>
          <w:color w:val="0F172A"/>
        </w:rPr>
        <w:t>30 juillet 2026</w:t>
      </w:r>
      <w:r>
        <w:rPr>
          <w:color w:val="1E293B"/>
        </w:rPr>
        <w:t xml:space="preserve">, la Commission Européenne a officiellement lancé un appel d'offres historique de </w:t>
      </w:r>
      <w:r>
        <w:rPr>
          <w:b/>
          <w:color w:val="0F172A"/>
        </w:rPr>
        <w:t>30 milliards d'euros</w:t>
      </w:r>
      <w:r>
        <w:rPr>
          <w:color w:val="1E293B"/>
        </w:rPr>
        <w:t xml:space="preserve"> pour bâtir </w:t>
      </w:r>
      <w:r>
        <w:rPr>
          <w:b/>
          <w:color w:val="0F172A"/>
        </w:rPr>
        <w:t>7 AI Gigafactories</w:t>
      </w:r>
      <w:r>
        <w:rPr>
          <w:color w:val="1E293B"/>
        </w:rPr>
        <w:t xml:space="preserve"> en Europe :</w:t>
      </w:r>
    </w:p>
    <w:p>
      <w:pPr>
        <w:pStyle w:val="ListBullet"/>
        <w:spacing w:before="40" w:after="60"/>
      </w:pPr>
      <w:r>
        <w:rPr>
          <w:b/>
          <w:color w:val="0F172A"/>
        </w:rPr>
        <w:t>Lot 1 — Subvention directe UE de 500 M€</w:t>
      </w:r>
      <w:r>
        <w:rPr>
          <w:color w:val="1E293B"/>
        </w:rPr>
        <w:t xml:space="preserve"> par site pour co-financer un supercalculateur d'IA souverain.</w:t>
      </w:r>
    </w:p>
    <w:p>
      <w:pPr>
        <w:pStyle w:val="ListBullet"/>
        <w:spacing w:before="40" w:after="60"/>
      </w:pPr>
      <w:r>
        <w:rPr>
          <w:b/>
          <w:color w:val="0F172A"/>
        </w:rPr>
        <w:t>Le levier Nice-Monaco</w:t>
      </w:r>
      <w:r>
        <w:rPr>
          <w:color w:val="1E293B"/>
        </w:rPr>
        <w:t xml:space="preserve"> : Candidature binationale transfrontalière unique associant Nice (Plaine du Var / 3IA), Monaco (fonds souverains / Monaco Cloud) et Sophia Antipolis.</w:t>
      </w:r>
    </w:p>
    <w:p>
      <w:pPr>
        <w:pStyle w:val="ListBullet"/>
        <w:spacing w:before="40" w:after="60"/>
      </w:pPr>
      <w:r>
        <w:rPr>
          <w:b/>
          <w:color w:val="0F172A"/>
        </w:rPr>
        <w:t>Montage mixte à 1,5 Md€</w:t>
      </w:r>
      <w:r>
        <w:rPr>
          <w:color w:val="1E293B"/>
        </w:rPr>
        <w:t xml:space="preserve"> : 500 M€ subvention UE + 300 M€ fonds publics + 700 M€ investisseurs privés.</w:t>
      </w:r>
    </w:p>
    <w:p>
      <w:pPr>
        <w:pStyle w:val="ListBullet"/>
        <w:spacing w:before="40" w:after="60"/>
      </w:pPr>
      <w:r>
        <w:rPr>
          <w:b/>
          <w:color w:val="0F172A"/>
        </w:rPr>
        <w:t>Calendrier couperet</w:t>
      </w:r>
      <w:r>
        <w:rPr>
          <w:color w:val="1E293B"/>
        </w:rPr>
        <w:t xml:space="preserve"> : Dépôt du dossier de candidature avant le </w:t>
      </w:r>
      <w:r>
        <w:rPr>
          <w:b/>
          <w:color w:val="0F172A"/>
        </w:rPr>
        <w:t>12 novembre 2026</w:t>
      </w:r>
      <w:r>
        <w:rPr>
          <w:color w:val="1E293B"/>
        </w:rPr>
        <w:t>.</w:t>
      </w:r>
    </w:p>
    <w:p>
      <w:pPr>
        <w:keepNext/>
        <w:spacing w:before="240" w:after="80"/>
      </w:pPr>
      <w:r>
        <w:rPr>
          <w:rFonts w:ascii="Georgia" w:hAnsi="Georgia"/>
          <w:b/>
          <w:color w:val="1E3A8A"/>
          <w:sz w:val="25"/>
        </w:rPr>
        <w:t>1.6 La Doctrine Stratégique Nice IA : 3 Choix Clairs</w:t>
      </w:r>
    </w:p>
    <w:p>
      <w:pPr>
        <w:pStyle w:val="ListBullet"/>
        <w:spacing w:before="40" w:after="60"/>
      </w:pPr>
      <w:r>
        <w:rPr>
          <w:b/>
          <w:color w:val="0F172A"/>
        </w:rPr>
        <w:t>1. Renoncer à l'hyperscale, assumer l’IA frugale</w:t>
      </w:r>
      <w:r>
        <w:rPr>
          <w:color w:val="1E293B"/>
        </w:rPr>
        <w:t xml:space="preserve"> : Sobriété énergétique, cas d'usage utiles et sécurité maximale (conforme AI Act).</w:t>
      </w:r>
    </w:p>
    <w:p>
      <w:pPr>
        <w:pStyle w:val="ListBullet"/>
        <w:spacing w:before="40" w:after="60"/>
      </w:pPr>
      <w:r>
        <w:rPr>
          <w:b/>
          <w:color w:val="0F172A"/>
        </w:rPr>
        <w:t>2. Occuper les 2 vides délaissés</w:t>
      </w:r>
      <w:r>
        <w:rPr>
          <w:color w:val="1E293B"/>
        </w:rPr>
        <w:t xml:space="preserve"> : Adoption PME (commerce, tourisme, santé) et Industrialisation / LLMOps.</w:t>
      </w:r>
    </w:p>
    <w:p>
      <w:pPr>
        <w:pStyle w:val="ListBullet"/>
        <w:spacing w:before="40" w:after="60"/>
      </w:pPr>
      <w:r>
        <w:rPr>
          <w:b/>
          <w:color w:val="0F172A"/>
        </w:rPr>
        <w:t>3. La Ville client n°1</w:t>
      </w:r>
      <w:r>
        <w:rPr>
          <w:color w:val="1E293B"/>
        </w:rPr>
        <w:t xml:space="preserve"> : 5 cas d'usage municipaux industrialisés en 24 mois pour faire la preuve de la valeur et ancrer le récit politique.</w:t>
      </w:r>
    </w:p>
    <w:p>
      <w:pPr>
        <w:keepNext/>
        <w:spacing w:before="320" w:after="120"/>
      </w:pPr>
      <w:r>
        <w:rPr>
          <w:rFonts w:ascii="Georgia" w:hAnsi="Georgia"/>
          <w:b/>
          <w:color w:val="0F172A"/>
          <w:sz w:val="30"/>
        </w:rPr>
        <w:t>2. Pôle 1 : Axe Ville de Nice (Sécurité &amp; Cadre de Vie)</w:t>
      </w:r>
    </w:p>
    <w:p>
      <w:pPr>
        <w:keepNext/>
        <w:spacing w:before="240" w:after="80"/>
      </w:pPr>
      <w:r>
        <w:rPr>
          <w:rFonts w:ascii="Georgia" w:hAnsi="Georgia"/>
          <w:b/>
          <w:color w:val="1E3A8A"/>
          <w:sz w:val="25"/>
        </w:rPr>
        <w:t>1. CSU Augmenté &amp; Vidéoprotection VSA (-65 % d'Incivilités)</w:t>
      </w:r>
    </w:p>
    <w:p>
      <w:pPr>
        <w:spacing w:before="40" w:after="100" w:line="276" w:lineRule="auto"/>
      </w:pPr>
      <w:r>
        <w:rPr>
          <w:color w:val="1E293B"/>
        </w:rPr>
        <w:t>Passage de la vidéosurveillance passive à l'alerte prédictive en temps réel sur 4 300+ caméras. Détection automatique des dépôts sauvages, dégradations et intrusions. Réduction du délai d'intervention de la PM de 45 min à moins de 6 min.</w:t>
      </w:r>
    </w:p>
    <w:p>
      <w:pPr>
        <w:keepNext/>
        <w:spacing w:before="240" w:after="80"/>
      </w:pPr>
      <w:r>
        <w:rPr>
          <w:rFonts w:ascii="Georgia" w:hAnsi="Georgia"/>
          <w:b/>
          <w:color w:val="1E3A8A"/>
          <w:sz w:val="25"/>
        </w:rPr>
        <w:t>2. Guichet Vocal Allo Niçois Séniors 24/7</w:t>
      </w:r>
    </w:p>
    <w:p>
      <w:pPr>
        <w:spacing w:before="40" w:after="100" w:line="276" w:lineRule="auto"/>
      </w:pPr>
      <w:r>
        <w:rPr>
          <w:color w:val="1E293B"/>
        </w:rPr>
        <w:t>Agent vocal souverain traitant 40 % des appels récurrents des aînés sans files d'attente téléphoniques, tout en maintenant un accompagnement humain prioritaire.</w:t>
      </w:r>
    </w:p>
    <w:p>
      <w:pPr>
        <w:keepNext/>
        <w:spacing w:before="240" w:after="80"/>
      </w:pPr>
      <w:r>
        <w:rPr>
          <w:rFonts w:ascii="Georgia" w:hAnsi="Georgia"/>
          <w:b/>
          <w:color w:val="1E3A8A"/>
          <w:sz w:val="25"/>
        </w:rPr>
        <w:t>3. Propreté Augmentée &amp; Routage Voies Publiques</w:t>
      </w:r>
    </w:p>
    <w:p>
      <w:pPr>
        <w:spacing w:before="40" w:after="100" w:line="276" w:lineRule="auto"/>
      </w:pPr>
      <w:r>
        <w:rPr>
          <w:color w:val="1E293B"/>
        </w:rPr>
        <w:t>Analyse vidéo VSA embarquée sur véhicules municipaux pour cartographier les anomalies et déclencher les interventions sous 6 heures.</w:t>
      </w:r>
    </w:p>
    <w:p>
      <w:pPr>
        <w:keepNext/>
        <w:spacing w:before="320" w:after="120"/>
      </w:pPr>
      <w:r>
        <w:rPr>
          <w:rFonts w:ascii="Georgia" w:hAnsi="Georgia"/>
          <w:b/>
          <w:color w:val="0F172A"/>
          <w:sz w:val="30"/>
        </w:rPr>
        <w:t>3. Pôle 2 : Axe Métropole Nice Côte d'Azur (Budget &amp; Monaco)</w:t>
      </w:r>
    </w:p>
    <w:p>
      <w:pPr>
        <w:keepNext/>
        <w:spacing w:before="240" w:after="80"/>
      </w:pPr>
      <w:r>
        <w:rPr>
          <w:rFonts w:ascii="Georgia" w:hAnsi="Georgia"/>
          <w:b/>
          <w:color w:val="1E3A8A"/>
          <w:sz w:val="25"/>
        </w:rPr>
        <w:t>4. Audit IA de la Commande Publique Métropolitaine (+2,5 M€ / an Net)</w:t>
      </w:r>
    </w:p>
    <w:p>
      <w:pPr>
        <w:spacing w:before="40" w:after="100" w:line="276" w:lineRule="auto"/>
      </w:pPr>
      <w:r>
        <w:rPr>
          <w:color w:val="1E293B"/>
        </w:rPr>
        <w:t>Contrôle sémantique automatisé à 100 % des factures, devis et BPU (volume annuel 300 M€). Détection des doublons et surfacturations (0,5 % à 2,0 % d'erreurs filtrées).</w:t>
      </w:r>
    </w:p>
    <w:p>
      <w:pPr>
        <w:keepNext/>
        <w:spacing w:before="240" w:after="80"/>
      </w:pPr>
      <w:r>
        <w:rPr>
          <w:rFonts w:ascii="Georgia" w:hAnsi="Georgia"/>
          <w:b/>
          <w:color w:val="1E3A8A"/>
          <w:sz w:val="25"/>
        </w:rPr>
        <w:t>5. Bouclier Cybersécurité IA NIS 2 (1,8 M€ à 3 M€ Évités)</w:t>
      </w:r>
    </w:p>
    <w:p>
      <w:pPr>
        <w:spacing w:before="40" w:after="100" w:line="276" w:lineRule="auto"/>
      </w:pPr>
      <w:r>
        <w:rPr>
          <w:color w:val="1E293B"/>
        </w:rPr>
        <w:t>SOC métropolitain 24/7 armé d'agents IA autonomes. Partitionnement étanche du CSU (Air-Gap) et éradication du Shadow AI.</w:t>
      </w:r>
    </w:p>
    <w:p>
      <w:pPr>
        <w:keepNext/>
        <w:spacing w:before="240" w:after="80"/>
      </w:pPr>
      <w:r>
        <w:rPr>
          <w:rFonts w:ascii="Georgia" w:hAnsi="Georgia"/>
          <w:b/>
          <w:color w:val="1E3A8A"/>
          <w:sz w:val="25"/>
        </w:rPr>
        <w:t>6. Migration Monaco Cloud &amp; Redondance IT (1,5 M€ à 2,8 M€ / an)</w:t>
      </w:r>
    </w:p>
    <w:p>
      <w:pPr>
        <w:spacing w:before="40" w:after="100" w:line="276" w:lineRule="auto"/>
      </w:pPr>
      <w:r>
        <w:rPr>
          <w:color w:val="1E293B"/>
        </w:rPr>
        <w:t>Migration souveraine vers Monaco Cloud (1er Cloud d'État UE). Économies directes de fonctionnement IT + 8 M€ à 12 M€ de CAPEX datacenter évité.</w:t>
      </w:r>
    </w:p>
    <w:p>
      <w:pPr>
        <w:keepNext/>
        <w:spacing w:before="320" w:after="120"/>
      </w:pPr>
      <w:r>
        <w:rPr>
          <w:rFonts w:ascii="Georgia" w:hAnsi="Georgia"/>
          <w:b/>
          <w:color w:val="0F172A"/>
          <w:sz w:val="30"/>
        </w:rPr>
        <w:t>4. ANNEXE : VALIDATION JURIDIQUE, STATISTIQUE ET RÉFÉRENCES DOCUMENTAIRES COMPLÈTES</w:t>
      </w:r>
    </w:p>
    <w:p>
      <w:pPr>
        <w:pStyle w:val="ListBullet"/>
        <w:spacing w:before="40" w:after="60"/>
      </w:pPr>
      <w:r>
        <w:rPr>
          <w:b/>
          <w:color w:val="0F172A"/>
        </w:rPr>
        <w:t>1. Note Stratégique « Opération Prométhée » — Le Grand Continent (Juillet 2026)</w:t>
      </w:r>
      <w:r>
        <w:rPr>
          <w:color w:val="1E293B"/>
        </w:rPr>
        <w:t xml:space="preserve"> : Plan national de 700 Md$ (12 GW, 1 700 chercheurs).</w:t>
      </w:r>
    </w:p>
    <w:p>
      <w:pPr>
        <w:pStyle w:val="ListBullet"/>
        <w:spacing w:before="40" w:after="60"/>
      </w:pPr>
      <w:r>
        <w:rPr>
          <w:b/>
          <w:color w:val="0F172A"/>
        </w:rPr>
        <w:t>2. Appel d'Offres Européen AI Gigafactories (30 Juillet 2026)</w:t>
      </w:r>
      <w:r>
        <w:rPr>
          <w:color w:val="1E293B"/>
        </w:rPr>
        <w:t xml:space="preserve"> : EuroHPC JU (Lot 1) — 30 Md€ d'enveloppe, 500 M€ de subvention par site.</w:t>
      </w:r>
    </w:p>
    <w:p>
      <w:pPr>
        <w:pStyle w:val="ListBullet"/>
        <w:spacing w:before="40" w:after="60"/>
      </w:pPr>
      <w:r>
        <w:rPr>
          <w:b/>
          <w:color w:val="0F172A"/>
        </w:rPr>
        <w:t>3. AI Act Européen — Règlement (UE) 2024/1689 du 13 juin 2024</w:t>
      </w:r>
      <w:r>
        <w:rPr>
          <w:color w:val="1E293B"/>
        </w:rPr>
        <w:t xml:space="preserve"> : Encadrement des systèmes IA et exclusion du profilage biométrique en temps réel.</w:t>
      </w:r>
    </w:p>
    <w:p>
      <w:pPr>
        <w:pStyle w:val="ListBullet"/>
        <w:spacing w:before="40" w:after="60"/>
      </w:pPr>
      <w:r>
        <w:rPr>
          <w:b/>
          <w:color w:val="0F172A"/>
        </w:rPr>
        <w:t>4. Loi n° 2023-380 du 19 mai 2023 (Loi JOP 2024 - Art. 10)</w:t>
      </w:r>
      <w:r>
        <w:rPr>
          <w:color w:val="1E293B"/>
        </w:rPr>
        <w:t xml:space="preserve"> : Cadre expérimental VSA pour la détection automatisée d'événements.</w:t>
      </w:r>
    </w:p>
    <w:p>
      <w:pPr>
        <w:pStyle w:val="ListBullet"/>
        <w:spacing w:before="40" w:after="60"/>
      </w:pPr>
      <w:r>
        <w:rPr>
          <w:b/>
          <w:color w:val="0F172A"/>
        </w:rPr>
        <w:t>5. Jurisprudence Conseil d'État (30 janvier 2026 - Commune de Nice)</w:t>
      </w:r>
      <w:r>
        <w:rPr>
          <w:color w:val="1E293B"/>
        </w:rPr>
        <w:t xml:space="preserve"> : Cadre d'expérimentation municipale sous supervision d'intérêt public.</w:t>
      </w:r>
    </w:p>
    <w:p>
      <w:pPr>
        <w:pStyle w:val="ListBullet"/>
        <w:spacing w:before="40" w:after="60"/>
      </w:pPr>
      <w:r>
        <w:rPr>
          <w:b/>
          <w:color w:val="0F172A"/>
        </w:rPr>
        <w:t>6. Directive Européenne NIS 2 (UE 2022/2555)</w:t>
      </w:r>
      <w:r>
        <w:rPr>
          <w:color w:val="1E293B"/>
        </w:rPr>
        <w:t xml:space="preserve"> : Renforcement légal de la cybersécurité des systèmes métropolitains.</w:t>
      </w:r>
    </w:p>
    <w:p>
      <w:pPr>
        <w:pStyle w:val="ListBullet"/>
        <w:spacing w:before="40" w:after="60"/>
      </w:pPr>
      <w:r>
        <w:rPr>
          <w:b/>
          <w:color w:val="0F172A"/>
        </w:rPr>
        <w:t>7. Rapport Institut 3IA Côte d'Azur &amp; Université Côte d'Azur (2025/2026)</w:t>
      </w:r>
      <w:r>
        <w:rPr>
          <w:color w:val="1E293B"/>
        </w:rPr>
        <w:t xml:space="preserve"> : &gt; 100 chaires de recherche de niveau mondial.</w:t>
      </w:r>
    </w:p>
    <w:p>
      <w:pPr>
        <w:pStyle w:val="ListBullet"/>
        <w:spacing w:before="40" w:after="60"/>
      </w:pPr>
      <w:r>
        <w:rPr>
          <w:b/>
          <w:color w:val="0F172A"/>
        </w:rPr>
        <w:t>8. Technopole Sophia Antipolis &amp; Invest in Côte d'Azur (2025/2026)</w:t>
      </w:r>
      <w:r>
        <w:rPr>
          <w:color w:val="1E293B"/>
        </w:rPr>
        <w:t xml:space="preserve"> : 2 700 entreprises, 46 000 emplois, 5 500 chercheurs.</w:t>
      </w:r>
    </w:p>
    <w:p>
      <w:pPr>
        <w:pStyle w:val="ListBullet"/>
        <w:spacing w:before="40" w:after="60"/>
      </w:pPr>
      <w:r>
        <w:rPr>
          <w:b/>
          <w:color w:val="0F172A"/>
        </w:rPr>
        <w:t>9. Programme Extended Monaco &amp; Monaco Cloud (gouv.mc / monacocloud.mc)</w:t>
      </w:r>
      <w:r>
        <w:rPr>
          <w:color w:val="1E293B"/>
        </w:rPr>
        <w:t xml:space="preserve"> : Infrastructure souveraine certifiée AMSN.</w:t>
      </w:r>
    </w:p>
    <w:p>
      <w:pPr>
        <w:pStyle w:val="ListBullet"/>
        <w:spacing w:before="40" w:after="60"/>
      </w:pPr>
      <w:r>
        <w:rPr>
          <w:b/>
          <w:color w:val="0F172A"/>
        </w:rPr>
        <w:t>10. Audit RTE / CNDP (2025)</w:t>
      </w:r>
      <w:r>
        <w:rPr>
          <w:color w:val="1E293B"/>
        </w:rPr>
        <w:t xml:space="preserve"> : Analyse de la presqu'île électrique des Alpes-Maritimes et contraintes de charge.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