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24682" w14:textId="77777777" w:rsidR="005B6EA6" w:rsidRDefault="00000000">
      <w:pPr>
        <w:rPr>
          <w:b/>
          <w:bCs/>
          <w:sz w:val="26"/>
          <w:szCs w:val="26"/>
          <w:highlight w:val="white"/>
        </w:rPr>
      </w:pPr>
      <w:r>
        <w:rPr>
          <w:b/>
          <w:bCs/>
          <w:sz w:val="26"/>
          <w:szCs w:val="26"/>
          <w:highlight w:val="white"/>
        </w:rPr>
        <w:t>Spring Data JPA (aka Spring Data)</w:t>
      </w:r>
      <w:r>
        <w:rPr>
          <w:sz w:val="26"/>
          <w:szCs w:val="26"/>
          <w:highlight w:val="white"/>
        </w:rPr>
        <w:t xml:space="preserve"> </w:t>
      </w:r>
    </w:p>
    <w:p w14:paraId="45624683" w14:textId="77777777" w:rsidR="005B6EA6" w:rsidRDefault="005B6EA6">
      <w:pPr>
        <w:rPr>
          <w:b/>
          <w:bCs/>
          <w:sz w:val="26"/>
          <w:szCs w:val="26"/>
          <w:highlight w:val="white"/>
        </w:rPr>
      </w:pPr>
    </w:p>
    <w:p w14:paraId="45624684" w14:textId="77777777" w:rsidR="005B6EA6" w:rsidRDefault="00000000">
      <w:pPr>
        <w:numPr>
          <w:ilvl w:val="0"/>
          <w:numId w:val="12"/>
        </w:numPr>
        <w:rPr>
          <w:highlight w:val="white"/>
        </w:rPr>
      </w:pPr>
      <w:r>
        <w:rPr>
          <w:highlight w:val="white"/>
        </w:rPr>
        <w:t xml:space="preserve">Spring Data JPA is </w:t>
      </w:r>
      <w:r>
        <w:rPr>
          <w:b/>
          <w:bCs/>
          <w:highlight w:val="white"/>
        </w:rPr>
        <w:t xml:space="preserve">a Spring Project </w:t>
      </w:r>
      <w:r>
        <w:rPr>
          <w:highlight w:val="white"/>
        </w:rPr>
        <w:t>that provides repository support for the</w:t>
      </w:r>
      <w:r>
        <w:rPr>
          <w:b/>
          <w:bCs/>
          <w:highlight w:val="white"/>
        </w:rPr>
        <w:t xml:space="preserve"> J</w:t>
      </w:r>
      <w:r>
        <w:rPr>
          <w:highlight w:val="white"/>
        </w:rPr>
        <w:t xml:space="preserve">ava </w:t>
      </w:r>
      <w:r>
        <w:rPr>
          <w:b/>
          <w:bCs/>
          <w:highlight w:val="white"/>
        </w:rPr>
        <w:t>P</w:t>
      </w:r>
      <w:r>
        <w:rPr>
          <w:highlight w:val="white"/>
        </w:rPr>
        <w:t xml:space="preserve">ersistence </w:t>
      </w:r>
      <w:r>
        <w:rPr>
          <w:b/>
          <w:bCs/>
          <w:highlight w:val="white"/>
        </w:rPr>
        <w:t>A</w:t>
      </w:r>
      <w:r>
        <w:rPr>
          <w:highlight w:val="white"/>
        </w:rPr>
        <w:t xml:space="preserve">PI </w:t>
      </w:r>
      <w:r>
        <w:rPr>
          <w:b/>
          <w:bCs/>
          <w:highlight w:val="white"/>
        </w:rPr>
        <w:t>using JDBC under the hood.</w:t>
      </w:r>
      <w:r>
        <w:br/>
      </w:r>
    </w:p>
    <w:p w14:paraId="45624685" w14:textId="77777777" w:rsidR="005B6EA6" w:rsidRDefault="00000000">
      <w:pPr>
        <w:numPr>
          <w:ilvl w:val="0"/>
          <w:numId w:val="12"/>
        </w:numPr>
        <w:rPr>
          <w:b/>
          <w:bCs/>
          <w:highlight w:val="white"/>
        </w:rPr>
      </w:pPr>
      <w:r w:rsidRPr="00A13B7F">
        <w:rPr>
          <w:b/>
          <w:bCs/>
          <w:highlight w:val="white"/>
        </w:rPr>
        <w:t>Spring Data abstracts away</w:t>
      </w:r>
      <w:r>
        <w:rPr>
          <w:highlight w:val="white"/>
        </w:rPr>
        <w:t xml:space="preserve"> a framework called</w:t>
      </w:r>
      <w:r>
        <w:rPr>
          <w:b/>
          <w:bCs/>
          <w:highlight w:val="white"/>
        </w:rPr>
        <w:t xml:space="preserve"> Hibernate, </w:t>
      </w:r>
      <w:r>
        <w:rPr>
          <w:highlight w:val="white"/>
        </w:rPr>
        <w:t>which abstracts away JDBC.</w:t>
      </w:r>
    </w:p>
    <w:p w14:paraId="45624686" w14:textId="77777777" w:rsidR="005B6EA6" w:rsidRDefault="00000000">
      <w:pPr>
        <w:numPr>
          <w:ilvl w:val="1"/>
          <w:numId w:val="12"/>
        </w:numPr>
        <w:rPr>
          <w:highlight w:val="white"/>
        </w:rPr>
      </w:pPr>
      <w:r>
        <w:rPr>
          <w:highlight w:val="white"/>
        </w:rPr>
        <w:t>So our DAOs are about to be WAY simpler, and we’re going to be able to do all our DDL from annotations in our model classes. So no need to write SQL.</w:t>
      </w:r>
      <w:r>
        <w:br/>
      </w:r>
    </w:p>
    <w:p w14:paraId="45624687" w14:textId="77777777" w:rsidR="005B6EA6" w:rsidRDefault="00000000">
      <w:pPr>
        <w:numPr>
          <w:ilvl w:val="0"/>
          <w:numId w:val="12"/>
        </w:numPr>
        <w:rPr>
          <w:highlight w:val="white"/>
        </w:rPr>
      </w:pPr>
      <w:r>
        <w:rPr>
          <w:highlight w:val="white"/>
        </w:rPr>
        <w:t>It heavily eases development for projects that use JPA data sources (read below)</w:t>
      </w:r>
    </w:p>
    <w:p w14:paraId="45624688" w14:textId="77777777" w:rsidR="005B6EA6" w:rsidRDefault="00000000">
      <w:pPr>
        <w:numPr>
          <w:ilvl w:val="1"/>
          <w:numId w:val="12"/>
        </w:numPr>
        <w:rPr>
          <w:highlight w:val="white"/>
        </w:rPr>
      </w:pPr>
      <w:r>
        <w:rPr>
          <w:highlight w:val="white"/>
        </w:rPr>
        <w:t>It also follows the philosophy of convention over configuration</w:t>
      </w:r>
    </w:p>
    <w:p w14:paraId="45624689" w14:textId="77777777" w:rsidR="005B6EA6" w:rsidRDefault="005B6EA6">
      <w:pPr>
        <w:rPr>
          <w:highlight w:val="white"/>
        </w:rPr>
      </w:pPr>
    </w:p>
    <w:p w14:paraId="4562468A" w14:textId="77777777" w:rsidR="005B6EA6" w:rsidRDefault="00000000">
      <w:pPr>
        <w:rPr>
          <w:b/>
          <w:bCs/>
          <w:sz w:val="26"/>
          <w:szCs w:val="26"/>
        </w:rPr>
      </w:pPr>
      <w:r>
        <w:rPr>
          <w:b/>
          <w:bCs/>
          <w:sz w:val="26"/>
          <w:szCs w:val="26"/>
        </w:rPr>
        <w:t>What is the JPA?</w:t>
      </w:r>
    </w:p>
    <w:p w14:paraId="4562468B" w14:textId="77777777" w:rsidR="005B6EA6" w:rsidRDefault="005B6EA6">
      <w:pPr>
        <w:rPr>
          <w:b/>
          <w:bCs/>
          <w:sz w:val="26"/>
          <w:szCs w:val="26"/>
        </w:rPr>
      </w:pPr>
    </w:p>
    <w:p w14:paraId="4562468C" w14:textId="77777777" w:rsidR="005B6EA6" w:rsidRDefault="00000000">
      <w:pPr>
        <w:numPr>
          <w:ilvl w:val="0"/>
          <w:numId w:val="13"/>
        </w:numPr>
        <w:rPr>
          <w:b/>
          <w:bCs/>
          <w:sz w:val="26"/>
          <w:szCs w:val="26"/>
        </w:rPr>
      </w:pPr>
      <w:r>
        <w:rPr>
          <w:b/>
          <w:bCs/>
          <w:sz w:val="26"/>
          <w:szCs w:val="26"/>
        </w:rPr>
        <w:t>JPA</w:t>
      </w:r>
      <w:r>
        <w:rPr>
          <w:sz w:val="26"/>
          <w:szCs w:val="26"/>
        </w:rPr>
        <w:t xml:space="preserve"> </w:t>
      </w:r>
      <w:r>
        <w:t xml:space="preserve">stands for </w:t>
      </w:r>
      <w:r>
        <w:rPr>
          <w:b/>
          <w:bCs/>
        </w:rPr>
        <w:t>J</w:t>
      </w:r>
      <w:r>
        <w:t xml:space="preserve">ava </w:t>
      </w:r>
      <w:r>
        <w:rPr>
          <w:b/>
          <w:bCs/>
        </w:rPr>
        <w:t>P</w:t>
      </w:r>
      <w:r>
        <w:t xml:space="preserve">ersistence </w:t>
      </w:r>
      <w:r>
        <w:rPr>
          <w:b/>
          <w:bCs/>
        </w:rPr>
        <w:t>A</w:t>
      </w:r>
      <w:r>
        <w:t xml:space="preserve">PI. </w:t>
      </w:r>
    </w:p>
    <w:p w14:paraId="4562468D" w14:textId="77777777" w:rsidR="005B6EA6" w:rsidRDefault="00000000">
      <w:pPr>
        <w:numPr>
          <w:ilvl w:val="1"/>
          <w:numId w:val="13"/>
        </w:numPr>
        <w:rPr>
          <w:b/>
          <w:bCs/>
        </w:rPr>
      </w:pPr>
      <w:r>
        <w:rPr>
          <w:b/>
          <w:bCs/>
        </w:rPr>
        <w:t>BIG PICTURE: JPA is where we get the annotations that map our model classes to DB tables.</w:t>
      </w:r>
      <w:r>
        <w:br/>
      </w:r>
    </w:p>
    <w:p w14:paraId="4562468E" w14:textId="77777777" w:rsidR="005B6EA6" w:rsidRDefault="00000000">
      <w:pPr>
        <w:numPr>
          <w:ilvl w:val="0"/>
          <w:numId w:val="13"/>
        </w:numPr>
      </w:pPr>
      <w:r>
        <w:t xml:space="preserve">The JPA is defined in the </w:t>
      </w:r>
      <w:proofErr w:type="spellStart"/>
      <w:r>
        <w:t>jakarta.persistence</w:t>
      </w:r>
      <w:proofErr w:type="spellEnd"/>
      <w:r>
        <w:t xml:space="preserve"> package. So anything we import from JPA will come from </w:t>
      </w:r>
      <w:proofErr w:type="spellStart"/>
      <w:r>
        <w:t>jakarta.persistence.SOMETHING</w:t>
      </w:r>
      <w:proofErr w:type="spellEnd"/>
      <w:r>
        <w:br/>
      </w:r>
    </w:p>
    <w:p w14:paraId="4562468F" w14:textId="77777777" w:rsidR="005B6EA6" w:rsidRDefault="00000000">
      <w:pPr>
        <w:numPr>
          <w:ilvl w:val="0"/>
          <w:numId w:val="13"/>
        </w:numPr>
        <w:rPr>
          <w:b/>
          <w:bCs/>
        </w:rPr>
      </w:pPr>
      <w:r>
        <w:t xml:space="preserve">It uses the </w:t>
      </w:r>
      <w:proofErr w:type="spellStart"/>
      <w:r>
        <w:rPr>
          <w:b/>
          <w:bCs/>
          <w:color w:val="0000FF"/>
        </w:rPr>
        <w:t>EntityManager</w:t>
      </w:r>
      <w:proofErr w:type="spellEnd"/>
      <w:r>
        <w:rPr>
          <w:b/>
          <w:bCs/>
          <w:color w:val="0000FF"/>
        </w:rPr>
        <w:t xml:space="preserve"> Interface</w:t>
      </w:r>
      <w:r>
        <w:rPr>
          <w:color w:val="0000FF"/>
        </w:rPr>
        <w:t xml:space="preserve"> </w:t>
      </w:r>
      <w:r>
        <w:t xml:space="preserve">to </w:t>
      </w:r>
      <w:r>
        <w:rPr>
          <w:b/>
          <w:bCs/>
        </w:rPr>
        <w:t xml:space="preserve">create, read, update and delete DB entities (tables) and their data in the database. </w:t>
      </w:r>
      <w:r>
        <w:t>Easy CRUD operations!</w:t>
      </w:r>
    </w:p>
    <w:p w14:paraId="45624690" w14:textId="77777777" w:rsidR="005B6EA6" w:rsidRDefault="00000000">
      <w:pPr>
        <w:numPr>
          <w:ilvl w:val="1"/>
          <w:numId w:val="13"/>
        </w:numPr>
      </w:pPr>
      <w:proofErr w:type="spellStart"/>
      <w:r>
        <w:t>EntityManager</w:t>
      </w:r>
      <w:proofErr w:type="spellEnd"/>
      <w:r>
        <w:t xml:space="preserve"> is the interface that lets us query/manipulate our database from our Java server</w:t>
      </w:r>
      <w:r>
        <w:br/>
      </w:r>
    </w:p>
    <w:p w14:paraId="45624691" w14:textId="77777777" w:rsidR="005B6EA6" w:rsidRDefault="00000000">
      <w:pPr>
        <w:numPr>
          <w:ilvl w:val="0"/>
          <w:numId w:val="13"/>
        </w:numPr>
      </w:pPr>
      <w:r>
        <w:t xml:space="preserve">JPA has standardized </w:t>
      </w:r>
      <w:r>
        <w:rPr>
          <w:b/>
          <w:bCs/>
        </w:rPr>
        <w:t>annotations</w:t>
      </w:r>
      <w:r>
        <w:t xml:space="preserve"> that we’ll rely on to create our DB tables (e.g. @Entity comes from </w:t>
      </w:r>
      <w:proofErr w:type="spellStart"/>
      <w:r>
        <w:t>javax.persistence</w:t>
      </w:r>
      <w:proofErr w:type="spellEnd"/>
      <w:r>
        <w:t xml:space="preserve"> and indicates that a model class is meant to be a DB table). </w:t>
      </w:r>
    </w:p>
    <w:p w14:paraId="45624692" w14:textId="77777777" w:rsidR="005B6EA6" w:rsidRDefault="00000000">
      <w:pPr>
        <w:numPr>
          <w:ilvl w:val="1"/>
          <w:numId w:val="13"/>
        </w:numPr>
      </w:pPr>
      <w:r>
        <w:t xml:space="preserve">So think: “Spring Data uses annotations from the JPA to directly map our Java models to Database tables”. So </w:t>
      </w:r>
      <w:r>
        <w:rPr>
          <w:b/>
          <w:bCs/>
        </w:rPr>
        <w:t>our DB tables get created by our Java models</w:t>
      </w:r>
      <w:r>
        <w:t>! Very powerful stuff.</w:t>
      </w:r>
    </w:p>
    <w:p w14:paraId="45624693" w14:textId="77777777" w:rsidR="005B6EA6" w:rsidRDefault="00000000">
      <w:pPr>
        <w:numPr>
          <w:ilvl w:val="2"/>
          <w:numId w:val="13"/>
        </w:numPr>
      </w:pPr>
      <w:r>
        <w:t xml:space="preserve">This is the concept of </w:t>
      </w:r>
      <w:r>
        <w:rPr>
          <w:b/>
          <w:bCs/>
        </w:rPr>
        <w:t>ORM (Object Relational Mapping)</w:t>
      </w:r>
      <w:r>
        <w:t>. It allows you to take your Java objects and map them to DB tables.</w:t>
      </w:r>
    </w:p>
    <w:p w14:paraId="45624694" w14:textId="77777777" w:rsidR="005B6EA6" w:rsidRDefault="005B6EA6">
      <w:pPr>
        <w:rPr>
          <w:highlight w:val="white"/>
        </w:rPr>
      </w:pPr>
    </w:p>
    <w:p w14:paraId="45624695" w14:textId="422FC04F" w:rsidR="005B6EA6" w:rsidRDefault="00000000">
      <w:pPr>
        <w:rPr>
          <w:highlight w:val="white"/>
        </w:rPr>
      </w:pPr>
      <w:r>
        <w:rPr>
          <w:highlight w:val="white"/>
        </w:rPr>
        <w:t>[I’ll post a JPA-annotated model</w:t>
      </w:r>
      <w:r w:rsidR="00E06277">
        <w:rPr>
          <w:highlight w:val="white"/>
        </w:rPr>
        <w:t xml:space="preserve"> Class from the demo</w:t>
      </w:r>
      <w:r>
        <w:rPr>
          <w:highlight w:val="white"/>
        </w:rPr>
        <w:t xml:space="preserve"> here]</w:t>
      </w:r>
    </w:p>
    <w:p w14:paraId="45624696" w14:textId="77777777" w:rsidR="005B6EA6" w:rsidRDefault="005B6EA6">
      <w:pPr>
        <w:rPr>
          <w:highlight w:val="white"/>
        </w:rPr>
      </w:pPr>
    </w:p>
    <w:p w14:paraId="45624697" w14:textId="77777777" w:rsidR="005B6EA6" w:rsidRDefault="00000000">
      <w:pPr>
        <w:rPr>
          <w:b/>
          <w:bCs/>
          <w:sz w:val="24"/>
          <w:szCs w:val="24"/>
        </w:rPr>
      </w:pPr>
      <w:r>
        <w:rPr>
          <w:b/>
          <w:bCs/>
          <w:sz w:val="24"/>
          <w:szCs w:val="24"/>
        </w:rPr>
        <w:t>Spring Data’s advantages over JDBC:</w:t>
      </w:r>
    </w:p>
    <w:p w14:paraId="45624698" w14:textId="77777777" w:rsidR="005B6EA6" w:rsidRDefault="005B6EA6">
      <w:pPr>
        <w:rPr>
          <w:b/>
          <w:bCs/>
          <w:sz w:val="24"/>
          <w:szCs w:val="24"/>
        </w:rPr>
      </w:pPr>
    </w:p>
    <w:p w14:paraId="45624699" w14:textId="77777777" w:rsidR="005B6EA6" w:rsidRDefault="00000000">
      <w:pPr>
        <w:numPr>
          <w:ilvl w:val="0"/>
          <w:numId w:val="8"/>
        </w:numPr>
      </w:pPr>
      <w:r>
        <w:t xml:space="preserve">JDBC, especially in larger applications, can become incredibly verbose and complex. </w:t>
      </w:r>
    </w:p>
    <w:p w14:paraId="4562469A" w14:textId="77777777" w:rsidR="005B6EA6" w:rsidRDefault="00000000">
      <w:pPr>
        <w:numPr>
          <w:ilvl w:val="0"/>
          <w:numId w:val="8"/>
        </w:numPr>
      </w:pPr>
      <w:r>
        <w:lastRenderedPageBreak/>
        <w:t>If we need to change our database dialect we would likely need to edit a significant amount of the syntax in our JDBC methods. Spring Data circumvents this issue entirely. It’s as simple as changing the database dialect in the config file. (</w:t>
      </w:r>
      <w:proofErr w:type="spellStart"/>
      <w:r>
        <w:t>application.properties</w:t>
      </w:r>
      <w:proofErr w:type="spellEnd"/>
      <w:r>
        <w:t>)</w:t>
      </w:r>
    </w:p>
    <w:p w14:paraId="4562469B" w14:textId="77777777" w:rsidR="005B6EA6" w:rsidRDefault="00000000">
      <w:pPr>
        <w:numPr>
          <w:ilvl w:val="0"/>
          <w:numId w:val="8"/>
        </w:numPr>
      </w:pPr>
      <w:r>
        <w:t xml:space="preserve">In JDBC we have to convert </w:t>
      </w:r>
      <w:proofErr w:type="spellStart"/>
      <w:r>
        <w:t>ResultSets</w:t>
      </w:r>
      <w:proofErr w:type="spellEnd"/>
      <w:r>
        <w:t xml:space="preserve"> manually to our POJOs (plain </w:t>
      </w:r>
      <w:proofErr w:type="spellStart"/>
      <w:r>
        <w:t>ol</w:t>
      </w:r>
      <w:proofErr w:type="spellEnd"/>
      <w:r>
        <w:t xml:space="preserve">’ Java objects), Spring Data will do that for us. </w:t>
      </w:r>
    </w:p>
    <w:p w14:paraId="4562469C" w14:textId="77777777" w:rsidR="005B6EA6" w:rsidRDefault="00000000">
      <w:pPr>
        <w:numPr>
          <w:ilvl w:val="0"/>
          <w:numId w:val="8"/>
        </w:numPr>
      </w:pPr>
      <w:r>
        <w:t>JDBC requires the developer to have specific knowledge of the database (table and column names) while Spring Data does not. We can create the tables as soon as we’re satisfied with our Java.</w:t>
      </w:r>
    </w:p>
    <w:p w14:paraId="4562469D" w14:textId="77777777" w:rsidR="005B6EA6" w:rsidRDefault="00000000">
      <w:pPr>
        <w:numPr>
          <w:ilvl w:val="0"/>
          <w:numId w:val="8"/>
        </w:numPr>
      </w:pPr>
      <w:r>
        <w:t>Spring Data requires MUCH fewer lines of connection code and DAO code. Saves us time if we know what we’re doing with our CRUD operations!</w:t>
      </w:r>
    </w:p>
    <w:p w14:paraId="4562469E" w14:textId="77777777" w:rsidR="005B6EA6" w:rsidRDefault="005B6EA6">
      <w:pPr>
        <w:rPr>
          <w:highlight w:val="white"/>
        </w:rPr>
      </w:pPr>
    </w:p>
    <w:p w14:paraId="456246AD" w14:textId="77777777" w:rsidR="005B6EA6" w:rsidRDefault="005B6EA6">
      <w:pPr>
        <w:rPr>
          <w:b/>
          <w:bCs/>
          <w:sz w:val="26"/>
          <w:szCs w:val="26"/>
          <w:highlight w:val="white"/>
        </w:rPr>
      </w:pPr>
    </w:p>
    <w:p w14:paraId="456246AE" w14:textId="77777777" w:rsidR="005B6EA6" w:rsidRDefault="00000000">
      <w:pPr>
        <w:rPr>
          <w:b/>
          <w:bCs/>
          <w:sz w:val="26"/>
          <w:szCs w:val="26"/>
          <w:highlight w:val="white"/>
        </w:rPr>
      </w:pPr>
      <w:r>
        <w:rPr>
          <w:b/>
          <w:bCs/>
          <w:sz w:val="26"/>
          <w:szCs w:val="26"/>
          <w:highlight w:val="white"/>
        </w:rPr>
        <w:t>Fundamental JPA Annotations in our Java Classes</w:t>
      </w:r>
    </w:p>
    <w:p w14:paraId="456246AF" w14:textId="77777777" w:rsidR="005B6EA6" w:rsidRDefault="005B6EA6">
      <w:pPr>
        <w:rPr>
          <w:b/>
          <w:bCs/>
          <w:sz w:val="26"/>
          <w:szCs w:val="26"/>
          <w:highlight w:val="white"/>
        </w:rPr>
      </w:pPr>
    </w:p>
    <w:p w14:paraId="456246B0" w14:textId="77777777" w:rsidR="005B6EA6" w:rsidRDefault="00000000">
      <w:pPr>
        <w:numPr>
          <w:ilvl w:val="0"/>
          <w:numId w:val="11"/>
        </w:numPr>
        <w:rPr>
          <w:highlight w:val="white"/>
        </w:rPr>
      </w:pPr>
      <w:r>
        <w:rPr>
          <w:highlight w:val="white"/>
        </w:rPr>
        <w:t xml:space="preserve">We’ll be using JPA Annotations for </w:t>
      </w:r>
      <w:r>
        <w:rPr>
          <w:b/>
          <w:bCs/>
          <w:highlight w:val="white"/>
        </w:rPr>
        <w:t>entity mapping/configuration via Java Classes</w:t>
      </w:r>
    </w:p>
    <w:p w14:paraId="456246B1" w14:textId="77777777" w:rsidR="005B6EA6" w:rsidRDefault="00000000">
      <w:pPr>
        <w:numPr>
          <w:ilvl w:val="1"/>
          <w:numId w:val="11"/>
        </w:numPr>
        <w:rPr>
          <w:highlight w:val="white"/>
        </w:rPr>
      </w:pPr>
      <w:r>
        <w:rPr>
          <w:highlight w:val="white"/>
        </w:rPr>
        <w:t>By entity mapping, I mean mapping our Java Classes into DB ENTITIES</w:t>
      </w:r>
    </w:p>
    <w:p w14:paraId="456246B2" w14:textId="77777777" w:rsidR="005B6EA6" w:rsidRDefault="00000000">
      <w:pPr>
        <w:numPr>
          <w:ilvl w:val="0"/>
          <w:numId w:val="11"/>
        </w:numPr>
        <w:rPr>
          <w:b/>
          <w:bCs/>
          <w:highlight w:val="white"/>
        </w:rPr>
      </w:pPr>
      <w:r>
        <w:rPr>
          <w:b/>
          <w:bCs/>
          <w:highlight w:val="white"/>
        </w:rPr>
        <w:t>@Entity</w:t>
      </w:r>
      <w:r>
        <w:rPr>
          <w:highlight w:val="white"/>
        </w:rPr>
        <w:t xml:space="preserve"> - Indicates that the Class is meant to be mapped to a DB table</w:t>
      </w:r>
    </w:p>
    <w:p w14:paraId="456246B3" w14:textId="77777777" w:rsidR="005B6EA6" w:rsidRDefault="00000000">
      <w:pPr>
        <w:numPr>
          <w:ilvl w:val="0"/>
          <w:numId w:val="11"/>
        </w:numPr>
        <w:rPr>
          <w:b/>
          <w:bCs/>
          <w:highlight w:val="white"/>
        </w:rPr>
      </w:pPr>
      <w:r>
        <w:rPr>
          <w:b/>
          <w:bCs/>
          <w:highlight w:val="white"/>
        </w:rPr>
        <w:t>@Table</w:t>
      </w:r>
      <w:r>
        <w:rPr>
          <w:highlight w:val="white"/>
        </w:rPr>
        <w:t xml:space="preserve"> - Doesn’t actually make a class a table (@Entity does that) but it’s useful for setting table options such as the name of the table in the database</w:t>
      </w:r>
    </w:p>
    <w:p w14:paraId="456246B4" w14:textId="77777777" w:rsidR="005B6EA6" w:rsidRDefault="00000000">
      <w:pPr>
        <w:numPr>
          <w:ilvl w:val="0"/>
          <w:numId w:val="11"/>
        </w:numPr>
        <w:rPr>
          <w:b/>
          <w:bCs/>
          <w:highlight w:val="white"/>
        </w:rPr>
      </w:pPr>
      <w:r>
        <w:rPr>
          <w:b/>
          <w:bCs/>
          <w:highlight w:val="white"/>
        </w:rPr>
        <w:t>@Column</w:t>
      </w:r>
      <w:r>
        <w:rPr>
          <w:highlight w:val="white"/>
        </w:rPr>
        <w:t xml:space="preserve"> - Defines a variable as a column in the table. Hibernate will turn all of a Class’s field in DB columns by default, BUT using the annotation lets us set things such as column name, or constraints like not null, and unique.  </w:t>
      </w:r>
    </w:p>
    <w:p w14:paraId="456246B5" w14:textId="77777777" w:rsidR="005B6EA6" w:rsidRDefault="00000000">
      <w:pPr>
        <w:numPr>
          <w:ilvl w:val="0"/>
          <w:numId w:val="11"/>
        </w:numPr>
        <w:rPr>
          <w:b/>
          <w:bCs/>
          <w:highlight w:val="white"/>
        </w:rPr>
      </w:pPr>
      <w:r>
        <w:rPr>
          <w:b/>
          <w:bCs/>
          <w:highlight w:val="white"/>
        </w:rPr>
        <w:t>@Id</w:t>
      </w:r>
      <w:r>
        <w:rPr>
          <w:highlight w:val="white"/>
        </w:rPr>
        <w:t xml:space="preserve"> - Declares a variable as a primary key in a table</w:t>
      </w:r>
    </w:p>
    <w:p w14:paraId="456246B6" w14:textId="77777777" w:rsidR="005B6EA6" w:rsidRDefault="00000000">
      <w:pPr>
        <w:numPr>
          <w:ilvl w:val="1"/>
          <w:numId w:val="11"/>
        </w:numPr>
        <w:rPr>
          <w:b/>
          <w:bCs/>
          <w:highlight w:val="white"/>
        </w:rPr>
      </w:pPr>
      <w:r>
        <w:rPr>
          <w:b/>
          <w:bCs/>
          <w:highlight w:val="white"/>
        </w:rPr>
        <w:t>@GeneratedValue</w:t>
      </w:r>
      <w:r>
        <w:rPr>
          <w:highlight w:val="white"/>
        </w:rPr>
        <w:t xml:space="preserve"> - This gives you control over the options for how Hibernate will auto-generate your primary key.</w:t>
      </w:r>
    </w:p>
    <w:p w14:paraId="456246B7" w14:textId="77777777" w:rsidR="005B6EA6" w:rsidRDefault="005B6EA6">
      <w:pPr>
        <w:rPr>
          <w:highlight w:val="white"/>
        </w:rPr>
      </w:pPr>
    </w:p>
    <w:p w14:paraId="668A4099" w14:textId="77777777" w:rsidR="00E06277" w:rsidRDefault="00E06277">
      <w:pPr>
        <w:rPr>
          <w:highlight w:val="white"/>
        </w:rPr>
      </w:pPr>
    </w:p>
    <w:p w14:paraId="456246B9" w14:textId="77777777" w:rsidR="005B6EA6" w:rsidRDefault="00000000">
      <w:pPr>
        <w:rPr>
          <w:b/>
          <w:bCs/>
          <w:sz w:val="26"/>
          <w:szCs w:val="26"/>
          <w:highlight w:val="white"/>
        </w:rPr>
      </w:pPr>
      <w:r>
        <w:rPr>
          <w:b/>
          <w:bCs/>
          <w:sz w:val="26"/>
          <w:szCs w:val="26"/>
          <w:highlight w:val="white"/>
        </w:rPr>
        <w:t>JPA Relationship Annotations</w:t>
      </w:r>
    </w:p>
    <w:p w14:paraId="456246BA" w14:textId="77777777" w:rsidR="005B6EA6" w:rsidRDefault="005B6EA6">
      <w:pPr>
        <w:rPr>
          <w:b/>
          <w:bCs/>
          <w:sz w:val="26"/>
          <w:szCs w:val="26"/>
          <w:highlight w:val="white"/>
        </w:rPr>
      </w:pPr>
    </w:p>
    <w:p w14:paraId="456246BB" w14:textId="77777777" w:rsidR="005B6EA6" w:rsidRDefault="00000000">
      <w:pPr>
        <w:numPr>
          <w:ilvl w:val="0"/>
          <w:numId w:val="10"/>
        </w:numPr>
        <w:rPr>
          <w:b/>
          <w:bCs/>
          <w:highlight w:val="white"/>
        </w:rPr>
      </w:pPr>
      <w:r>
        <w:rPr>
          <w:b/>
          <w:bCs/>
          <w:highlight w:val="white"/>
        </w:rPr>
        <w:t xml:space="preserve">@ManyToOne/@OneToMany/@ManyToMany </w:t>
      </w:r>
      <w:r>
        <w:rPr>
          <w:highlight w:val="white"/>
        </w:rPr>
        <w:t xml:space="preserve">- These annotations </w:t>
      </w:r>
      <w:r>
        <w:rPr>
          <w:b/>
          <w:bCs/>
          <w:highlight w:val="white"/>
        </w:rPr>
        <w:t>define the relationship between our model classes in Java.</w:t>
      </w:r>
      <w:r>
        <w:rPr>
          <w:highlight w:val="white"/>
        </w:rPr>
        <w:t xml:space="preserve"> (Which, as we know, map to tables in our DB.)</w:t>
      </w:r>
    </w:p>
    <w:p w14:paraId="456246BC" w14:textId="77777777" w:rsidR="005B6EA6" w:rsidRDefault="005B6EA6">
      <w:pPr>
        <w:rPr>
          <w:highlight w:val="white"/>
        </w:rPr>
      </w:pPr>
    </w:p>
    <w:p w14:paraId="456246BD" w14:textId="77777777" w:rsidR="005B6EA6" w:rsidRDefault="00000000">
      <w:pPr>
        <w:numPr>
          <w:ilvl w:val="0"/>
          <w:numId w:val="10"/>
        </w:numPr>
        <w:rPr>
          <w:highlight w:val="white"/>
        </w:rPr>
      </w:pPr>
      <w:r>
        <w:rPr>
          <w:highlight w:val="white"/>
        </w:rPr>
        <w:t xml:space="preserve">There are many options for setting up the relationship correctly. </w:t>
      </w:r>
      <w:r>
        <w:rPr>
          <w:b/>
          <w:bCs/>
          <w:highlight w:val="white"/>
        </w:rPr>
        <w:t>The relationship is defined from the perspective of the Class in which the annotation sits.</w:t>
      </w:r>
    </w:p>
    <w:p w14:paraId="456246BE" w14:textId="77777777" w:rsidR="005B6EA6" w:rsidRDefault="00000000">
      <w:pPr>
        <w:numPr>
          <w:ilvl w:val="1"/>
          <w:numId w:val="10"/>
        </w:numPr>
        <w:rPr>
          <w:highlight w:val="white"/>
        </w:rPr>
      </w:pPr>
      <w:r>
        <w:rPr>
          <w:highlight w:val="white"/>
        </w:rPr>
        <w:t>The field on the “Many” side would have @ManyToOne, and the field on the “One” side would have @OneToMany. I typically leave just one annotation on the @ManyToOne side, and leave the “One” side alone (I do this in the demo)</w:t>
      </w:r>
    </w:p>
    <w:p w14:paraId="456246BF" w14:textId="77777777" w:rsidR="005B6EA6" w:rsidRDefault="00000000">
      <w:pPr>
        <w:numPr>
          <w:ilvl w:val="1"/>
          <w:numId w:val="10"/>
        </w:numPr>
        <w:rPr>
          <w:highlight w:val="white"/>
        </w:rPr>
      </w:pPr>
      <w:r>
        <w:rPr>
          <w:highlight w:val="white"/>
        </w:rPr>
        <w:t xml:space="preserve">In these relationship annotations, we can specify a few attributes, like </w:t>
      </w:r>
      <w:proofErr w:type="spellStart"/>
      <w:r>
        <w:rPr>
          <w:highlight w:val="white"/>
        </w:rPr>
        <w:t>CascadeType</w:t>
      </w:r>
      <w:proofErr w:type="spellEnd"/>
      <w:r>
        <w:rPr>
          <w:highlight w:val="white"/>
        </w:rPr>
        <w:t xml:space="preserve"> and </w:t>
      </w:r>
      <w:proofErr w:type="spellStart"/>
      <w:r>
        <w:rPr>
          <w:highlight w:val="white"/>
        </w:rPr>
        <w:t>FetchType</w:t>
      </w:r>
      <w:proofErr w:type="spellEnd"/>
      <w:r>
        <w:rPr>
          <w:highlight w:val="white"/>
        </w:rPr>
        <w:t xml:space="preserve"> (read below)</w:t>
      </w:r>
    </w:p>
    <w:p w14:paraId="456246C0" w14:textId="77777777" w:rsidR="005B6EA6" w:rsidRDefault="00000000">
      <w:pPr>
        <w:numPr>
          <w:ilvl w:val="0"/>
          <w:numId w:val="10"/>
        </w:numPr>
        <w:shd w:val="clear" w:color="auto" w:fill="FFFFFF"/>
        <w:rPr>
          <w:b/>
          <w:bCs/>
          <w:color w:val="212529"/>
          <w:sz w:val="24"/>
          <w:szCs w:val="24"/>
        </w:rPr>
      </w:pPr>
      <w:r>
        <w:rPr>
          <w:b/>
          <w:bCs/>
          <w:color w:val="212529"/>
          <w:sz w:val="24"/>
          <w:szCs w:val="24"/>
        </w:rPr>
        <w:t>@JoinColumn</w:t>
      </w:r>
      <w:r>
        <w:rPr>
          <w:color w:val="212529"/>
          <w:sz w:val="24"/>
          <w:szCs w:val="24"/>
        </w:rPr>
        <w:t xml:space="preserve"> - Specifies a column to establish the relationship on. Just like we do normally, this is usually a Foreign Key pointing to the Primary Key of the table being referred to. </w:t>
      </w:r>
    </w:p>
    <w:p w14:paraId="456246C1" w14:textId="77777777" w:rsidR="005B6EA6" w:rsidRDefault="00000000">
      <w:pPr>
        <w:numPr>
          <w:ilvl w:val="0"/>
          <w:numId w:val="10"/>
        </w:numPr>
        <w:rPr>
          <w:sz w:val="24"/>
          <w:szCs w:val="24"/>
        </w:rPr>
      </w:pPr>
      <w:proofErr w:type="spellStart"/>
      <w:r>
        <w:rPr>
          <w:b/>
          <w:bCs/>
          <w:sz w:val="24"/>
          <w:szCs w:val="24"/>
        </w:rPr>
        <w:lastRenderedPageBreak/>
        <w:t>CascadeType</w:t>
      </w:r>
      <w:proofErr w:type="spellEnd"/>
      <w:r>
        <w:rPr>
          <w:sz w:val="24"/>
          <w:szCs w:val="24"/>
        </w:rPr>
        <w:t xml:space="preserve"> specifies the cascading on the database when removing/updating items. This is how we </w:t>
      </w:r>
      <w:r>
        <w:rPr>
          <w:b/>
          <w:bCs/>
          <w:sz w:val="24"/>
          <w:szCs w:val="24"/>
        </w:rPr>
        <w:t>maintain referential integrity</w:t>
      </w:r>
      <w:r>
        <w:rPr>
          <w:sz w:val="24"/>
          <w:szCs w:val="24"/>
        </w:rPr>
        <w:t xml:space="preserve"> in hibernate.</w:t>
      </w:r>
    </w:p>
    <w:p w14:paraId="456246C2" w14:textId="77777777" w:rsidR="005B6EA6" w:rsidRDefault="00000000">
      <w:pPr>
        <w:numPr>
          <w:ilvl w:val="1"/>
          <w:numId w:val="10"/>
        </w:numPr>
        <w:rPr>
          <w:sz w:val="24"/>
          <w:szCs w:val="24"/>
        </w:rPr>
      </w:pPr>
      <w:r>
        <w:rPr>
          <w:sz w:val="24"/>
          <w:szCs w:val="24"/>
        </w:rPr>
        <w:t xml:space="preserve">I tend to always use </w:t>
      </w:r>
      <w:proofErr w:type="spellStart"/>
      <w:r>
        <w:rPr>
          <w:sz w:val="24"/>
          <w:szCs w:val="24"/>
          <w:u w:val="single"/>
        </w:rPr>
        <w:t>CascadeType.ALL</w:t>
      </w:r>
      <w:proofErr w:type="spellEnd"/>
      <w:r>
        <w:rPr>
          <w:sz w:val="24"/>
          <w:szCs w:val="24"/>
        </w:rPr>
        <w:t xml:space="preserve"> when possible, making all typical Cascade operations occur when needed. </w:t>
      </w:r>
    </w:p>
    <w:p w14:paraId="456246C3" w14:textId="77777777" w:rsidR="005B6EA6" w:rsidRDefault="00000000">
      <w:pPr>
        <w:numPr>
          <w:ilvl w:val="0"/>
          <w:numId w:val="10"/>
        </w:numPr>
        <w:rPr>
          <w:sz w:val="24"/>
          <w:szCs w:val="24"/>
        </w:rPr>
      </w:pPr>
      <w:proofErr w:type="spellStart"/>
      <w:r>
        <w:rPr>
          <w:b/>
          <w:bCs/>
          <w:sz w:val="24"/>
          <w:szCs w:val="24"/>
        </w:rPr>
        <w:t>FetchType</w:t>
      </w:r>
      <w:proofErr w:type="spellEnd"/>
      <w:r>
        <w:rPr>
          <w:sz w:val="24"/>
          <w:szCs w:val="24"/>
        </w:rPr>
        <w:t xml:space="preserve"> determines if the related objects are called from the database immediately (EAGER) or if called, waits until they are needed (LAZY). </w:t>
      </w:r>
    </w:p>
    <w:p w14:paraId="456246C4" w14:textId="77777777" w:rsidR="005B6EA6" w:rsidRDefault="00000000">
      <w:pPr>
        <w:numPr>
          <w:ilvl w:val="1"/>
          <w:numId w:val="10"/>
        </w:numPr>
        <w:rPr>
          <w:sz w:val="24"/>
          <w:szCs w:val="24"/>
        </w:rPr>
      </w:pPr>
      <w:r>
        <w:rPr>
          <w:sz w:val="24"/>
          <w:szCs w:val="24"/>
        </w:rPr>
        <w:t xml:space="preserve">I tend to </w:t>
      </w:r>
      <w:r>
        <w:rPr>
          <w:sz w:val="24"/>
          <w:szCs w:val="24"/>
          <w:u w:val="single"/>
        </w:rPr>
        <w:t>always use EAGER</w:t>
      </w:r>
      <w:r>
        <w:rPr>
          <w:sz w:val="24"/>
          <w:szCs w:val="24"/>
        </w:rPr>
        <w:t>, more memory intensive, but less error prone.</w:t>
      </w:r>
    </w:p>
    <w:p w14:paraId="456246C5" w14:textId="77777777" w:rsidR="005B6EA6" w:rsidRDefault="005B6EA6">
      <w:pPr>
        <w:ind w:left="1440"/>
        <w:rPr>
          <w:sz w:val="24"/>
          <w:szCs w:val="24"/>
        </w:rPr>
      </w:pPr>
    </w:p>
    <w:p w14:paraId="456246C6" w14:textId="77777777" w:rsidR="005B6EA6" w:rsidRDefault="00000000">
      <w:r>
        <w:rPr>
          <w:noProof/>
        </w:rPr>
        <w:drawing>
          <wp:inline distT="0" distB="0" distL="114300" distR="114300" wp14:anchorId="45624707" wp14:editId="45624708">
            <wp:extent cx="5943600" cy="8382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838200"/>
                    </a:xfrm>
                    <a:prstGeom prst="rect">
                      <a:avLst/>
                    </a:prstGeom>
                    <a:ln/>
                  </pic:spPr>
                </pic:pic>
              </a:graphicData>
            </a:graphic>
          </wp:inline>
        </w:drawing>
      </w:r>
    </w:p>
    <w:p w14:paraId="456246C7" w14:textId="77777777" w:rsidR="005B6EA6" w:rsidRDefault="005B6EA6">
      <w:pPr>
        <w:rPr>
          <w:sz w:val="24"/>
          <w:szCs w:val="24"/>
        </w:rPr>
      </w:pPr>
    </w:p>
    <w:p w14:paraId="456246C8" w14:textId="77777777" w:rsidR="005B6EA6" w:rsidRDefault="00000000">
      <w:pPr>
        <w:numPr>
          <w:ilvl w:val="0"/>
          <w:numId w:val="10"/>
        </w:numPr>
        <w:rPr>
          <w:highlight w:val="white"/>
        </w:rPr>
      </w:pPr>
      <w:r>
        <w:rPr>
          <w:highlight w:val="white"/>
        </w:rPr>
        <w:t xml:space="preserve">Implementing </w:t>
      </w:r>
      <w:r>
        <w:rPr>
          <w:b/>
          <w:bCs/>
          <w:highlight w:val="white"/>
        </w:rPr>
        <w:t xml:space="preserve">@ManyToMany </w:t>
      </w:r>
      <w:r>
        <w:rPr>
          <w:highlight w:val="white"/>
        </w:rPr>
        <w:t xml:space="preserve">requires specifying a </w:t>
      </w:r>
      <w:r>
        <w:rPr>
          <w:b/>
          <w:bCs/>
          <w:highlight w:val="white"/>
        </w:rPr>
        <w:t xml:space="preserve">@JoinTable annotation </w:t>
      </w:r>
      <w:r>
        <w:rPr>
          <w:highlight w:val="white"/>
        </w:rPr>
        <w:t>to determine which table we’re linking to create a Many to Many relationship (This is how we make join tables in Spring Data)</w:t>
      </w:r>
    </w:p>
    <w:p w14:paraId="456246C9" w14:textId="77777777" w:rsidR="005B6EA6" w:rsidRDefault="00000000">
      <w:pPr>
        <w:numPr>
          <w:ilvl w:val="1"/>
          <w:numId w:val="10"/>
        </w:numPr>
        <w:rPr>
          <w:highlight w:val="white"/>
        </w:rPr>
      </w:pPr>
      <w:r>
        <w:rPr>
          <w:highlight w:val="white"/>
        </w:rPr>
        <w:t>Feel free to investigate, but I typically just use @ManyToOne and @OneToMany to link various tables together to accomplish similar functionalities.</w:t>
      </w:r>
    </w:p>
    <w:p w14:paraId="456246CA" w14:textId="77777777" w:rsidR="005B6EA6" w:rsidRDefault="005B6EA6">
      <w:pPr>
        <w:rPr>
          <w:highlight w:val="white"/>
        </w:rPr>
      </w:pPr>
    </w:p>
    <w:p w14:paraId="409994F2" w14:textId="77777777" w:rsidR="00E06277" w:rsidRDefault="00E06277" w:rsidP="00E06277">
      <w:pPr>
        <w:rPr>
          <w:b/>
          <w:bCs/>
          <w:sz w:val="26"/>
          <w:szCs w:val="26"/>
          <w:highlight w:val="white"/>
        </w:rPr>
      </w:pPr>
      <w:r>
        <w:rPr>
          <w:b/>
          <w:bCs/>
          <w:sz w:val="26"/>
          <w:szCs w:val="26"/>
          <w:highlight w:val="white"/>
        </w:rPr>
        <w:t>Spring Data Interface Hierarchy</w:t>
      </w:r>
    </w:p>
    <w:p w14:paraId="5EF3DFBA" w14:textId="77777777" w:rsidR="00E06277" w:rsidRDefault="00E06277" w:rsidP="00E06277">
      <w:pPr>
        <w:rPr>
          <w:b/>
          <w:bCs/>
          <w:sz w:val="26"/>
          <w:szCs w:val="26"/>
          <w:highlight w:val="white"/>
        </w:rPr>
      </w:pPr>
    </w:p>
    <w:p w14:paraId="4CDADE47" w14:textId="77777777" w:rsidR="00E06277" w:rsidRDefault="00E06277" w:rsidP="00E06277">
      <w:pPr>
        <w:numPr>
          <w:ilvl w:val="0"/>
          <w:numId w:val="7"/>
        </w:numPr>
        <w:rPr>
          <w:highlight w:val="white"/>
        </w:rPr>
      </w:pPr>
      <w:r>
        <w:rPr>
          <w:highlight w:val="white"/>
        </w:rPr>
        <w:t>This is the inheritance hierarchy for Spring Data’s interfaces used to create your DAO Classes/Interfaces</w:t>
      </w:r>
    </w:p>
    <w:p w14:paraId="038E1F5D" w14:textId="77777777" w:rsidR="00E06277" w:rsidRDefault="00E06277" w:rsidP="00E06277">
      <w:pPr>
        <w:rPr>
          <w:highlight w:val="white"/>
        </w:rPr>
      </w:pPr>
    </w:p>
    <w:p w14:paraId="7E55F6E4" w14:textId="77777777" w:rsidR="00E06277" w:rsidRDefault="00E06277" w:rsidP="00E06277">
      <w:pPr>
        <w:numPr>
          <w:ilvl w:val="0"/>
          <w:numId w:val="9"/>
        </w:numPr>
        <w:rPr>
          <w:b/>
          <w:bCs/>
          <w:highlight w:val="white"/>
        </w:rPr>
      </w:pPr>
      <w:r>
        <w:rPr>
          <w:b/>
          <w:bCs/>
          <w:highlight w:val="white"/>
        </w:rPr>
        <w:t>Repository</w:t>
      </w:r>
      <w:r>
        <w:rPr>
          <w:highlight w:val="white"/>
        </w:rPr>
        <w:t xml:space="preserve"> - Most generic repository </w:t>
      </w:r>
    </w:p>
    <w:p w14:paraId="42ED8D4D" w14:textId="77777777" w:rsidR="00E06277" w:rsidRDefault="00E06277" w:rsidP="00E06277">
      <w:pPr>
        <w:numPr>
          <w:ilvl w:val="1"/>
          <w:numId w:val="9"/>
        </w:numPr>
        <w:rPr>
          <w:highlight w:val="white"/>
        </w:rPr>
      </w:pPr>
      <w:proofErr w:type="spellStart"/>
      <w:r>
        <w:rPr>
          <w:b/>
          <w:bCs/>
          <w:highlight w:val="white"/>
        </w:rPr>
        <w:t>CrudRepository</w:t>
      </w:r>
      <w:proofErr w:type="spellEnd"/>
      <w:r>
        <w:rPr>
          <w:highlight w:val="white"/>
        </w:rPr>
        <w:t xml:space="preserve"> - This can be used to create a very basic repo just from implementing it.</w:t>
      </w:r>
    </w:p>
    <w:p w14:paraId="2E52A235" w14:textId="77777777" w:rsidR="00E06277" w:rsidRDefault="00E06277" w:rsidP="00E06277">
      <w:pPr>
        <w:numPr>
          <w:ilvl w:val="2"/>
          <w:numId w:val="9"/>
        </w:numPr>
        <w:rPr>
          <w:b/>
          <w:bCs/>
          <w:highlight w:val="white"/>
        </w:rPr>
      </w:pPr>
      <w:proofErr w:type="spellStart"/>
      <w:r>
        <w:rPr>
          <w:b/>
          <w:bCs/>
          <w:highlight w:val="white"/>
        </w:rPr>
        <w:t>ListCrudRepository</w:t>
      </w:r>
      <w:proofErr w:type="spellEnd"/>
      <w:r>
        <w:rPr>
          <w:highlight w:val="white"/>
        </w:rPr>
        <w:t xml:space="preserve"> – A more specific version of </w:t>
      </w:r>
      <w:proofErr w:type="spellStart"/>
      <w:r>
        <w:rPr>
          <w:highlight w:val="white"/>
        </w:rPr>
        <w:t>CrudRepository</w:t>
      </w:r>
      <w:proofErr w:type="spellEnd"/>
      <w:r>
        <w:rPr>
          <w:highlight w:val="white"/>
        </w:rPr>
        <w:t xml:space="preserve">, sort of like the link between </w:t>
      </w:r>
      <w:proofErr w:type="spellStart"/>
      <w:r>
        <w:rPr>
          <w:highlight w:val="white"/>
        </w:rPr>
        <w:t>CrudRepository</w:t>
      </w:r>
      <w:proofErr w:type="spellEnd"/>
      <w:r>
        <w:rPr>
          <w:highlight w:val="white"/>
        </w:rPr>
        <w:t xml:space="preserve"> and </w:t>
      </w:r>
      <w:proofErr w:type="spellStart"/>
      <w:r>
        <w:rPr>
          <w:highlight w:val="white"/>
        </w:rPr>
        <w:t>JpaRepository</w:t>
      </w:r>
      <w:proofErr w:type="spellEnd"/>
    </w:p>
    <w:p w14:paraId="33259FED" w14:textId="77777777" w:rsidR="00E06277" w:rsidRDefault="00E06277" w:rsidP="00E06277">
      <w:pPr>
        <w:numPr>
          <w:ilvl w:val="3"/>
          <w:numId w:val="9"/>
        </w:numPr>
        <w:rPr>
          <w:b/>
          <w:bCs/>
          <w:highlight w:val="white"/>
        </w:rPr>
      </w:pPr>
      <w:proofErr w:type="spellStart"/>
      <w:r>
        <w:rPr>
          <w:b/>
          <w:bCs/>
          <w:color w:val="0000FF"/>
          <w:highlight w:val="white"/>
        </w:rPr>
        <w:t>JpaRepository</w:t>
      </w:r>
      <w:proofErr w:type="spellEnd"/>
      <w:r>
        <w:rPr>
          <w:highlight w:val="white"/>
        </w:rPr>
        <w:t xml:space="preserve"> - contains most of the basic DAO methods you’ll want to use.</w:t>
      </w:r>
    </w:p>
    <w:p w14:paraId="45750450" w14:textId="77777777" w:rsidR="00E06277" w:rsidRDefault="00E06277" w:rsidP="00E06277">
      <w:pPr>
        <w:numPr>
          <w:ilvl w:val="4"/>
          <w:numId w:val="9"/>
        </w:numPr>
        <w:rPr>
          <w:highlight w:val="white"/>
        </w:rPr>
      </w:pPr>
      <w:r>
        <w:rPr>
          <w:b/>
          <w:bCs/>
          <w:color w:val="0000FF"/>
          <w:highlight w:val="white"/>
        </w:rPr>
        <w:t>Your custom interface</w:t>
      </w:r>
      <w:r>
        <w:rPr>
          <w:b/>
          <w:bCs/>
          <w:highlight w:val="white"/>
        </w:rPr>
        <w:t>.</w:t>
      </w:r>
      <w:r>
        <w:rPr>
          <w:highlight w:val="white"/>
        </w:rPr>
        <w:t xml:space="preserve"> All your repository (DAO) interfaces should extend from this one.</w:t>
      </w:r>
      <w:r>
        <w:br/>
      </w:r>
    </w:p>
    <w:p w14:paraId="35335A43" w14:textId="77777777" w:rsidR="00E06277" w:rsidRDefault="00E06277" w:rsidP="00E06277">
      <w:pPr>
        <w:numPr>
          <w:ilvl w:val="0"/>
          <w:numId w:val="9"/>
        </w:numPr>
        <w:rPr>
          <w:highlight w:val="white"/>
        </w:rPr>
      </w:pPr>
      <w:r>
        <w:rPr>
          <w:highlight w:val="white"/>
        </w:rPr>
        <w:t xml:space="preserve">Your custom interface will come preloaded with </w:t>
      </w:r>
      <w:r>
        <w:rPr>
          <w:b/>
          <w:bCs/>
          <w:highlight w:val="white"/>
        </w:rPr>
        <w:t>ready-to-use CRUD methods</w:t>
      </w:r>
      <w:r>
        <w:rPr>
          <w:highlight w:val="white"/>
        </w:rPr>
        <w:t xml:space="preserve"> thanks to its rich family tree. Functionalities like get all, get by id, insert, update, delete. All there.</w:t>
      </w:r>
    </w:p>
    <w:p w14:paraId="0E1A9715" w14:textId="77777777" w:rsidR="00E06277" w:rsidRDefault="00E06277" w:rsidP="00E06277">
      <w:pPr>
        <w:numPr>
          <w:ilvl w:val="1"/>
          <w:numId w:val="9"/>
        </w:numPr>
        <w:rPr>
          <w:highlight w:val="white"/>
        </w:rPr>
      </w:pPr>
      <w:r>
        <w:rPr>
          <w:highlight w:val="white"/>
        </w:rPr>
        <w:t xml:space="preserve">You can also easily define </w:t>
      </w:r>
      <w:r>
        <w:rPr>
          <w:b/>
          <w:bCs/>
          <w:highlight w:val="white"/>
        </w:rPr>
        <w:t>custom queries</w:t>
      </w:r>
      <w:r>
        <w:rPr>
          <w:highlight w:val="white"/>
        </w:rPr>
        <w:t xml:space="preserve"> with </w:t>
      </w:r>
      <w:r>
        <w:rPr>
          <w:b/>
          <w:bCs/>
          <w:highlight w:val="white"/>
        </w:rPr>
        <w:t>property expressions</w:t>
      </w:r>
      <w:r>
        <w:rPr>
          <w:highlight w:val="white"/>
        </w:rPr>
        <w:t>:</w:t>
      </w:r>
    </w:p>
    <w:p w14:paraId="2D22B2D5" w14:textId="77777777" w:rsidR="00E06277" w:rsidRDefault="00E06277" w:rsidP="00E06277">
      <w:pPr>
        <w:ind w:left="1440"/>
      </w:pPr>
      <w:r>
        <w:rPr>
          <w:noProof/>
        </w:rPr>
        <w:drawing>
          <wp:inline distT="0" distB="0" distL="114300" distR="114300" wp14:anchorId="7983DCEE" wp14:editId="52BF84AE">
            <wp:extent cx="4220354" cy="532038"/>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220354" cy="532038"/>
                    </a:xfrm>
                    <a:prstGeom prst="rect">
                      <a:avLst/>
                    </a:prstGeom>
                    <a:ln/>
                  </pic:spPr>
                </pic:pic>
              </a:graphicData>
            </a:graphic>
          </wp:inline>
        </w:drawing>
      </w:r>
    </w:p>
    <w:p w14:paraId="456246CB" w14:textId="398AADE7" w:rsidR="005B6EA6" w:rsidRPr="00932B5A" w:rsidRDefault="00E06277" w:rsidP="00932B5A">
      <w:pPr>
        <w:ind w:left="1440"/>
        <w:rPr>
          <w:sz w:val="20"/>
          <w:szCs w:val="20"/>
        </w:rPr>
      </w:pPr>
      <w:r>
        <w:rPr>
          <w:sz w:val="20"/>
          <w:szCs w:val="20"/>
        </w:rPr>
        <w:t>*Assume the User Class has a field called “name”</w:t>
      </w:r>
    </w:p>
    <w:p w14:paraId="456246CC" w14:textId="77777777" w:rsidR="005B6EA6" w:rsidRDefault="00000000">
      <w:pPr>
        <w:rPr>
          <w:b/>
          <w:bCs/>
          <w:sz w:val="26"/>
          <w:szCs w:val="26"/>
          <w:highlight w:val="white"/>
        </w:rPr>
      </w:pPr>
      <w:r>
        <w:rPr>
          <w:b/>
          <w:bCs/>
          <w:sz w:val="26"/>
          <w:szCs w:val="26"/>
          <w:highlight w:val="white"/>
        </w:rPr>
        <w:lastRenderedPageBreak/>
        <w:t>Other Spring Data Annotations</w:t>
      </w:r>
    </w:p>
    <w:p w14:paraId="456246CD" w14:textId="77777777" w:rsidR="005B6EA6" w:rsidRDefault="005B6EA6">
      <w:pPr>
        <w:rPr>
          <w:b/>
          <w:bCs/>
          <w:sz w:val="26"/>
          <w:szCs w:val="26"/>
          <w:highlight w:val="white"/>
        </w:rPr>
      </w:pPr>
    </w:p>
    <w:p w14:paraId="456246CE" w14:textId="77777777" w:rsidR="005B6EA6" w:rsidRDefault="00000000">
      <w:pPr>
        <w:numPr>
          <w:ilvl w:val="0"/>
          <w:numId w:val="4"/>
        </w:numPr>
        <w:rPr>
          <w:highlight w:val="white"/>
        </w:rPr>
      </w:pPr>
      <w:r>
        <w:rPr>
          <w:highlight w:val="white"/>
        </w:rPr>
        <w:t xml:space="preserve">Spring Data has even more annotations that abstract away the code required other tasks we haven’t covered. The following is a list of some common Spring Data annotations, which allow us to configure how our queries execute. </w:t>
      </w:r>
      <w:r>
        <w:rPr>
          <w:b/>
          <w:bCs/>
          <w:highlight w:val="white"/>
        </w:rPr>
        <w:t>Usually, defaults are fine, and we won’t need to mess with these.</w:t>
      </w:r>
    </w:p>
    <w:p w14:paraId="456246CF" w14:textId="77777777" w:rsidR="005B6EA6" w:rsidRDefault="00000000">
      <w:pPr>
        <w:numPr>
          <w:ilvl w:val="1"/>
          <w:numId w:val="4"/>
        </w:numPr>
        <w:rPr>
          <w:highlight w:val="white"/>
        </w:rPr>
      </w:pPr>
      <w:r>
        <w:rPr>
          <w:highlight w:val="white"/>
        </w:rPr>
        <w:t>These annotations are used in the DAOs and models</w:t>
      </w:r>
    </w:p>
    <w:p w14:paraId="456246D0" w14:textId="77777777" w:rsidR="005B6EA6" w:rsidRDefault="00000000">
      <w:pPr>
        <w:numPr>
          <w:ilvl w:val="0"/>
          <w:numId w:val="4"/>
        </w:numPr>
        <w:rPr>
          <w:highlight w:val="white"/>
        </w:rPr>
      </w:pPr>
      <w:r>
        <w:rPr>
          <w:highlight w:val="white"/>
        </w:rPr>
        <w:t xml:space="preserve">These are all </w:t>
      </w:r>
      <w:proofErr w:type="spellStart"/>
      <w:r>
        <w:rPr>
          <w:highlight w:val="white"/>
        </w:rPr>
        <w:t>cAsE</w:t>
      </w:r>
      <w:proofErr w:type="spellEnd"/>
      <w:r>
        <w:rPr>
          <w:highlight w:val="white"/>
        </w:rPr>
        <w:t xml:space="preserve"> </w:t>
      </w:r>
      <w:proofErr w:type="spellStart"/>
      <w:r>
        <w:rPr>
          <w:highlight w:val="white"/>
        </w:rPr>
        <w:t>sEnSiTiVe</w:t>
      </w:r>
      <w:proofErr w:type="spellEnd"/>
      <w:r>
        <w:rPr>
          <w:highlight w:val="white"/>
        </w:rPr>
        <w:t xml:space="preserve">!!! </w:t>
      </w:r>
    </w:p>
    <w:p w14:paraId="456246D1" w14:textId="77777777" w:rsidR="005B6EA6" w:rsidRDefault="005B6EA6">
      <w:pPr>
        <w:rPr>
          <w:highlight w:val="white"/>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B6EA6" w14:paraId="456246D4" w14:textId="77777777">
        <w:tc>
          <w:tcPr>
            <w:tcW w:w="4680" w:type="dxa"/>
            <w:tcMar>
              <w:top w:w="100" w:type="dxa"/>
              <w:left w:w="100" w:type="dxa"/>
              <w:bottom w:w="100" w:type="dxa"/>
              <w:right w:w="100" w:type="dxa"/>
            </w:tcMar>
          </w:tcPr>
          <w:p w14:paraId="456246D2" w14:textId="77777777" w:rsidR="005B6EA6" w:rsidRDefault="00000000">
            <w:pPr>
              <w:widowControl w:val="0"/>
              <w:spacing w:line="240" w:lineRule="auto"/>
              <w:jc w:val="center"/>
              <w:rPr>
                <w:b/>
                <w:bCs/>
                <w:highlight w:val="white"/>
              </w:rPr>
            </w:pPr>
            <w:r>
              <w:rPr>
                <w:b/>
                <w:bCs/>
                <w:highlight w:val="white"/>
              </w:rPr>
              <w:t>Annotation</w:t>
            </w:r>
          </w:p>
        </w:tc>
        <w:tc>
          <w:tcPr>
            <w:tcW w:w="4680" w:type="dxa"/>
            <w:tcMar>
              <w:top w:w="100" w:type="dxa"/>
              <w:left w:w="100" w:type="dxa"/>
              <w:bottom w:w="100" w:type="dxa"/>
              <w:right w:w="100" w:type="dxa"/>
            </w:tcMar>
          </w:tcPr>
          <w:p w14:paraId="456246D3" w14:textId="77777777" w:rsidR="005B6EA6" w:rsidRDefault="00000000">
            <w:pPr>
              <w:widowControl w:val="0"/>
              <w:spacing w:line="240" w:lineRule="auto"/>
              <w:jc w:val="center"/>
              <w:rPr>
                <w:b/>
                <w:bCs/>
                <w:highlight w:val="white"/>
              </w:rPr>
            </w:pPr>
            <w:r>
              <w:rPr>
                <w:b/>
                <w:bCs/>
                <w:highlight w:val="white"/>
              </w:rPr>
              <w:t>Purpose</w:t>
            </w:r>
          </w:p>
        </w:tc>
      </w:tr>
      <w:tr w:rsidR="005B6EA6" w14:paraId="456246D7" w14:textId="77777777">
        <w:tc>
          <w:tcPr>
            <w:tcW w:w="4680" w:type="dxa"/>
            <w:tcMar>
              <w:top w:w="100" w:type="dxa"/>
              <w:left w:w="100" w:type="dxa"/>
              <w:bottom w:w="100" w:type="dxa"/>
              <w:right w:w="100" w:type="dxa"/>
            </w:tcMar>
          </w:tcPr>
          <w:p w14:paraId="456246D5" w14:textId="77777777" w:rsidR="005B6EA6" w:rsidRDefault="00000000">
            <w:pPr>
              <w:widowControl w:val="0"/>
              <w:spacing w:line="240" w:lineRule="auto"/>
              <w:rPr>
                <w:b/>
                <w:bCs/>
                <w:color w:val="0000FF"/>
                <w:highlight w:val="white"/>
              </w:rPr>
            </w:pPr>
            <w:r>
              <w:rPr>
                <w:b/>
                <w:bCs/>
                <w:color w:val="0000FF"/>
                <w:highlight w:val="white"/>
              </w:rPr>
              <w:t>@Transactional</w:t>
            </w:r>
          </w:p>
        </w:tc>
        <w:tc>
          <w:tcPr>
            <w:tcW w:w="4680" w:type="dxa"/>
            <w:tcMar>
              <w:top w:w="100" w:type="dxa"/>
              <w:left w:w="100" w:type="dxa"/>
              <w:bottom w:w="100" w:type="dxa"/>
              <w:right w:w="100" w:type="dxa"/>
            </w:tcMar>
          </w:tcPr>
          <w:p w14:paraId="456246D6" w14:textId="77777777" w:rsidR="005B6EA6" w:rsidRDefault="00000000">
            <w:pPr>
              <w:widowControl w:val="0"/>
              <w:spacing w:line="240" w:lineRule="auto"/>
              <w:rPr>
                <w:highlight w:val="white"/>
              </w:rPr>
            </w:pPr>
            <w:r>
              <w:rPr>
                <w:highlight w:val="white"/>
              </w:rPr>
              <w:t>Indicates that a method should be treated as a transaction. See the Transaction notes below. These are used occasionally with updates/deletes.</w:t>
            </w:r>
          </w:p>
        </w:tc>
      </w:tr>
      <w:tr w:rsidR="005B6EA6" w14:paraId="456246DA" w14:textId="77777777">
        <w:tc>
          <w:tcPr>
            <w:tcW w:w="4680" w:type="dxa"/>
            <w:tcMar>
              <w:top w:w="100" w:type="dxa"/>
              <w:left w:w="100" w:type="dxa"/>
              <w:bottom w:w="100" w:type="dxa"/>
              <w:right w:w="100" w:type="dxa"/>
            </w:tcMar>
          </w:tcPr>
          <w:p w14:paraId="456246D8" w14:textId="77777777" w:rsidR="005B6EA6" w:rsidRDefault="00000000">
            <w:pPr>
              <w:widowControl w:val="0"/>
              <w:spacing w:line="240" w:lineRule="auto"/>
              <w:rPr>
                <w:highlight w:val="white"/>
              </w:rPr>
            </w:pPr>
            <w:r>
              <w:rPr>
                <w:highlight w:val="white"/>
              </w:rPr>
              <w:t>@NoRepositoryBean</w:t>
            </w:r>
          </w:p>
        </w:tc>
        <w:tc>
          <w:tcPr>
            <w:tcW w:w="4680" w:type="dxa"/>
            <w:tcMar>
              <w:top w:w="100" w:type="dxa"/>
              <w:left w:w="100" w:type="dxa"/>
              <w:bottom w:w="100" w:type="dxa"/>
              <w:right w:w="100" w:type="dxa"/>
            </w:tcMar>
          </w:tcPr>
          <w:p w14:paraId="456246D9" w14:textId="77777777" w:rsidR="005B6EA6" w:rsidRDefault="00000000">
            <w:pPr>
              <w:widowControl w:val="0"/>
              <w:spacing w:line="240" w:lineRule="auto"/>
              <w:rPr>
                <w:highlight w:val="white"/>
              </w:rPr>
            </w:pPr>
            <w:r>
              <w:rPr>
                <w:highlight w:val="white"/>
              </w:rPr>
              <w:t xml:space="preserve">Creates an Interface that provides common generic methods for child repositories. Like making your own version of </w:t>
            </w:r>
            <w:proofErr w:type="spellStart"/>
            <w:r>
              <w:rPr>
                <w:highlight w:val="white"/>
              </w:rPr>
              <w:t>JpaRepository</w:t>
            </w:r>
            <w:proofErr w:type="spellEnd"/>
            <w:r>
              <w:rPr>
                <w:highlight w:val="white"/>
              </w:rPr>
              <w:t>. Not intended to be used directly for data operations.</w:t>
            </w:r>
          </w:p>
        </w:tc>
      </w:tr>
      <w:tr w:rsidR="005B6EA6" w14:paraId="456246DD" w14:textId="77777777">
        <w:tc>
          <w:tcPr>
            <w:tcW w:w="4680" w:type="dxa"/>
            <w:tcMar>
              <w:top w:w="100" w:type="dxa"/>
              <w:left w:w="100" w:type="dxa"/>
              <w:bottom w:w="100" w:type="dxa"/>
              <w:right w:w="100" w:type="dxa"/>
            </w:tcMar>
          </w:tcPr>
          <w:p w14:paraId="456246DB" w14:textId="77777777" w:rsidR="005B6EA6" w:rsidRDefault="00000000">
            <w:pPr>
              <w:widowControl w:val="0"/>
              <w:spacing w:line="240" w:lineRule="auto"/>
              <w:rPr>
                <w:highlight w:val="white"/>
              </w:rPr>
            </w:pPr>
            <w:r>
              <w:rPr>
                <w:highlight w:val="white"/>
              </w:rPr>
              <w:t>@Query &amp; @Param</w:t>
            </w:r>
          </w:p>
        </w:tc>
        <w:tc>
          <w:tcPr>
            <w:tcW w:w="4680" w:type="dxa"/>
            <w:tcMar>
              <w:top w:w="100" w:type="dxa"/>
              <w:left w:w="100" w:type="dxa"/>
              <w:bottom w:w="100" w:type="dxa"/>
              <w:right w:w="100" w:type="dxa"/>
            </w:tcMar>
          </w:tcPr>
          <w:p w14:paraId="456246DC" w14:textId="77777777" w:rsidR="005B6EA6" w:rsidRDefault="00000000">
            <w:pPr>
              <w:widowControl w:val="0"/>
              <w:spacing w:line="240" w:lineRule="auto"/>
              <w:rPr>
                <w:highlight w:val="white"/>
              </w:rPr>
            </w:pPr>
            <w:r>
              <w:rPr>
                <w:highlight w:val="white"/>
              </w:rPr>
              <w:t>@query can be used to create your own custom queries with more direct SQL-</w:t>
            </w:r>
            <w:proofErr w:type="spellStart"/>
            <w:r>
              <w:rPr>
                <w:highlight w:val="white"/>
              </w:rPr>
              <w:t>esque</w:t>
            </w:r>
            <w:proofErr w:type="spellEnd"/>
            <w:r>
              <w:rPr>
                <w:highlight w:val="white"/>
              </w:rPr>
              <w:t xml:space="preserve"> syntax. @param lets you pass parameters to queries defined with @query</w:t>
            </w:r>
          </w:p>
        </w:tc>
      </w:tr>
      <w:tr w:rsidR="005B6EA6" w14:paraId="456246E0" w14:textId="77777777">
        <w:tc>
          <w:tcPr>
            <w:tcW w:w="4680" w:type="dxa"/>
            <w:tcMar>
              <w:top w:w="100" w:type="dxa"/>
              <w:left w:w="100" w:type="dxa"/>
              <w:bottom w:w="100" w:type="dxa"/>
              <w:right w:w="100" w:type="dxa"/>
            </w:tcMar>
          </w:tcPr>
          <w:p w14:paraId="456246DE" w14:textId="77777777" w:rsidR="005B6EA6" w:rsidRDefault="00000000">
            <w:pPr>
              <w:widowControl w:val="0"/>
              <w:spacing w:line="240" w:lineRule="auto"/>
              <w:rPr>
                <w:highlight w:val="white"/>
              </w:rPr>
            </w:pPr>
            <w:r>
              <w:rPr>
                <w:highlight w:val="white"/>
              </w:rPr>
              <w:t>@Transient</w:t>
            </w:r>
          </w:p>
        </w:tc>
        <w:tc>
          <w:tcPr>
            <w:tcW w:w="4680" w:type="dxa"/>
            <w:tcMar>
              <w:top w:w="100" w:type="dxa"/>
              <w:left w:w="100" w:type="dxa"/>
              <w:bottom w:w="100" w:type="dxa"/>
              <w:right w:w="100" w:type="dxa"/>
            </w:tcMar>
          </w:tcPr>
          <w:p w14:paraId="456246DF" w14:textId="77777777" w:rsidR="005B6EA6" w:rsidRDefault="00000000">
            <w:pPr>
              <w:widowControl w:val="0"/>
              <w:spacing w:line="240" w:lineRule="auto"/>
              <w:rPr>
                <w:highlight w:val="white"/>
              </w:rPr>
            </w:pPr>
            <w:r>
              <w:rPr>
                <w:highlight w:val="white"/>
              </w:rPr>
              <w:t xml:space="preserve">Marks a field to be ignored by the data store. Transient = not recorded to the DB.  </w:t>
            </w:r>
          </w:p>
        </w:tc>
      </w:tr>
    </w:tbl>
    <w:p w14:paraId="456246E1" w14:textId="77777777" w:rsidR="005B6EA6" w:rsidRDefault="005B6EA6"/>
    <w:p w14:paraId="456246E2" w14:textId="77777777" w:rsidR="005B6EA6" w:rsidRDefault="005B6EA6">
      <w:pPr>
        <w:rPr>
          <w:highlight w:val="white"/>
        </w:rPr>
      </w:pPr>
    </w:p>
    <w:p w14:paraId="456246E3" w14:textId="6C149A97" w:rsidR="005B6EA6" w:rsidRDefault="00000000">
      <w:pPr>
        <w:rPr>
          <w:b/>
          <w:bCs/>
          <w:sz w:val="26"/>
          <w:szCs w:val="26"/>
        </w:rPr>
      </w:pPr>
      <w:r>
        <w:rPr>
          <w:b/>
          <w:bCs/>
          <w:sz w:val="26"/>
          <w:szCs w:val="26"/>
        </w:rPr>
        <w:t>Transactions Review</w:t>
      </w:r>
      <w:r w:rsidR="00932B5A">
        <w:rPr>
          <w:b/>
          <w:bCs/>
          <w:sz w:val="26"/>
          <w:szCs w:val="26"/>
        </w:rPr>
        <w:t xml:space="preserve"> (Same block as in the SQL notes)</w:t>
      </w:r>
    </w:p>
    <w:p w14:paraId="456246E4" w14:textId="77777777" w:rsidR="005B6EA6" w:rsidRDefault="005B6EA6">
      <w:pPr>
        <w:rPr>
          <w:b/>
          <w:bCs/>
          <w:sz w:val="26"/>
          <w:szCs w:val="26"/>
        </w:rPr>
      </w:pPr>
    </w:p>
    <w:p w14:paraId="456246E5" w14:textId="77777777" w:rsidR="005B6EA6" w:rsidRDefault="00000000">
      <w:pPr>
        <w:numPr>
          <w:ilvl w:val="0"/>
          <w:numId w:val="6"/>
        </w:numPr>
      </w:pPr>
      <w:r>
        <w:t xml:space="preserve">A transaction is a group of one or more SQL statements (typically DML statements) that execute together, under a certain set of properties (ACID properties), OR fail together </w:t>
      </w:r>
    </w:p>
    <w:p w14:paraId="456246E6" w14:textId="77777777" w:rsidR="005B6EA6" w:rsidRDefault="00000000">
      <w:pPr>
        <w:numPr>
          <w:ilvl w:val="0"/>
          <w:numId w:val="6"/>
        </w:numPr>
      </w:pPr>
      <w:r>
        <w:t xml:space="preserve">Transactions are important for data integrity, or </w:t>
      </w:r>
      <w:r>
        <w:rPr>
          <w:b/>
          <w:bCs/>
        </w:rPr>
        <w:t>when you need a group of SQL statements to succeed together or fail together</w:t>
      </w:r>
      <w:r>
        <w:t xml:space="preserve"> - no in between.</w:t>
      </w:r>
    </w:p>
    <w:p w14:paraId="456246E7" w14:textId="77777777" w:rsidR="005B6EA6" w:rsidRDefault="005B6EA6"/>
    <w:p w14:paraId="456246E8" w14:textId="77777777" w:rsidR="005B6EA6" w:rsidRPr="00932B5A" w:rsidRDefault="00000000">
      <w:pPr>
        <w:rPr>
          <w:sz w:val="20"/>
          <w:szCs w:val="20"/>
        </w:rPr>
      </w:pPr>
      <w:r w:rsidRPr="00932B5A">
        <w:rPr>
          <w:b/>
          <w:bCs/>
          <w:sz w:val="20"/>
          <w:szCs w:val="20"/>
        </w:rPr>
        <w:t>A - Atomicity</w:t>
      </w:r>
      <w:r w:rsidRPr="00932B5A">
        <w:rPr>
          <w:sz w:val="20"/>
          <w:szCs w:val="20"/>
        </w:rPr>
        <w:t xml:space="preserve"> - Transactions must be atomic</w:t>
      </w:r>
    </w:p>
    <w:p w14:paraId="456246E9" w14:textId="77777777" w:rsidR="005B6EA6" w:rsidRPr="00932B5A" w:rsidRDefault="00000000">
      <w:pPr>
        <w:numPr>
          <w:ilvl w:val="0"/>
          <w:numId w:val="5"/>
        </w:numPr>
        <w:rPr>
          <w:sz w:val="20"/>
          <w:szCs w:val="20"/>
        </w:rPr>
      </w:pPr>
      <w:r w:rsidRPr="00932B5A">
        <w:rPr>
          <w:sz w:val="20"/>
          <w:szCs w:val="20"/>
        </w:rPr>
        <w:t>The entire transaction happens in one go, or it doesn’t happen at all.</w:t>
      </w:r>
    </w:p>
    <w:p w14:paraId="456246EA" w14:textId="77777777" w:rsidR="005B6EA6" w:rsidRPr="00932B5A" w:rsidRDefault="00000000">
      <w:pPr>
        <w:numPr>
          <w:ilvl w:val="0"/>
          <w:numId w:val="5"/>
        </w:numPr>
        <w:rPr>
          <w:sz w:val="20"/>
          <w:szCs w:val="20"/>
        </w:rPr>
      </w:pPr>
      <w:r w:rsidRPr="00932B5A">
        <w:rPr>
          <w:sz w:val="20"/>
          <w:szCs w:val="20"/>
        </w:rPr>
        <w:t>Every SQL statement in the transaction must complete successfully, or we undo everything the previous statements did.</w:t>
      </w:r>
    </w:p>
    <w:p w14:paraId="456246EB" w14:textId="77777777" w:rsidR="005B6EA6" w:rsidRPr="00932B5A" w:rsidRDefault="00000000">
      <w:pPr>
        <w:numPr>
          <w:ilvl w:val="1"/>
          <w:numId w:val="5"/>
        </w:numPr>
        <w:rPr>
          <w:sz w:val="20"/>
          <w:szCs w:val="20"/>
        </w:rPr>
      </w:pPr>
      <w:r w:rsidRPr="00932B5A">
        <w:rPr>
          <w:sz w:val="20"/>
          <w:szCs w:val="20"/>
        </w:rPr>
        <w:t>If 99 statements succeed, and the last one fails, all 99 get rolled back! (undone)</w:t>
      </w:r>
    </w:p>
    <w:p w14:paraId="456246EC" w14:textId="77777777" w:rsidR="005B6EA6" w:rsidRPr="00932B5A" w:rsidRDefault="00000000">
      <w:pPr>
        <w:numPr>
          <w:ilvl w:val="0"/>
          <w:numId w:val="5"/>
        </w:numPr>
        <w:rPr>
          <w:sz w:val="20"/>
          <w:szCs w:val="20"/>
        </w:rPr>
      </w:pPr>
      <w:r w:rsidRPr="00932B5A">
        <w:rPr>
          <w:sz w:val="20"/>
          <w:szCs w:val="20"/>
        </w:rPr>
        <w:t>Atomic (</w:t>
      </w:r>
      <w:proofErr w:type="spellStart"/>
      <w:r w:rsidRPr="00932B5A">
        <w:rPr>
          <w:sz w:val="20"/>
          <w:szCs w:val="20"/>
        </w:rPr>
        <w:t>Atomus</w:t>
      </w:r>
      <w:proofErr w:type="spellEnd"/>
      <w:r w:rsidRPr="00932B5A">
        <w:rPr>
          <w:sz w:val="20"/>
          <w:szCs w:val="20"/>
        </w:rPr>
        <w:t xml:space="preserve"> - Can’t be broken down further. We can’t have just a piece of the total transaction succeed alone)</w:t>
      </w:r>
    </w:p>
    <w:p w14:paraId="456246ED" w14:textId="77777777" w:rsidR="005B6EA6" w:rsidRPr="00932B5A" w:rsidRDefault="005B6EA6">
      <w:pPr>
        <w:ind w:left="720"/>
        <w:rPr>
          <w:sz w:val="20"/>
          <w:szCs w:val="20"/>
        </w:rPr>
      </w:pPr>
    </w:p>
    <w:p w14:paraId="456246EE" w14:textId="77777777" w:rsidR="005B6EA6" w:rsidRPr="00932B5A" w:rsidRDefault="00000000">
      <w:pPr>
        <w:rPr>
          <w:sz w:val="20"/>
          <w:szCs w:val="20"/>
        </w:rPr>
      </w:pPr>
      <w:r w:rsidRPr="00932B5A">
        <w:rPr>
          <w:b/>
          <w:bCs/>
          <w:sz w:val="20"/>
          <w:szCs w:val="20"/>
        </w:rPr>
        <w:lastRenderedPageBreak/>
        <w:t xml:space="preserve">C - Consistency </w:t>
      </w:r>
      <w:r w:rsidRPr="00932B5A">
        <w:rPr>
          <w:sz w:val="20"/>
          <w:szCs w:val="20"/>
        </w:rPr>
        <w:t>- Transactions must be consistent with the rules you set in your DB</w:t>
      </w:r>
    </w:p>
    <w:p w14:paraId="456246EF" w14:textId="77777777" w:rsidR="005B6EA6" w:rsidRPr="00932B5A" w:rsidRDefault="00000000">
      <w:pPr>
        <w:numPr>
          <w:ilvl w:val="0"/>
          <w:numId w:val="3"/>
        </w:numPr>
        <w:rPr>
          <w:sz w:val="20"/>
          <w:szCs w:val="20"/>
        </w:rPr>
      </w:pPr>
      <w:r w:rsidRPr="00932B5A">
        <w:rPr>
          <w:sz w:val="20"/>
          <w:szCs w:val="20"/>
        </w:rPr>
        <w:t>The database has constraints… (PK/FK, unique, not null, check, etc.)</w:t>
      </w:r>
    </w:p>
    <w:p w14:paraId="456246F0" w14:textId="77777777" w:rsidR="005B6EA6" w:rsidRPr="00932B5A" w:rsidRDefault="00000000">
      <w:pPr>
        <w:numPr>
          <w:ilvl w:val="0"/>
          <w:numId w:val="3"/>
        </w:numPr>
        <w:rPr>
          <w:sz w:val="20"/>
          <w:szCs w:val="20"/>
        </w:rPr>
      </w:pPr>
      <w:r w:rsidRPr="00932B5A">
        <w:rPr>
          <w:sz w:val="20"/>
          <w:szCs w:val="20"/>
        </w:rPr>
        <w:t xml:space="preserve">While transactions are being executed, we never enter a state where the constraints are untrue or disregarded. </w:t>
      </w:r>
    </w:p>
    <w:p w14:paraId="456246F1" w14:textId="77777777" w:rsidR="005B6EA6" w:rsidRPr="00932B5A" w:rsidRDefault="00000000">
      <w:pPr>
        <w:numPr>
          <w:ilvl w:val="1"/>
          <w:numId w:val="3"/>
        </w:numPr>
        <w:rPr>
          <w:sz w:val="20"/>
          <w:szCs w:val="20"/>
        </w:rPr>
      </w:pPr>
      <w:r w:rsidRPr="00932B5A">
        <w:rPr>
          <w:sz w:val="20"/>
          <w:szCs w:val="20"/>
        </w:rPr>
        <w:t xml:space="preserve">Can’t deviate from the constraints of your SQL tables (your DDL). Transactions are not above the law. </w:t>
      </w:r>
    </w:p>
    <w:p w14:paraId="456246F2" w14:textId="77777777" w:rsidR="005B6EA6" w:rsidRPr="00932B5A" w:rsidRDefault="005B6EA6">
      <w:pPr>
        <w:rPr>
          <w:sz w:val="20"/>
          <w:szCs w:val="20"/>
        </w:rPr>
      </w:pPr>
    </w:p>
    <w:p w14:paraId="456246F3" w14:textId="77777777" w:rsidR="005B6EA6" w:rsidRPr="00932B5A" w:rsidRDefault="00000000">
      <w:pPr>
        <w:rPr>
          <w:sz w:val="20"/>
          <w:szCs w:val="20"/>
        </w:rPr>
      </w:pPr>
      <w:r w:rsidRPr="00932B5A">
        <w:rPr>
          <w:b/>
          <w:bCs/>
          <w:sz w:val="20"/>
          <w:szCs w:val="20"/>
        </w:rPr>
        <w:t xml:space="preserve">I - Isolation </w:t>
      </w:r>
      <w:r w:rsidRPr="00932B5A">
        <w:rPr>
          <w:sz w:val="20"/>
          <w:szCs w:val="20"/>
        </w:rPr>
        <w:t>- Transactions must be isolated</w:t>
      </w:r>
    </w:p>
    <w:p w14:paraId="456246F4" w14:textId="77777777" w:rsidR="005B6EA6" w:rsidRPr="00932B5A" w:rsidRDefault="00000000">
      <w:pPr>
        <w:numPr>
          <w:ilvl w:val="0"/>
          <w:numId w:val="1"/>
        </w:numPr>
        <w:rPr>
          <w:sz w:val="20"/>
          <w:szCs w:val="20"/>
        </w:rPr>
      </w:pPr>
      <w:r w:rsidRPr="00932B5A">
        <w:rPr>
          <w:sz w:val="20"/>
          <w:szCs w:val="20"/>
        </w:rPr>
        <w:t>In an enterprise scale database, many transactions will be running concurrently (at the same time)</w:t>
      </w:r>
    </w:p>
    <w:p w14:paraId="456246F5" w14:textId="77777777" w:rsidR="005B6EA6" w:rsidRPr="00932B5A" w:rsidRDefault="00000000">
      <w:pPr>
        <w:numPr>
          <w:ilvl w:val="0"/>
          <w:numId w:val="1"/>
        </w:numPr>
        <w:rPr>
          <w:sz w:val="20"/>
          <w:szCs w:val="20"/>
        </w:rPr>
      </w:pPr>
      <w:r w:rsidRPr="00932B5A">
        <w:rPr>
          <w:sz w:val="20"/>
          <w:szCs w:val="20"/>
        </w:rPr>
        <w:t>Each individual transaction runs as if it was the only one running. This avoids collision of transaction’s SQL statements.</w:t>
      </w:r>
    </w:p>
    <w:p w14:paraId="456246F6" w14:textId="77777777" w:rsidR="005B6EA6" w:rsidRPr="00932B5A" w:rsidRDefault="00000000">
      <w:pPr>
        <w:numPr>
          <w:ilvl w:val="1"/>
          <w:numId w:val="1"/>
        </w:numPr>
        <w:rPr>
          <w:sz w:val="20"/>
          <w:szCs w:val="20"/>
        </w:rPr>
      </w:pPr>
      <w:r w:rsidRPr="00932B5A">
        <w:rPr>
          <w:sz w:val="20"/>
          <w:szCs w:val="20"/>
        </w:rPr>
        <w:t>Transactions can’t interfere with each other! The database implements this for us</w:t>
      </w:r>
    </w:p>
    <w:p w14:paraId="456246F7" w14:textId="77777777" w:rsidR="005B6EA6" w:rsidRPr="00932B5A" w:rsidRDefault="00000000">
      <w:pPr>
        <w:numPr>
          <w:ilvl w:val="2"/>
          <w:numId w:val="1"/>
        </w:numPr>
        <w:rPr>
          <w:sz w:val="20"/>
          <w:szCs w:val="20"/>
        </w:rPr>
      </w:pPr>
      <w:r w:rsidRPr="00932B5A">
        <w:rPr>
          <w:sz w:val="20"/>
          <w:szCs w:val="20"/>
        </w:rPr>
        <w:t>SQL transactions have different levels of isolation that we can change. The more isolated a transaction is, the less they can affect each other, and the more reliable they can become.</w:t>
      </w:r>
    </w:p>
    <w:p w14:paraId="456246F8" w14:textId="77777777" w:rsidR="005B6EA6" w:rsidRPr="00932B5A" w:rsidRDefault="00000000">
      <w:pPr>
        <w:numPr>
          <w:ilvl w:val="2"/>
          <w:numId w:val="1"/>
        </w:numPr>
        <w:rPr>
          <w:sz w:val="20"/>
          <w:szCs w:val="20"/>
        </w:rPr>
      </w:pPr>
      <w:r w:rsidRPr="00932B5A">
        <w:rPr>
          <w:sz w:val="20"/>
          <w:szCs w:val="20"/>
        </w:rPr>
        <w:t>BUT the more isolated your database is, the slower it will function</w:t>
      </w:r>
    </w:p>
    <w:p w14:paraId="456246F9" w14:textId="77777777" w:rsidR="005B6EA6" w:rsidRPr="00932B5A" w:rsidRDefault="00000000">
      <w:pPr>
        <w:numPr>
          <w:ilvl w:val="2"/>
          <w:numId w:val="1"/>
        </w:numPr>
        <w:rPr>
          <w:sz w:val="20"/>
          <w:szCs w:val="20"/>
        </w:rPr>
      </w:pPr>
      <w:r w:rsidRPr="00932B5A">
        <w:rPr>
          <w:sz w:val="20"/>
          <w:szCs w:val="20"/>
        </w:rPr>
        <w:t>Read up on transaction isolation levels if you’d like to know more.</w:t>
      </w:r>
    </w:p>
    <w:p w14:paraId="456246FA" w14:textId="77777777" w:rsidR="005B6EA6" w:rsidRPr="00932B5A" w:rsidRDefault="005B6EA6">
      <w:pPr>
        <w:rPr>
          <w:b/>
          <w:bCs/>
          <w:sz w:val="20"/>
          <w:szCs w:val="20"/>
        </w:rPr>
      </w:pPr>
    </w:p>
    <w:p w14:paraId="456246FB" w14:textId="77777777" w:rsidR="005B6EA6" w:rsidRPr="00932B5A" w:rsidRDefault="00000000">
      <w:pPr>
        <w:rPr>
          <w:sz w:val="20"/>
          <w:szCs w:val="20"/>
        </w:rPr>
      </w:pPr>
      <w:r w:rsidRPr="00932B5A">
        <w:rPr>
          <w:b/>
          <w:bCs/>
          <w:sz w:val="20"/>
          <w:szCs w:val="20"/>
        </w:rPr>
        <w:t xml:space="preserve">D - Durability </w:t>
      </w:r>
      <w:r w:rsidRPr="00932B5A">
        <w:rPr>
          <w:sz w:val="20"/>
          <w:szCs w:val="20"/>
        </w:rPr>
        <w:t>- Transactions must be durable</w:t>
      </w:r>
    </w:p>
    <w:p w14:paraId="456246FC" w14:textId="77777777" w:rsidR="005B6EA6" w:rsidRPr="00932B5A" w:rsidRDefault="00000000">
      <w:pPr>
        <w:numPr>
          <w:ilvl w:val="0"/>
          <w:numId w:val="2"/>
        </w:numPr>
        <w:rPr>
          <w:sz w:val="20"/>
          <w:szCs w:val="20"/>
        </w:rPr>
      </w:pPr>
      <w:r w:rsidRPr="00932B5A">
        <w:rPr>
          <w:sz w:val="20"/>
          <w:szCs w:val="20"/>
        </w:rPr>
        <w:t>If the transaction successfully completes, all of the data is saved to the database.</w:t>
      </w:r>
    </w:p>
    <w:p w14:paraId="456246FD" w14:textId="77777777" w:rsidR="005B6EA6" w:rsidRPr="00932B5A" w:rsidRDefault="00000000">
      <w:pPr>
        <w:numPr>
          <w:ilvl w:val="0"/>
          <w:numId w:val="2"/>
        </w:numPr>
        <w:rPr>
          <w:sz w:val="20"/>
          <w:szCs w:val="20"/>
        </w:rPr>
      </w:pPr>
      <w:r w:rsidRPr="00932B5A">
        <w:rPr>
          <w:sz w:val="20"/>
          <w:szCs w:val="20"/>
        </w:rPr>
        <w:t>The data won’t be lost after a transaction completes. It’s saved forever! Just like a normal SQL statement.</w:t>
      </w:r>
    </w:p>
    <w:p w14:paraId="456246FE" w14:textId="77777777" w:rsidR="005B6EA6" w:rsidRPr="00932B5A" w:rsidRDefault="00000000">
      <w:pPr>
        <w:numPr>
          <w:ilvl w:val="1"/>
          <w:numId w:val="2"/>
        </w:numPr>
        <w:rPr>
          <w:sz w:val="20"/>
          <w:szCs w:val="20"/>
        </w:rPr>
      </w:pPr>
      <w:r w:rsidRPr="00932B5A">
        <w:rPr>
          <w:sz w:val="20"/>
          <w:szCs w:val="20"/>
        </w:rPr>
        <w:t>Seems obvious right? Under the hood, every single SQL command you run is implicitly (automatically) wrapped in a transaction.</w:t>
      </w:r>
    </w:p>
    <w:p w14:paraId="456246FF" w14:textId="77777777" w:rsidR="005B6EA6" w:rsidRDefault="005B6EA6"/>
    <w:p w14:paraId="45624700" w14:textId="77777777" w:rsidR="005B6EA6" w:rsidRDefault="005B6EA6"/>
    <w:p w14:paraId="45624701" w14:textId="77777777" w:rsidR="005B6EA6" w:rsidRDefault="00000000">
      <w:pPr>
        <w:rPr>
          <w:highlight w:val="white"/>
        </w:rPr>
      </w:pPr>
      <w:r>
        <w:rPr>
          <w:noProof/>
          <w:highlight w:val="white"/>
        </w:rPr>
        <w:drawing>
          <wp:inline distT="114300" distB="114300" distL="114300" distR="114300" wp14:anchorId="45624709" wp14:editId="4562470A">
            <wp:extent cx="3243263" cy="88288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243263" cy="882888"/>
                    </a:xfrm>
                    <a:prstGeom prst="rect">
                      <a:avLst/>
                    </a:prstGeom>
                    <a:ln/>
                  </pic:spPr>
                </pic:pic>
              </a:graphicData>
            </a:graphic>
          </wp:inline>
        </w:drawing>
      </w:r>
    </w:p>
    <w:p w14:paraId="45624702" w14:textId="60378026" w:rsidR="005B6EA6" w:rsidRDefault="00000000">
      <w:pPr>
        <w:rPr>
          <w:i/>
          <w:iCs/>
          <w:highlight w:val="white"/>
        </w:rPr>
      </w:pPr>
      <w:r>
        <w:rPr>
          <w:i/>
          <w:iCs/>
          <w:highlight w:val="white"/>
        </w:rPr>
        <w:t xml:space="preserve">*There will be some cases in larger projects where you may be forced to </w:t>
      </w:r>
      <w:r w:rsidRPr="00B51052">
        <w:rPr>
          <w:b/>
          <w:bCs/>
          <w:i/>
          <w:iCs/>
          <w:highlight w:val="white"/>
        </w:rPr>
        <w:t>use @Transactional</w:t>
      </w:r>
      <w:r w:rsidR="00BF680B" w:rsidRPr="00B51052">
        <w:rPr>
          <w:b/>
          <w:bCs/>
          <w:i/>
          <w:iCs/>
          <w:highlight w:val="white"/>
        </w:rPr>
        <w:t xml:space="preserve"> in the Service layer</w:t>
      </w:r>
      <w:r w:rsidR="00B51052" w:rsidRPr="00B51052">
        <w:rPr>
          <w:b/>
          <w:bCs/>
          <w:i/>
          <w:iCs/>
          <w:highlight w:val="white"/>
        </w:rPr>
        <w:t>,</w:t>
      </w:r>
      <w:r w:rsidR="00B51052">
        <w:rPr>
          <w:i/>
          <w:iCs/>
          <w:highlight w:val="white"/>
        </w:rPr>
        <w:t xml:space="preserve"> since</w:t>
      </w:r>
      <w:r w:rsidR="0019783C">
        <w:rPr>
          <w:i/>
          <w:iCs/>
          <w:highlight w:val="white"/>
        </w:rPr>
        <w:t xml:space="preserve"> core</w:t>
      </w:r>
      <w:r w:rsidR="00B51052">
        <w:rPr>
          <w:i/>
          <w:iCs/>
          <w:highlight w:val="white"/>
        </w:rPr>
        <w:t xml:space="preserve"> </w:t>
      </w:r>
      <w:r w:rsidR="0019783C">
        <w:rPr>
          <w:i/>
          <w:iCs/>
          <w:highlight w:val="white"/>
        </w:rPr>
        <w:t>application behavior (including success and failure) is typical</w:t>
      </w:r>
      <w:r w:rsidR="00A649E5">
        <w:rPr>
          <w:i/>
          <w:iCs/>
          <w:highlight w:val="white"/>
        </w:rPr>
        <w:t xml:space="preserve">ly ties to the </w:t>
      </w:r>
      <w:r w:rsidR="00B51052">
        <w:rPr>
          <w:i/>
          <w:iCs/>
          <w:highlight w:val="white"/>
        </w:rPr>
        <w:t>business logic</w:t>
      </w:r>
      <w:r>
        <w:rPr>
          <w:i/>
          <w:iCs/>
          <w:highlight w:val="white"/>
        </w:rPr>
        <w:t>. The syntax is simple, and luckily Spring is clear when it needs it to be included. It will usually tell you something needs to be wrapped in a transaction</w:t>
      </w:r>
    </w:p>
    <w:p w14:paraId="45624703" w14:textId="77777777" w:rsidR="005B6EA6" w:rsidRDefault="00000000">
      <w:pPr>
        <w:rPr>
          <w:i/>
          <w:iCs/>
          <w:highlight w:val="white"/>
        </w:rPr>
      </w:pPr>
      <w:hyperlink r:id="rId10">
        <w:r>
          <w:rPr>
            <w:i/>
            <w:iCs/>
            <w:color w:val="1155CC"/>
            <w:highlight w:val="white"/>
            <w:u w:val="single"/>
          </w:rPr>
          <w:t>https://vladmihalcea.com/spring-transactional-annotation/</w:t>
        </w:r>
      </w:hyperlink>
    </w:p>
    <w:p w14:paraId="45624704" w14:textId="77777777" w:rsidR="005B6EA6" w:rsidRDefault="005B6EA6"/>
    <w:p w14:paraId="7F0B151A" w14:textId="6C75F901" w:rsidR="00932B5A" w:rsidRDefault="00932B5A">
      <w:r>
        <w:t>Here are the different options for Transaction Propagation:</w:t>
      </w:r>
    </w:p>
    <w:p w14:paraId="6A030701" w14:textId="197917C3" w:rsidR="00932B5A" w:rsidRDefault="00932B5A">
      <w:r w:rsidRPr="00932B5A">
        <w:drawing>
          <wp:inline distT="0" distB="0" distL="0" distR="0" wp14:anchorId="559163B6" wp14:editId="28EC560D">
            <wp:extent cx="6758305" cy="1228914"/>
            <wp:effectExtent l="0" t="0" r="4445" b="9525"/>
            <wp:docPr id="107043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36707" name=""/>
                    <pic:cNvPicPr/>
                  </pic:nvPicPr>
                  <pic:blipFill>
                    <a:blip r:embed="rId11"/>
                    <a:stretch>
                      <a:fillRect/>
                    </a:stretch>
                  </pic:blipFill>
                  <pic:spPr>
                    <a:xfrm>
                      <a:off x="0" y="0"/>
                      <a:ext cx="6833351" cy="1242560"/>
                    </a:xfrm>
                    <a:prstGeom prst="rect">
                      <a:avLst/>
                    </a:prstGeom>
                  </pic:spPr>
                </pic:pic>
              </a:graphicData>
            </a:graphic>
          </wp:inline>
        </w:drawing>
      </w:r>
    </w:p>
    <w:sectPr w:rsidR="00932B5A">
      <w:footerReference w:type="even" r:id="rId12"/>
      <w:footerReference w:type="default" r:id="rId13"/>
      <w:foot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9A34D" w14:textId="77777777" w:rsidR="00996487" w:rsidRDefault="00996487" w:rsidP="00E06277">
      <w:pPr>
        <w:spacing w:line="240" w:lineRule="auto"/>
      </w:pPr>
      <w:r>
        <w:separator/>
      </w:r>
    </w:p>
  </w:endnote>
  <w:endnote w:type="continuationSeparator" w:id="0">
    <w:p w14:paraId="0A8654CD" w14:textId="77777777" w:rsidR="00996487" w:rsidRDefault="00996487" w:rsidP="00E062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F51777DB-4337-403E-91FE-589E5262CDFA}"/>
  </w:font>
  <w:font w:name="Calibri">
    <w:panose1 w:val="020F0502020204030204"/>
    <w:charset w:val="00"/>
    <w:family w:val="swiss"/>
    <w:pitch w:val="variable"/>
    <w:sig w:usb0="E4002EFF" w:usb1="C200247B" w:usb2="00000009" w:usb3="00000000" w:csb0="000001FF" w:csb1="00000000"/>
    <w:embedRegular r:id="rId2" w:fontKey="{433E939E-AE68-4240-9E65-BA4A1659F975}"/>
  </w:font>
  <w:font w:name="Cambria">
    <w:panose1 w:val="02040503050406030204"/>
    <w:charset w:val="00"/>
    <w:family w:val="roman"/>
    <w:pitch w:val="variable"/>
    <w:sig w:usb0="E00006FF" w:usb1="420024FF" w:usb2="02000000" w:usb3="00000000" w:csb0="0000019F" w:csb1="00000000"/>
    <w:embedRegular r:id="rId3" w:fontKey="{D8F358ED-8926-4682-AE07-E4DC1834C7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6D27C" w14:textId="738A8260" w:rsidR="00E06277" w:rsidRDefault="00E06277">
    <w:pPr>
      <w:pStyle w:val="Footer"/>
    </w:pPr>
    <w:r>
      <w:rPr>
        <w:noProof/>
      </w:rPr>
      <mc:AlternateContent>
        <mc:Choice Requires="wps">
          <w:drawing>
            <wp:anchor distT="0" distB="0" distL="0" distR="0" simplePos="0" relativeHeight="251659264" behindDoc="0" locked="0" layoutInCell="1" allowOverlap="1" wp14:anchorId="23B887A6" wp14:editId="171A7AA7">
              <wp:simplePos x="635" y="635"/>
              <wp:positionH relativeFrom="page">
                <wp:align>left</wp:align>
              </wp:positionH>
              <wp:positionV relativeFrom="page">
                <wp:align>bottom</wp:align>
              </wp:positionV>
              <wp:extent cx="1588770" cy="368935"/>
              <wp:effectExtent l="0" t="0" r="11430" b="0"/>
              <wp:wrapNone/>
              <wp:docPr id="115944294" name="Text Box 2"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6A00BCE3" w14:textId="395B4CB2" w:rsidR="00E06277" w:rsidRPr="00E06277" w:rsidRDefault="00E06277" w:rsidP="00E06277">
                          <w:pPr>
                            <w:rPr>
                              <w:rFonts w:ascii="Aptos" w:eastAsia="Aptos" w:hAnsi="Aptos" w:cs="Aptos"/>
                              <w:noProof/>
                              <w:color w:val="000000"/>
                              <w:sz w:val="20"/>
                              <w:szCs w:val="20"/>
                            </w:rPr>
                          </w:pPr>
                          <w:r w:rsidRPr="00E06277">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3B887A6" id="_x0000_t202" coordsize="21600,21600" o:spt="202" path="m,l,21600r21600,l21600,xe">
              <v:stroke joinstyle="miter"/>
              <v:path gradientshapeok="t" o:connecttype="rect"/>
            </v:shapetype>
            <v:shape id="Text Box 2" o:spid="_x0000_s1026" type="#_x0000_t202" alt="Fannie Mae Confidential" style="position:absolute;margin-left:0;margin-top:0;width:125.1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p3DwIAABsEAAAOAAAAZHJzL2Uyb0RvYy54bWysU8Fu2zAMvQ/YPwi6L3bSpU2NOEXWIsOA&#10;oC2QDj0rshQbkERBUmJnXz9KdpKt26noRaZJ6pF8fJrfdVqRg3C+AVPS8SinRBgOVWN2Jf35svoy&#10;o8QHZiqmwIiSHoWnd4vPn+atLcQEalCVcARBjC9aW9I6BFtkmee10MyPwAqDQQlOs4C/bpdVjrWI&#10;rlU2yfPrrAVXWQdceI/ehz5IFwlfSsHDk5ReBKJKir2FdLp0buOZLeas2Dlm64YPbbB3dKFZY7Do&#10;GeqBBUb2rvkHSjfcgQcZRhx0BlI2XKQZcJpx/maaTc2sSLMgOd6eafIfB8sfDxv77EjovkGHC4yE&#10;tNYXHp1xnk46Hb/YKcE4Ung80ya6QHi8NJ3Nbm4wxDF2dT27vZpGmOxy2zofvgvQJBoldbiWxBY7&#10;rH3oU08psZiBVaNUWo0yfzkQM3qyS4vRCt22G/reQnXEcRz0m/aWrxqsuWY+PDOHq8U2Ua7hCQ+p&#10;oC0pDBYlNbhf//PHfGQco5S0KJWSGtQyJeqHwU1Mpl/zPEor/aHhTsY2GePbfBrjZq/vAVU4xgdh&#10;eTJjclAnUzrQr6jmZayGIWY41izp9mTeh164+Bq4WC5TEqrIsrA2G8sjdCQrMvnSvTJnB7oDLuoR&#10;TmJixRvW+9x409vlPiD3aSWR2J7NgW9UYFrq8FqixP/8T1mXN734DQAA//8DAFBLAwQUAAYACAAA&#10;ACEAJkv/SdoAAAAEAQAADwAAAGRycy9kb3ducmV2LnhtbEyPwWrDMBBE74X+g9hAbo0cQ0xwvQ4h&#10;bUKudQvtUbY2lom1ci0lcf++ai/tZWGYYeZtsZlsL640+s4xwnKRgCBunO64RXh73T+sQfigWKve&#10;MSF8kYdNeX9XqFy7G7/QtQqtiCXsc4VgQhhyKX1jyCq/cANx9E5utCpEObZSj+oWy20v0yTJpFUd&#10;xwWjBtoZas7VxSJkT4etGd6zj89T6o++dudQuWfE+WzaPoIINIW/MPzgR3QoI1PtLqy96BHiI+H3&#10;Ri9dJSmIGmG1XoIsC/kfvvwGAAD//wMAUEsBAi0AFAAGAAgAAAAhALaDOJL+AAAA4QEAABMAAAAA&#10;AAAAAAAAAAAAAAAAAFtDb250ZW50X1R5cGVzXS54bWxQSwECLQAUAAYACAAAACEAOP0h/9YAAACU&#10;AQAACwAAAAAAAAAAAAAAAAAvAQAAX3JlbHMvLnJlbHNQSwECLQAUAAYACAAAACEA105qdw8CAAAb&#10;BAAADgAAAAAAAAAAAAAAAAAuAgAAZHJzL2Uyb0RvYy54bWxQSwECLQAUAAYACAAAACEAJkv/SdoA&#10;AAAEAQAADwAAAAAAAAAAAAAAAABpBAAAZHJzL2Rvd25yZXYueG1sUEsFBgAAAAAEAAQA8wAAAHAF&#10;AAAAAA==&#10;" filled="f" stroked="f">
              <v:fill o:detectmouseclick="t"/>
              <v:textbox style="mso-fit-shape-to-text:t" inset="20pt,0,0,15pt">
                <w:txbxContent>
                  <w:p w14:paraId="6A00BCE3" w14:textId="395B4CB2" w:rsidR="00E06277" w:rsidRPr="00E06277" w:rsidRDefault="00E06277" w:rsidP="00E06277">
                    <w:pPr>
                      <w:rPr>
                        <w:rFonts w:ascii="Aptos" w:eastAsia="Aptos" w:hAnsi="Aptos" w:cs="Aptos"/>
                        <w:noProof/>
                        <w:color w:val="000000"/>
                        <w:sz w:val="20"/>
                        <w:szCs w:val="20"/>
                      </w:rPr>
                    </w:pPr>
                    <w:r w:rsidRPr="00E06277">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E295E" w14:textId="48610C0D" w:rsidR="00E06277" w:rsidRDefault="00E06277">
    <w:pPr>
      <w:pStyle w:val="Footer"/>
    </w:pPr>
    <w:r>
      <w:rPr>
        <w:noProof/>
      </w:rPr>
      <mc:AlternateContent>
        <mc:Choice Requires="wps">
          <w:drawing>
            <wp:anchor distT="0" distB="0" distL="0" distR="0" simplePos="0" relativeHeight="251660288" behindDoc="0" locked="0" layoutInCell="1" allowOverlap="1" wp14:anchorId="4E182DF5" wp14:editId="5EFDA657">
              <wp:simplePos x="635" y="635"/>
              <wp:positionH relativeFrom="page">
                <wp:align>left</wp:align>
              </wp:positionH>
              <wp:positionV relativeFrom="page">
                <wp:align>bottom</wp:align>
              </wp:positionV>
              <wp:extent cx="1588770" cy="368935"/>
              <wp:effectExtent l="0" t="0" r="11430" b="0"/>
              <wp:wrapNone/>
              <wp:docPr id="1395676582" name="Text Box 3"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587D1503" w14:textId="519BEED4" w:rsidR="00E06277" w:rsidRPr="00E06277" w:rsidRDefault="00E06277" w:rsidP="00E06277">
                          <w:pPr>
                            <w:rPr>
                              <w:rFonts w:ascii="Aptos" w:eastAsia="Aptos" w:hAnsi="Aptos" w:cs="Aptos"/>
                              <w:noProof/>
                              <w:color w:val="000000"/>
                              <w:sz w:val="20"/>
                              <w:szCs w:val="20"/>
                            </w:rPr>
                          </w:pPr>
                          <w:r w:rsidRPr="00E06277">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E182DF5" id="_x0000_t202" coordsize="21600,21600" o:spt="202" path="m,l,21600r21600,l21600,xe">
              <v:stroke joinstyle="miter"/>
              <v:path gradientshapeok="t" o:connecttype="rect"/>
            </v:shapetype>
            <v:shape id="Text Box 3" o:spid="_x0000_s1027" type="#_x0000_t202" alt="Fannie Mae Confidential" style="position:absolute;margin-left:0;margin-top:0;width:125.1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ZjEgIAACIEAAAOAAAAZHJzL2Uyb0RvYy54bWysU99v2jAQfp+0/8Hy+0igo6URoWKtmCah&#10;thKd+mwcm0SyfZZtSNhfv7MToO32NO3Fudyd78f3fZ7fdVqRg3C+AVPS8SinRBgOVWN2Jf35svoy&#10;o8QHZiqmwIiSHoWnd4vPn+atLcQEalCVcASLGF+0tqR1CLbIMs9roZkfgRUGgxKcZgF/3S6rHGux&#10;ulbZJM+vsxZcZR1w4T16H/ogXaT6UgoenqT0IhBVUpwtpNOlcxvPbDFnxc4xWzd8GIP9wxSaNQab&#10;nks9sMDI3jV/lNINd+BBhhEHnYGUDRdpB9xmnH/YZlMzK9IuCI63Z5j8/yvLHw8b++xI6L5BhwRG&#10;QFrrC4/OuE8nnY5fnJRgHCE8nmETXSA8XprOZjc3GOIYu7qe3V5NY5nscts6H74L0CQaJXVIS0KL&#10;HdY+9KmnlNjMwKpRKlGjzDsH1oye7DJitEK37UhTvRl/C9URt3LQE+4tXzXYes18eGYOGcZpUbXh&#10;CQ+poC0pDBYlNbhff/PHfAQeo5S0qJiSGpQ0JeqHQUIm0695HhWW/tBwJ2ObjPFtPo1xs9f3gGIc&#10;47uwPJkxOaiTKR3oVxT1MnbDEDMce5Z0ezLvQ69ffBRcLJcpCcVkWVibjeWxdMQsAvrSvTJnB9QD&#10;8vUIJ02x4gP4fW686e1yH5CCxEzEt0dzgB2FmLgdHk1U+tv/lHV52ovfAAAA//8DAFBLAwQUAAYA&#10;CAAAACEAJkv/SdoAAAAEAQAADwAAAGRycy9kb3ducmV2LnhtbEyPwWrDMBBE74X+g9hAbo0cQ0xw&#10;vQ4hbUKudQvtUbY2lom1ci0lcf++ai/tZWGYYeZtsZlsL640+s4xwnKRgCBunO64RXh73T+sQfig&#10;WKveMSF8kYdNeX9XqFy7G7/QtQqtiCXsc4VgQhhyKX1jyCq/cANx9E5utCpEObZSj+oWy20v0yTJ&#10;pFUdxwWjBtoZas7VxSJkT4etGd6zj89T6o++dudQuWfE+WzaPoIINIW/MPzgR3QoI1PtLqy96BHi&#10;I+H3Ri9dJSmIGmG1XoIsC/kfvvwGAAD//wMAUEsBAi0AFAAGAAgAAAAhALaDOJL+AAAA4QEAABMA&#10;AAAAAAAAAAAAAAAAAAAAAFtDb250ZW50X1R5cGVzXS54bWxQSwECLQAUAAYACAAAACEAOP0h/9YA&#10;AACUAQAACwAAAAAAAAAAAAAAAAAvAQAAX3JlbHMvLnJlbHNQSwECLQAUAAYACAAAACEAqEC2YxIC&#10;AAAiBAAADgAAAAAAAAAAAAAAAAAuAgAAZHJzL2Uyb0RvYy54bWxQSwECLQAUAAYACAAAACEAJkv/&#10;SdoAAAAEAQAADwAAAAAAAAAAAAAAAABsBAAAZHJzL2Rvd25yZXYueG1sUEsFBgAAAAAEAAQA8wAA&#10;AHMFAAAAAA==&#10;" filled="f" stroked="f">
              <v:fill o:detectmouseclick="t"/>
              <v:textbox style="mso-fit-shape-to-text:t" inset="20pt,0,0,15pt">
                <w:txbxContent>
                  <w:p w14:paraId="587D1503" w14:textId="519BEED4" w:rsidR="00E06277" w:rsidRPr="00E06277" w:rsidRDefault="00E06277" w:rsidP="00E06277">
                    <w:pPr>
                      <w:rPr>
                        <w:rFonts w:ascii="Aptos" w:eastAsia="Aptos" w:hAnsi="Aptos" w:cs="Aptos"/>
                        <w:noProof/>
                        <w:color w:val="000000"/>
                        <w:sz w:val="20"/>
                        <w:szCs w:val="20"/>
                      </w:rPr>
                    </w:pPr>
                    <w:r w:rsidRPr="00E06277">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247CA" w14:textId="5BF78F4B" w:rsidR="00E06277" w:rsidRDefault="00E06277">
    <w:pPr>
      <w:pStyle w:val="Footer"/>
    </w:pPr>
    <w:r>
      <w:rPr>
        <w:noProof/>
      </w:rPr>
      <mc:AlternateContent>
        <mc:Choice Requires="wps">
          <w:drawing>
            <wp:anchor distT="0" distB="0" distL="0" distR="0" simplePos="0" relativeHeight="251658240" behindDoc="0" locked="0" layoutInCell="1" allowOverlap="1" wp14:anchorId="43410F08" wp14:editId="047C9279">
              <wp:simplePos x="635" y="635"/>
              <wp:positionH relativeFrom="page">
                <wp:align>left</wp:align>
              </wp:positionH>
              <wp:positionV relativeFrom="page">
                <wp:align>bottom</wp:align>
              </wp:positionV>
              <wp:extent cx="1588770" cy="368935"/>
              <wp:effectExtent l="0" t="0" r="11430" b="0"/>
              <wp:wrapNone/>
              <wp:docPr id="2131089005" name="Text Box 1"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28224B6A" w14:textId="46B3EB03" w:rsidR="00E06277" w:rsidRPr="00E06277" w:rsidRDefault="00E06277" w:rsidP="00E06277">
                          <w:pPr>
                            <w:rPr>
                              <w:rFonts w:ascii="Aptos" w:eastAsia="Aptos" w:hAnsi="Aptos" w:cs="Aptos"/>
                              <w:noProof/>
                              <w:color w:val="000000"/>
                              <w:sz w:val="20"/>
                              <w:szCs w:val="20"/>
                            </w:rPr>
                          </w:pPr>
                          <w:r w:rsidRPr="00E06277">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410F08" id="_x0000_t202" coordsize="21600,21600" o:spt="202" path="m,l,21600r21600,l21600,xe">
              <v:stroke joinstyle="miter"/>
              <v:path gradientshapeok="t" o:connecttype="rect"/>
            </v:shapetype>
            <v:shape id="Text Box 1" o:spid="_x0000_s1028" type="#_x0000_t202" alt="Fannie Mae Confidential" style="position:absolute;margin-left:0;margin-top:0;width:125.1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kUhFAIAACIEAAAOAAAAZHJzL2Uyb0RvYy54bWysU99v2jAQfp+0/8Hy+0igo6URoWKtmCah&#10;thKd+mwcm0SyfZZtSNhfv7NDYOv2VPXFudyd78f3fZ7fdVqRg3C+AVPS8SinRBgOVWN2Jf35svoy&#10;o8QHZiqmwIiSHoWnd4vPn+atLcQEalCVcASLGF+0tqR1CLbIMs9roZkfgRUGgxKcZgF/3S6rHGux&#10;ulbZJM+vsxZcZR1w4T16H/ogXaT6UgoenqT0IhBVUpwtpNOlcxvPbDFnxc4xWzf8NAZ7xxSaNQab&#10;nks9sMDI3jX/lNINd+BBhhEHnYGUDRdpB9xmnL/ZZlMzK9IuCI63Z5j8x5Xlj4eNfXYkdN+gQwIj&#10;IK31hUdn3KeTTscvTkowjhAez7CJLhAeL01ns5sbDHGMXV3Pbq+msUx2uW2dD98FaBKNkjqkJaHF&#10;Dmsf+tQhJTYzsGqUStQo85cDa0ZPdhkxWqHbdqSpSjoZxt9CdcStHPSEe8tXDbZeMx+emUOGcVpU&#10;bXjCQypoSwoni5Ia3K//+WM+Ao9RSlpUTEkNSpoS9cMgIZPp1zyPCkt/aLjB2CZjfJtPY9zs9T2g&#10;GMf4LixPZkwOajClA/2Kol7GbhhihmPPkm4H8z70+sVHwcVymZJQTJaFtdlYHktHzCKgL90rc/aE&#10;ekC+HmHQFCvegN/nxpveLvcBKUjMRHx7NE+woxATt6dHE5X+53/KujztxW8AAAD//wMAUEsDBBQA&#10;BgAIAAAAIQAmS/9J2gAAAAQBAAAPAAAAZHJzL2Rvd25yZXYueG1sTI/BasMwEETvhf6D2EBujRxD&#10;THC9DiFtQq51C+1RtjaWibVyLSVx/75qL+1lYZhh5m2xmWwvrjT6zjHCcpGAIG6c7rhFeHvdP6xB&#10;+KBYq94xIXyRh015f1eoXLsbv9C1Cq2IJexzhWBCGHIpfWPIKr9wA3H0Tm60KkQ5tlKP6hbLbS/T&#10;JMmkVR3HBaMG2hlqztXFImRPh60Z3rOPz1Pqj75251C5Z8T5bNo+ggg0hb8w/OBHdCgjU+0urL3o&#10;EeIj4fdGL10lKYgaYbVegiwL+R++/AYAAP//AwBQSwECLQAUAAYACAAAACEAtoM4kv4AAADhAQAA&#10;EwAAAAAAAAAAAAAAAAAAAAAAW0NvbnRlbnRfVHlwZXNdLnhtbFBLAQItABQABgAIAAAAIQA4/SH/&#10;1gAAAJQBAAALAAAAAAAAAAAAAAAAAC8BAABfcmVscy8ucmVsc1BLAQItABQABgAIAAAAIQD51kUh&#10;FAIAACIEAAAOAAAAAAAAAAAAAAAAAC4CAABkcnMvZTJvRG9jLnhtbFBLAQItABQABgAIAAAAIQAm&#10;S/9J2gAAAAQBAAAPAAAAAAAAAAAAAAAAAG4EAABkcnMvZG93bnJldi54bWxQSwUGAAAAAAQABADz&#10;AAAAdQUAAAAA&#10;" filled="f" stroked="f">
              <v:fill o:detectmouseclick="t"/>
              <v:textbox style="mso-fit-shape-to-text:t" inset="20pt,0,0,15pt">
                <w:txbxContent>
                  <w:p w14:paraId="28224B6A" w14:textId="46B3EB03" w:rsidR="00E06277" w:rsidRPr="00E06277" w:rsidRDefault="00E06277" w:rsidP="00E06277">
                    <w:pPr>
                      <w:rPr>
                        <w:rFonts w:ascii="Aptos" w:eastAsia="Aptos" w:hAnsi="Aptos" w:cs="Aptos"/>
                        <w:noProof/>
                        <w:color w:val="000000"/>
                        <w:sz w:val="20"/>
                        <w:szCs w:val="20"/>
                      </w:rPr>
                    </w:pPr>
                    <w:r w:rsidRPr="00E06277">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FD6FE" w14:textId="77777777" w:rsidR="00996487" w:rsidRDefault="00996487" w:rsidP="00E06277">
      <w:pPr>
        <w:spacing w:line="240" w:lineRule="auto"/>
      </w:pPr>
      <w:r>
        <w:separator/>
      </w:r>
    </w:p>
  </w:footnote>
  <w:footnote w:type="continuationSeparator" w:id="0">
    <w:p w14:paraId="0AC3F940" w14:textId="77777777" w:rsidR="00996487" w:rsidRDefault="00996487" w:rsidP="00E062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7A0"/>
    <w:multiLevelType w:val="multilevel"/>
    <w:tmpl w:val="0FB88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D54C8A"/>
    <w:multiLevelType w:val="multilevel"/>
    <w:tmpl w:val="44CA5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A01FF7"/>
    <w:multiLevelType w:val="multilevel"/>
    <w:tmpl w:val="D9ECA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722AD7"/>
    <w:multiLevelType w:val="multilevel"/>
    <w:tmpl w:val="5EA2B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EE4C61"/>
    <w:multiLevelType w:val="multilevel"/>
    <w:tmpl w:val="EB640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0E6795"/>
    <w:multiLevelType w:val="multilevel"/>
    <w:tmpl w:val="0C6CE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32A5EB3"/>
    <w:multiLevelType w:val="multilevel"/>
    <w:tmpl w:val="8392E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80938D5"/>
    <w:multiLevelType w:val="multilevel"/>
    <w:tmpl w:val="F2A67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D00550"/>
    <w:multiLevelType w:val="multilevel"/>
    <w:tmpl w:val="1E9A4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EFE0A4A"/>
    <w:multiLevelType w:val="multilevel"/>
    <w:tmpl w:val="D1207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6360457"/>
    <w:multiLevelType w:val="multilevel"/>
    <w:tmpl w:val="6E508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8625358"/>
    <w:multiLevelType w:val="multilevel"/>
    <w:tmpl w:val="39B68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1826A7A"/>
    <w:multiLevelType w:val="multilevel"/>
    <w:tmpl w:val="118C9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4510602">
    <w:abstractNumId w:val="10"/>
  </w:num>
  <w:num w:numId="2" w16cid:durableId="1835753274">
    <w:abstractNumId w:val="6"/>
  </w:num>
  <w:num w:numId="3" w16cid:durableId="2128691964">
    <w:abstractNumId w:val="1"/>
  </w:num>
  <w:num w:numId="4" w16cid:durableId="1040402083">
    <w:abstractNumId w:val="7"/>
  </w:num>
  <w:num w:numId="5" w16cid:durableId="1286161300">
    <w:abstractNumId w:val="5"/>
  </w:num>
  <w:num w:numId="6" w16cid:durableId="1611400870">
    <w:abstractNumId w:val="9"/>
  </w:num>
  <w:num w:numId="7" w16cid:durableId="1911572122">
    <w:abstractNumId w:val="2"/>
  </w:num>
  <w:num w:numId="8" w16cid:durableId="1194267788">
    <w:abstractNumId w:val="0"/>
  </w:num>
  <w:num w:numId="9" w16cid:durableId="1278948195">
    <w:abstractNumId w:val="11"/>
  </w:num>
  <w:num w:numId="10" w16cid:durableId="759302874">
    <w:abstractNumId w:val="3"/>
  </w:num>
  <w:num w:numId="11" w16cid:durableId="1366831304">
    <w:abstractNumId w:val="8"/>
  </w:num>
  <w:num w:numId="12" w16cid:durableId="1035886529">
    <w:abstractNumId w:val="4"/>
  </w:num>
  <w:num w:numId="13" w16cid:durableId="9428033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EA6"/>
    <w:rsid w:val="0019783C"/>
    <w:rsid w:val="002E4C86"/>
    <w:rsid w:val="005B6EA6"/>
    <w:rsid w:val="00932B5A"/>
    <w:rsid w:val="00996487"/>
    <w:rsid w:val="00A13B7F"/>
    <w:rsid w:val="00A649E5"/>
    <w:rsid w:val="00B51052"/>
    <w:rsid w:val="00BF680B"/>
    <w:rsid w:val="00E06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24682"/>
  <w15:docId w15:val="{836B36EE-3A2A-4944-B429-A922ED7DA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Footer">
    <w:name w:val="footer"/>
    <w:basedOn w:val="Normal"/>
    <w:link w:val="FooterChar"/>
    <w:uiPriority w:val="99"/>
    <w:unhideWhenUsed/>
    <w:rsid w:val="00E06277"/>
    <w:pPr>
      <w:tabs>
        <w:tab w:val="center" w:pos="4680"/>
        <w:tab w:val="right" w:pos="9360"/>
      </w:tabs>
      <w:spacing w:line="240" w:lineRule="auto"/>
    </w:pPr>
  </w:style>
  <w:style w:type="character" w:customStyle="1" w:styleId="FooterChar">
    <w:name w:val="Footer Char"/>
    <w:basedOn w:val="DefaultParagraphFont"/>
    <w:link w:val="Footer"/>
    <w:uiPriority w:val="99"/>
    <w:rsid w:val="00E062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vladmihalcea.com/spring-transactional-annotatio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TotalTime>
  <Pages>5</Pages>
  <Words>1440</Words>
  <Characters>8213</Characters>
  <Application>Microsoft Office Word</Application>
  <DocSecurity>0</DocSecurity>
  <Lines>68</Lines>
  <Paragraphs>19</Paragraphs>
  <ScaleCrop>false</ScaleCrop>
  <Company>Fannie Mae</Company>
  <LinksUpToDate>false</LinksUpToDate>
  <CharactersWithSpaces>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Petruzziello, Benjamin z (Contractor)</cp:lastModifiedBy>
  <cp:revision>8</cp:revision>
  <dcterms:created xsi:type="dcterms:W3CDTF">2026-08-19T12:48:00Z</dcterms:created>
  <dcterms:modified xsi:type="dcterms:W3CDTF">2026-08-19T20:21:00Z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7f05d66d,6e92b66,533055a6</vt:lpwstr>
  </property>
  <property fmtid="{D5CDD505-2E9C-101B-9397-08002B2CF9AE}" pid="3" name="ClassificationContentMarkingFooterFontProps">
    <vt:lpwstr>#000000,10,Aptos</vt:lpwstr>
  </property>
  <property fmtid="{D5CDD505-2E9C-101B-9397-08002B2CF9AE}" pid="4" name="ClassificationContentMarkingFooterText">
    <vt:lpwstr>Fannie Mae Confidential</vt:lpwstr>
  </property>
  <property fmtid="{D5CDD505-2E9C-101B-9397-08002B2CF9AE}" pid="5" name="MSIP_Label_a9455cd2-ef3f-47ad-8dee-f10882ec60d9_Enabled">
    <vt:lpwstr>true</vt:lpwstr>
  </property>
  <property fmtid="{D5CDD505-2E9C-101B-9397-08002B2CF9AE}" pid="6" name="MSIP_Label_a9455cd2-ef3f-47ad-8dee-f10882ec60d9_SetDate">
    <vt:lpwstr>2026-08-19T12:55:44Z</vt:lpwstr>
  </property>
  <property fmtid="{D5CDD505-2E9C-101B-9397-08002B2CF9AE}" pid="7" name="MSIP_Label_a9455cd2-ef3f-47ad-8dee-f10882ec60d9_Method">
    <vt:lpwstr>Standard</vt:lpwstr>
  </property>
  <property fmtid="{D5CDD505-2E9C-101B-9397-08002B2CF9AE}" pid="8" name="MSIP_Label_a9455cd2-ef3f-47ad-8dee-f10882ec60d9_Name">
    <vt:lpwstr>Confidential - Internal Distribution</vt:lpwstr>
  </property>
  <property fmtid="{D5CDD505-2E9C-101B-9397-08002B2CF9AE}" pid="9" name="MSIP_Label_a9455cd2-ef3f-47ad-8dee-f10882ec60d9_SiteId">
    <vt:lpwstr>e6baca02-d986-4077-8053-30de7d5e0d58</vt:lpwstr>
  </property>
  <property fmtid="{D5CDD505-2E9C-101B-9397-08002B2CF9AE}" pid="10" name="MSIP_Label_a9455cd2-ef3f-47ad-8dee-f10882ec60d9_ActionId">
    <vt:lpwstr>bdd21be9-5f61-4ea5-9970-e8a02027c3d8</vt:lpwstr>
  </property>
  <property fmtid="{D5CDD505-2E9C-101B-9397-08002B2CF9AE}" pid="11" name="MSIP_Label_a9455cd2-ef3f-47ad-8dee-f10882ec60d9_ContentBits">
    <vt:lpwstr>2</vt:lpwstr>
  </property>
  <property fmtid="{D5CDD505-2E9C-101B-9397-08002B2CF9AE}" pid="12" name="MSIP_Label_a9455cd2-ef3f-47ad-8dee-f10882ec60d9_Tag">
    <vt:lpwstr>10, 3, 0, 1</vt:lpwstr>
  </property>
</Properties>
</file>