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heory-of-change-drafts-for-review"/>
    <w:p>
      <w:pPr>
        <w:pStyle w:val="Heading1"/>
      </w:pPr>
      <w:r>
        <w:t xml:space="preserve">Theory of Change drafts for review</w:t>
      </w:r>
    </w:p>
    <w:p>
      <w:pPr>
        <w:pStyle w:val="FirstParagraph"/>
      </w:pPr>
      <w:r>
        <w:t xml:space="preserve">Hi —</w:t>
      </w:r>
    </w:p>
    <w:p>
      <w:pPr>
        <w:pStyle w:val="BodyText"/>
      </w:pPr>
      <w:r>
        <w:t xml:space="preserve">The new website’s Mission page has a</w:t>
      </w:r>
      <w:r>
        <w:t xml:space="preserve"> </w:t>
      </w:r>
      <w:r>
        <w:rPr>
          <w:b/>
          <w:bCs/>
        </w:rPr>
        <w:t xml:space="preserve">Theory of Change diagram</w:t>
      </w:r>
      <w:r>
        <w:t xml:space="preserve"> </w:t>
      </w:r>
      <w:r>
        <w:t xml:space="preserve">built and ready: three connected stages (Problem → Approach → Outcome), shown as a horizontal flow on desktop and a vertical flow on mobile. The diagram only renders if those three stages are filled in in the Studio.</w:t>
      </w:r>
    </w:p>
    <w:p>
      <w:pPr>
        <w:pStyle w:val="BodyText"/>
      </w:pPr>
      <w:r>
        <w:t xml:space="preserve">Below is a first-pass draft of what those three stages could say. They’re written conservatively — anchored directly to the verbatim mission, vision, and origin story already on rootedcommunity.org.</w:t>
      </w:r>
      <w:r>
        <w:t xml:space="preserve"> </w:t>
      </w:r>
      <w:r>
        <w:rPr>
          <w:b/>
          <w:bCs/>
        </w:rPr>
        <w:t xml:space="preserve">They’re not asserting any specific operational details</w:t>
      </w:r>
      <w:r>
        <w:t xml:space="preserve">; they’re restating the publicly-stated work in a 3-stage frame that funders will recognize.</w:t>
      </w:r>
    </w:p>
    <w:p>
      <w:pPr>
        <w:pStyle w:val="BodyText"/>
      </w:pPr>
      <w:r>
        <w:t xml:space="preserve">Please edit anything freely. The goal is for these to be the version you and the team would be comfortable signing off on for funder-facing use.</w:t>
      </w:r>
    </w:p>
    <w:p>
      <w:r>
        <w:pict>
          <v:rect style="width:0;height:1.5pt" o:hralign="center" o:hrstd="t" o:hr="t"/>
        </w:pict>
      </w:r>
    </w:p>
    <w:bookmarkStart w:id="9" w:name="stage-01-problem"/>
    <w:p>
      <w:pPr>
        <w:pStyle w:val="Heading2"/>
      </w:pPr>
      <w:r>
        <w:t xml:space="preserve">Stage 01 — Problem</w:t>
      </w:r>
    </w:p>
    <w:p>
      <w:pPr>
        <w:pStyle w:val="BlockText"/>
      </w:pPr>
      <w:r>
        <w:t xml:space="preserve">In our region, incarceration of BIPOC community members inflicts trauma far beyond any sentence. The harm reaches families, futures, and the community fabric we share — and tends to compound across generations and cycles of recidivism unless someone interrupts it.</w:t>
      </w:r>
    </w:p>
    <w:bookmarkEnd w:id="9"/>
    <w:bookmarkStart w:id="10" w:name="stage-02-approach"/>
    <w:p>
      <w:pPr>
        <w:pStyle w:val="Heading2"/>
      </w:pPr>
      <w:r>
        <w:t xml:space="preserve">Stage 02 — Approach</w:t>
      </w:r>
    </w:p>
    <w:p>
      <w:pPr>
        <w:pStyle w:val="BlockText"/>
      </w:pPr>
      <w:r>
        <w:t xml:space="preserve">Rooted meets community members at every stage of the reentry and healing journey. Seven programs — from immediate-needs support to community circles — work alongside people where they are. We prioritize relationships over transactions, and we lead with the lived experience of community members who have been through the system themselves.</w:t>
      </w:r>
    </w:p>
    <w:bookmarkEnd w:id="10"/>
    <w:bookmarkStart w:id="11" w:name="stage-03-outcome"/>
    <w:p>
      <w:pPr>
        <w:pStyle w:val="Heading2"/>
      </w:pPr>
      <w:r>
        <w:t xml:space="preserve">Stage 03 — Outcome</w:t>
      </w:r>
    </w:p>
    <w:p>
      <w:pPr>
        <w:pStyle w:val="BlockText"/>
      </w:pPr>
      <w:r>
        <w:t xml:space="preserve">A community where system-impacted BIPOC people are home — housed, supported, in relationship, and treated as the full humans they are. Reduced recidivism is one measure. Restored humanity is the deeper one.</w:t>
      </w:r>
    </w:p>
    <w:p>
      <w:r>
        <w:pict>
          <v:rect style="width:0;height:1.5pt" o:hralign="center" o:hrstd="t" o:hr="t"/>
        </w:pict>
      </w:r>
    </w:p>
    <w:bookmarkEnd w:id="11"/>
    <w:bookmarkStart w:id="12" w:name="notes-on-the-framing"/>
    <w:p>
      <w:pPr>
        <w:pStyle w:val="Heading2"/>
      </w:pPr>
      <w:r>
        <w:t xml:space="preserve">Notes on the framing</w:t>
      </w:r>
    </w:p>
    <w:p>
      <w:pPr>
        <w:pStyle w:val="FirstParagraph"/>
      </w:pPr>
      <w:r>
        <w:t xml:space="preserve">A few things to flag in the drafts:</w:t>
      </w:r>
    </w:p>
    <w:p>
      <w:pPr>
        <w:pStyle w:val="BodyText"/>
      </w:pPr>
      <w:r>
        <w:rPr>
          <w:b/>
          <w:bCs/>
        </w:rPr>
        <w:t xml:space="preserve">“In our region”</w:t>
      </w:r>
      <w:r>
        <w:t xml:space="preserve"> </w:t>
      </w:r>
      <w:r>
        <w:t xml:space="preserve">— Stage 01 keeps geography implicit (</w:t>
      </w:r>
      <w:r>
        <w:t xml:space="preserve">“our region”</w:t>
      </w:r>
      <w:r>
        <w:t xml:space="preserve">). Could be tightened to</w:t>
      </w:r>
      <w:r>
        <w:t xml:space="preserve"> </w:t>
      </w:r>
      <w:r>
        <w:t xml:space="preserve">“In King, Snohomish, and Pierce counties”</w:t>
      </w:r>
      <w:r>
        <w:t xml:space="preserve"> </w:t>
      </w:r>
      <w:r>
        <w:t xml:space="preserve">if we want to be more concrete. Or expanded to</w:t>
      </w:r>
      <w:r>
        <w:t xml:space="preserve"> </w:t>
      </w:r>
      <w:r>
        <w:t xml:space="preserve">“Across Washington”</w:t>
      </w:r>
      <w:r>
        <w:t xml:space="preserve"> </w:t>
      </w:r>
      <w:r>
        <w:t xml:space="preserve">if the work has implications beyond the immediate service area.</w:t>
      </w:r>
    </w:p>
    <w:p>
      <w:pPr>
        <w:pStyle w:val="BodyText"/>
      </w:pPr>
      <w:r>
        <w:rPr>
          <w:b/>
          <w:bCs/>
        </w:rPr>
        <w:t xml:space="preserve">“Seven programs”</w:t>
      </w:r>
      <w:r>
        <w:t xml:space="preserve"> </w:t>
      </w:r>
      <w:r>
        <w:t xml:space="preserve">— Stage 02 names the program count explicitly. If we add or restructure programs in the future, this line needs updating; saying</w:t>
      </w:r>
      <w:r>
        <w:t xml:space="preserve"> </w:t>
      </w:r>
      <w:r>
        <w:t xml:space="preserve">“our programs”</w:t>
      </w:r>
      <w:r>
        <w:t xml:space="preserve"> </w:t>
      </w:r>
      <w:r>
        <w:t xml:space="preserve">instead would future-proof but loses the specificity. Easy to change either way.</w:t>
      </w:r>
    </w:p>
    <w:p>
      <w:pPr>
        <w:pStyle w:val="BodyText"/>
      </w:pPr>
      <w:r>
        <w:rPr>
          <w:b/>
          <w:bCs/>
        </w:rPr>
        <w:t xml:space="preserve">“Reduced recidivism is one measure. Restored humanity is the deeper one.”</w:t>
      </w:r>
      <w:r>
        <w:t xml:space="preserve"> </w:t>
      </w:r>
      <w:r>
        <w:t xml:space="preserve">— Stage 03 ends with this two-sentence beat. It’s the most editorial line in the three drafts; if it reads as too rhetorical, we can tighten.</w:t>
      </w:r>
    </w:p>
    <w:p>
      <w:r>
        <w:pict>
          <v:rect style="width:0;height:1.5pt" o:hralign="center" o:hrstd="t" o:hr="t"/>
        </w:pict>
      </w:r>
    </w:p>
    <w:bookmarkEnd w:id="12"/>
    <w:bookmarkStart w:id="13" w:name="once-approved"/>
    <w:p>
      <w:pPr>
        <w:pStyle w:val="Heading2"/>
      </w:pPr>
      <w:r>
        <w:t xml:space="preserve">Once approved</w:t>
      </w:r>
    </w:p>
    <w:p>
      <w:pPr>
        <w:pStyle w:val="FirstParagraph"/>
      </w:pPr>
      <w:r>
        <w:t xml:space="preserve">When you’ve finalized the wording, we can:</w:t>
      </w:r>
    </w:p>
    <w:p>
      <w:pPr>
        <w:pStyle w:val="Compact"/>
        <w:numPr>
          <w:ilvl w:val="0"/>
          <w:numId w:val="1001"/>
        </w:numPr>
      </w:pPr>
      <w:r>
        <w:t xml:space="preserve">Edit it into the Mission page in Sanity Studio directly (10 minutes — see the editor guide), OR</w:t>
      </w:r>
    </w:p>
    <w:p>
      <w:pPr>
        <w:pStyle w:val="Compact"/>
        <w:numPr>
          <w:ilvl w:val="0"/>
          <w:numId w:val="1001"/>
        </w:numPr>
      </w:pPr>
      <w:r>
        <w:t xml:space="preserve">Send the final text back and Benny will publish it.</w:t>
      </w:r>
    </w:p>
    <w:p>
      <w:pPr>
        <w:pStyle w:val="FirstParagraph"/>
      </w:pPr>
      <w:r>
        <w:t xml:space="preserve">The diagram itself is already deployed; it’s just waiting for content.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Benny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2026-05-06T18:48:03Z</dcterms:created>
  <dcterms:modified xsi:type="dcterms:W3CDTF">2026-05-06T18:48:03Z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