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3B3F" w14:textId="4F706A7F" w:rsidR="009C3E6B" w:rsidRPr="00A174D1" w:rsidRDefault="00E25683" w:rsidP="00A174D1">
      <w:pPr>
        <w:spacing w:after="40" w:line="276" w:lineRule="auto"/>
        <w:rPr>
          <w:rFonts w:ascii="Fakt TT" w:hAnsi="Fakt TT" w:cs="Fakt TT"/>
        </w:rPr>
      </w:pPr>
      <w:r w:rsidRPr="00A174D1">
        <w:rPr>
          <w:rFonts w:ascii="Fakt TT" w:hAnsi="Fakt TT" w:cs="Fakt TT"/>
          <w:b/>
          <w:bCs/>
          <w:sz w:val="28"/>
          <w:szCs w:val="28"/>
        </w:rPr>
        <w:t>Mispricing Between Related Securities</w:t>
      </w:r>
    </w:p>
    <w:p w14:paraId="166F3B40" w14:textId="77777777" w:rsidR="009C3E6B" w:rsidRPr="00A174D1" w:rsidRDefault="00E25683" w:rsidP="00A174D1">
      <w:pPr>
        <w:spacing w:after="100" w:line="276" w:lineRule="auto"/>
        <w:rPr>
          <w:rFonts w:ascii="Fakt TT" w:hAnsi="Fakt TT" w:cs="Fakt TT"/>
          <w:i/>
          <w:iCs/>
          <w:sz w:val="22"/>
          <w:szCs w:val="22"/>
        </w:rPr>
      </w:pPr>
      <w:r w:rsidRPr="00A174D1">
        <w:rPr>
          <w:rFonts w:ascii="Fakt TT" w:hAnsi="Fakt TT" w:cs="Fakt TT"/>
          <w:i/>
          <w:iCs/>
          <w:sz w:val="22"/>
          <w:szCs w:val="22"/>
        </w:rPr>
        <w:t>Holdco discounts and other law-of-one-price (LOOP) exceptions</w:t>
      </w:r>
    </w:p>
    <w:p w14:paraId="5ED088CC" w14:textId="77777777" w:rsidR="00A174D1" w:rsidRPr="00A174D1" w:rsidRDefault="00A174D1" w:rsidP="00A174D1">
      <w:pPr>
        <w:spacing w:after="100" w:line="276" w:lineRule="auto"/>
        <w:rPr>
          <w:rFonts w:ascii="Fakt TT" w:hAnsi="Fakt TT" w:cs="Fakt TT"/>
          <w:sz w:val="22"/>
          <w:szCs w:val="22"/>
        </w:rPr>
      </w:pPr>
    </w:p>
    <w:p w14:paraId="166F3B41" w14:textId="77777777" w:rsidR="009C3E6B" w:rsidRPr="00A174D1" w:rsidRDefault="00E25683" w:rsidP="00A174D1">
      <w:pPr>
        <w:spacing w:before="140" w:after="60" w:line="276" w:lineRule="auto"/>
        <w:rPr>
          <w:rFonts w:ascii="Fakt TT" w:hAnsi="Fakt TT" w:cs="Fakt TT"/>
          <w:sz w:val="22"/>
          <w:szCs w:val="22"/>
        </w:rPr>
      </w:pPr>
      <w:r w:rsidRPr="00A174D1">
        <w:rPr>
          <w:rFonts w:ascii="Fakt TT" w:hAnsi="Fakt TT" w:cs="Fakt TT"/>
          <w:b/>
          <w:bCs/>
          <w:sz w:val="22"/>
          <w:szCs w:val="22"/>
        </w:rPr>
        <w:t>Context</w:t>
      </w:r>
    </w:p>
    <w:p w14:paraId="166F3B42" w14:textId="6FF8BD45" w:rsidR="009C3E6B" w:rsidRPr="00A174D1" w:rsidRDefault="001D385B" w:rsidP="00A174D1">
      <w:pPr>
        <w:spacing w:after="80" w:line="276" w:lineRule="auto"/>
        <w:rPr>
          <w:rFonts w:ascii="Fakt TT" w:hAnsi="Fakt TT" w:cs="Fakt TT"/>
          <w:sz w:val="22"/>
          <w:szCs w:val="22"/>
        </w:rPr>
      </w:pPr>
      <w:r>
        <w:rPr>
          <w:rFonts w:ascii="Fakt TT" w:hAnsi="Fakt TT" w:cs="Fakt TT"/>
          <w:sz w:val="22"/>
          <w:szCs w:val="22"/>
        </w:rPr>
        <w:t>Theoretically, the “Law of One Price” (LOOP) states that financial securities with the same payouts should have the same price. Surprisingly, this law does not hold in global equity markets. (See “Can the Market Add and Subtract? Mispricing in Tech Stock Carve-Outs” by Own Lamont and Richard Thaler.)</w:t>
      </w:r>
    </w:p>
    <w:p w14:paraId="166F3B43" w14:textId="17838F05" w:rsidR="009C3E6B" w:rsidRPr="00A174D1" w:rsidRDefault="001D385B" w:rsidP="00A174D1">
      <w:pPr>
        <w:spacing w:after="80" w:line="276" w:lineRule="auto"/>
        <w:rPr>
          <w:rFonts w:ascii="Fakt TT" w:hAnsi="Fakt TT" w:cs="Fakt TT"/>
          <w:sz w:val="22"/>
          <w:szCs w:val="22"/>
        </w:rPr>
      </w:pPr>
      <w:r>
        <w:rPr>
          <w:rFonts w:ascii="Fakt TT" w:hAnsi="Fakt TT" w:cs="Fakt TT"/>
          <w:sz w:val="22"/>
          <w:szCs w:val="22"/>
        </w:rPr>
        <w:t>LOOP violations are seen</w:t>
      </w:r>
      <w:r w:rsidR="00E25683" w:rsidRPr="00A174D1">
        <w:rPr>
          <w:rFonts w:ascii="Fakt TT" w:hAnsi="Fakt TT" w:cs="Fakt TT"/>
          <w:sz w:val="22"/>
          <w:szCs w:val="22"/>
        </w:rPr>
        <w:t xml:space="preserve"> today in</w:t>
      </w:r>
      <w:r w:rsidR="00225DC0">
        <w:rPr>
          <w:rFonts w:ascii="Fakt TT" w:hAnsi="Fakt TT" w:cs="Fakt TT"/>
          <w:sz w:val="22"/>
          <w:szCs w:val="22"/>
        </w:rPr>
        <w:t xml:space="preserve"> several</w:t>
      </w:r>
      <w:r w:rsidR="00E25683" w:rsidRPr="00A174D1">
        <w:rPr>
          <w:rFonts w:ascii="Fakt TT" w:hAnsi="Fakt TT" w:cs="Fakt TT"/>
          <w:sz w:val="22"/>
          <w:szCs w:val="22"/>
        </w:rPr>
        <w:t xml:space="preserve"> forms: holding companies trading below the listed assets they own; </w:t>
      </w:r>
      <w:r>
        <w:rPr>
          <w:rFonts w:ascii="Fakt TT" w:hAnsi="Fakt TT" w:cs="Fakt TT"/>
          <w:sz w:val="22"/>
          <w:szCs w:val="22"/>
        </w:rPr>
        <w:t xml:space="preserve">pricing differences in </w:t>
      </w:r>
      <w:r w:rsidR="00E25683" w:rsidRPr="00A174D1">
        <w:rPr>
          <w:rFonts w:ascii="Fakt TT" w:hAnsi="Fakt TT" w:cs="Fakt TT"/>
          <w:sz w:val="22"/>
          <w:szCs w:val="22"/>
        </w:rPr>
        <w:t>common vs preferred shares</w:t>
      </w:r>
      <w:r>
        <w:rPr>
          <w:rFonts w:ascii="Fakt TT" w:hAnsi="Fakt TT" w:cs="Fakt TT"/>
          <w:sz w:val="22"/>
          <w:szCs w:val="22"/>
        </w:rPr>
        <w:t xml:space="preserve"> or different share classes of common stock or its depository receipts</w:t>
      </w:r>
      <w:r w:rsidR="00E25683" w:rsidRPr="00A174D1">
        <w:rPr>
          <w:rFonts w:ascii="Fakt TT" w:hAnsi="Fakt TT" w:cs="Fakt TT"/>
          <w:sz w:val="22"/>
          <w:szCs w:val="22"/>
        </w:rPr>
        <w:t>. The accompanying spreadsheet lists candidate pairs of each type.</w:t>
      </w:r>
    </w:p>
    <w:p w14:paraId="166F3B44" w14:textId="22D1365A" w:rsidR="009C3E6B" w:rsidRPr="00A174D1" w:rsidRDefault="00E25683" w:rsidP="00A174D1">
      <w:pPr>
        <w:spacing w:after="80" w:line="276" w:lineRule="auto"/>
        <w:rPr>
          <w:rFonts w:ascii="Fakt TT" w:hAnsi="Fakt TT" w:cs="Fakt TT"/>
          <w:sz w:val="22"/>
          <w:szCs w:val="22"/>
        </w:rPr>
      </w:pPr>
      <w:r w:rsidRPr="00A174D1">
        <w:rPr>
          <w:rFonts w:ascii="Fakt TT" w:hAnsi="Fakt TT" w:cs="Fakt TT"/>
          <w:sz w:val="22"/>
          <w:szCs w:val="22"/>
        </w:rPr>
        <w:t>The anchor case is Prosus and Tencent. Prosus owns roughly a quarter of Tencent, about three-quarters of its asset value, yet recent public sources put its discount to net asset value at 35-45%, despite a multi-year buyback funded by selling Tencent shares.</w:t>
      </w:r>
    </w:p>
    <w:p w14:paraId="2CEBCD73" w14:textId="77777777" w:rsidR="00A174D1" w:rsidRPr="00A174D1" w:rsidRDefault="00A174D1" w:rsidP="00A174D1">
      <w:pPr>
        <w:spacing w:after="80" w:line="276" w:lineRule="auto"/>
        <w:rPr>
          <w:rFonts w:ascii="Fakt TT" w:hAnsi="Fakt TT" w:cs="Fakt TT"/>
          <w:sz w:val="22"/>
          <w:szCs w:val="22"/>
        </w:rPr>
      </w:pPr>
    </w:p>
    <w:p w14:paraId="166F3B45" w14:textId="77777777" w:rsidR="009C3E6B" w:rsidRPr="00A174D1" w:rsidRDefault="00E25683" w:rsidP="00A174D1">
      <w:pPr>
        <w:spacing w:before="140" w:after="60" w:line="276" w:lineRule="auto"/>
        <w:rPr>
          <w:rFonts w:ascii="Fakt TT" w:hAnsi="Fakt TT" w:cs="Fakt TT"/>
          <w:sz w:val="22"/>
          <w:szCs w:val="22"/>
        </w:rPr>
      </w:pPr>
      <w:r w:rsidRPr="00A174D1">
        <w:rPr>
          <w:rFonts w:ascii="Fakt TT" w:hAnsi="Fakt TT" w:cs="Fakt TT"/>
          <w:b/>
          <w:bCs/>
          <w:sz w:val="22"/>
          <w:szCs w:val="22"/>
        </w:rPr>
        <w:t>The Problem and Main Question</w:t>
      </w:r>
    </w:p>
    <w:p w14:paraId="166F3B46" w14:textId="77777777" w:rsidR="009C3E6B" w:rsidRPr="00A174D1" w:rsidRDefault="00E25683" w:rsidP="00A174D1">
      <w:pPr>
        <w:spacing w:after="80" w:line="276" w:lineRule="auto"/>
        <w:rPr>
          <w:rFonts w:ascii="Fakt TT" w:hAnsi="Fakt TT" w:cs="Fakt TT"/>
          <w:sz w:val="22"/>
          <w:szCs w:val="22"/>
        </w:rPr>
      </w:pPr>
      <w:r w:rsidRPr="00A174D1">
        <w:rPr>
          <w:rFonts w:ascii="Fakt TT" w:hAnsi="Fakt TT" w:cs="Fakt TT"/>
          <w:sz w:val="22"/>
          <w:szCs w:val="22"/>
        </w:rPr>
        <w:t>These discounts are large and persistent, but not constant. Without a view on what the discount should be, we cannot tell whether a spread is a mispricing or a fair price for real costs and risks.</w:t>
      </w:r>
    </w:p>
    <w:p w14:paraId="110F1675" w14:textId="4B71D6E1" w:rsidR="004E6CD3" w:rsidRDefault="00E25683" w:rsidP="00A174D1">
      <w:pPr>
        <w:spacing w:after="80" w:line="276" w:lineRule="auto"/>
        <w:rPr>
          <w:rFonts w:ascii="Fakt TT" w:hAnsi="Fakt TT" w:cs="Fakt TT"/>
          <w:sz w:val="22"/>
          <w:szCs w:val="22"/>
        </w:rPr>
      </w:pPr>
      <w:r w:rsidRPr="00A174D1">
        <w:rPr>
          <w:rFonts w:ascii="Fakt TT" w:hAnsi="Fakt TT" w:cs="Fakt TT"/>
          <w:b/>
          <w:bCs/>
          <w:sz w:val="22"/>
          <w:szCs w:val="22"/>
        </w:rPr>
        <w:t xml:space="preserve">Main question: </w:t>
      </w:r>
      <w:r w:rsidRPr="00A174D1">
        <w:rPr>
          <w:rFonts w:ascii="Fakt TT" w:hAnsi="Fakt TT" w:cs="Fakt TT"/>
          <w:sz w:val="22"/>
          <w:szCs w:val="22"/>
        </w:rPr>
        <w:t xml:space="preserve">What should the discount be over time, and can a model of the fair discount generate a profitable long-short signal on the spread, beating </w:t>
      </w:r>
      <w:r w:rsidR="009D4ABE">
        <w:rPr>
          <w:rFonts w:ascii="Fakt TT" w:hAnsi="Fakt TT" w:cs="Fakt TT"/>
          <w:sz w:val="22"/>
          <w:szCs w:val="22"/>
        </w:rPr>
        <w:t xml:space="preserve">a </w:t>
      </w:r>
      <w:r w:rsidRPr="00A174D1">
        <w:rPr>
          <w:rFonts w:ascii="Fakt TT" w:hAnsi="Fakt TT" w:cs="Fakt TT"/>
          <w:sz w:val="22"/>
          <w:szCs w:val="22"/>
        </w:rPr>
        <w:t xml:space="preserve">naive baseline of the rolling historical </w:t>
      </w:r>
      <w:proofErr w:type="gramStart"/>
      <w:r w:rsidRPr="00A174D1">
        <w:rPr>
          <w:rFonts w:ascii="Fakt TT" w:hAnsi="Fakt TT" w:cs="Fakt TT"/>
          <w:sz w:val="22"/>
          <w:szCs w:val="22"/>
        </w:rPr>
        <w:t>median</w:t>
      </w:r>
      <w:proofErr w:type="gramEnd"/>
      <w:r w:rsidRPr="00A174D1">
        <w:rPr>
          <w:rFonts w:ascii="Fakt TT" w:hAnsi="Fakt TT" w:cs="Fakt TT"/>
          <w:sz w:val="22"/>
          <w:szCs w:val="22"/>
        </w:rPr>
        <w:t>?</w:t>
      </w:r>
    </w:p>
    <w:p w14:paraId="540BEA02" w14:textId="77777777" w:rsidR="004E6CD3" w:rsidRPr="00A174D1" w:rsidRDefault="004E6CD3" w:rsidP="004E6CD3">
      <w:pPr>
        <w:spacing w:after="40" w:line="276" w:lineRule="auto"/>
        <w:rPr>
          <w:rFonts w:ascii="Fakt TT" w:hAnsi="Fakt TT" w:cs="Fakt TT"/>
          <w:sz w:val="22"/>
          <w:szCs w:val="22"/>
        </w:rPr>
      </w:pPr>
      <w:r w:rsidRPr="00A174D1">
        <w:rPr>
          <w:rFonts w:ascii="Fakt TT" w:hAnsi="Fakt TT" w:cs="Fakt TT"/>
          <w:sz w:val="22"/>
          <w:szCs w:val="22"/>
        </w:rPr>
        <w:t>Additional questions that could be considered:</w:t>
      </w:r>
    </w:p>
    <w:p w14:paraId="681D2BDC" w14:textId="77777777" w:rsidR="004E6CD3" w:rsidRPr="00A174D1" w:rsidRDefault="004E6CD3" w:rsidP="004E6CD3">
      <w:pPr>
        <w:pStyle w:val="ListParagraph"/>
        <w:numPr>
          <w:ilvl w:val="0"/>
          <w:numId w:val="2"/>
        </w:numPr>
        <w:spacing w:after="40" w:line="276" w:lineRule="auto"/>
        <w:rPr>
          <w:rFonts w:ascii="Fakt TT" w:hAnsi="Fakt TT" w:cs="Fakt TT"/>
          <w:sz w:val="22"/>
          <w:szCs w:val="22"/>
        </w:rPr>
      </w:pPr>
      <w:r w:rsidRPr="00A174D1">
        <w:rPr>
          <w:rFonts w:ascii="Fakt TT" w:hAnsi="Fakt TT" w:cs="Fakt TT"/>
          <w:sz w:val="22"/>
          <w:szCs w:val="22"/>
        </w:rPr>
        <w:t>Does the discount narrow or widen when the held company's valuation rises or falls?</w:t>
      </w:r>
    </w:p>
    <w:p w14:paraId="42288EA8" w14:textId="77777777" w:rsidR="004E6CD3" w:rsidRPr="00A174D1" w:rsidRDefault="004E6CD3" w:rsidP="004E6CD3">
      <w:pPr>
        <w:pStyle w:val="ListParagraph"/>
        <w:numPr>
          <w:ilvl w:val="0"/>
          <w:numId w:val="2"/>
        </w:numPr>
        <w:spacing w:after="40" w:line="276" w:lineRule="auto"/>
        <w:rPr>
          <w:rFonts w:ascii="Fakt TT" w:hAnsi="Fakt TT" w:cs="Fakt TT"/>
          <w:sz w:val="22"/>
          <w:szCs w:val="22"/>
        </w:rPr>
      </w:pPr>
      <w:r w:rsidRPr="00A174D1">
        <w:rPr>
          <w:rFonts w:ascii="Fakt TT" w:hAnsi="Fakt TT" w:cs="Fakt TT"/>
          <w:sz w:val="22"/>
          <w:szCs w:val="22"/>
        </w:rPr>
        <w:t>Is the discount driven by sentiment, or by mechanics such as tax policy, holding-company costs, buybacks, liquidity, voting rights, or market access?</w:t>
      </w:r>
    </w:p>
    <w:p w14:paraId="39EC2289" w14:textId="77777777" w:rsidR="009D4ABE" w:rsidRPr="00A174D1" w:rsidRDefault="009D4ABE" w:rsidP="00A174D1">
      <w:pPr>
        <w:spacing w:after="80" w:line="276" w:lineRule="auto"/>
        <w:rPr>
          <w:rFonts w:ascii="Fakt TT" w:hAnsi="Fakt TT" w:cs="Fakt TT"/>
          <w:sz w:val="22"/>
          <w:szCs w:val="22"/>
        </w:rPr>
      </w:pPr>
    </w:p>
    <w:p w14:paraId="166F3B4D" w14:textId="77777777" w:rsidR="009C3E6B" w:rsidRPr="00A174D1" w:rsidRDefault="00E25683" w:rsidP="00A174D1">
      <w:pPr>
        <w:spacing w:before="140" w:after="60" w:line="276" w:lineRule="auto"/>
        <w:rPr>
          <w:rFonts w:ascii="Fakt TT" w:hAnsi="Fakt TT" w:cs="Fakt TT"/>
          <w:sz w:val="22"/>
          <w:szCs w:val="22"/>
        </w:rPr>
      </w:pPr>
      <w:r w:rsidRPr="00A174D1">
        <w:rPr>
          <w:rFonts w:ascii="Fakt TT" w:hAnsi="Fakt TT" w:cs="Fakt TT"/>
          <w:b/>
          <w:bCs/>
          <w:sz w:val="22"/>
          <w:szCs w:val="22"/>
        </w:rPr>
        <w:t>Deliverable</w:t>
      </w:r>
    </w:p>
    <w:p w14:paraId="166F3B4E" w14:textId="4D620D84" w:rsidR="009C3E6B" w:rsidRPr="00A174D1" w:rsidRDefault="00E25683" w:rsidP="00A174D1">
      <w:pPr>
        <w:spacing w:after="40" w:line="276" w:lineRule="auto"/>
        <w:rPr>
          <w:rFonts w:ascii="Fakt TT" w:hAnsi="Fakt TT" w:cs="Fakt TT"/>
          <w:sz w:val="22"/>
          <w:szCs w:val="22"/>
        </w:rPr>
      </w:pPr>
      <w:r w:rsidRPr="00A174D1">
        <w:rPr>
          <w:rFonts w:ascii="Fakt TT" w:hAnsi="Fakt TT" w:cs="Fakt TT"/>
          <w:sz w:val="22"/>
          <w:szCs w:val="22"/>
        </w:rPr>
        <w:t>A concise technical memo with the empirical results and proposed model, covering:</w:t>
      </w:r>
    </w:p>
    <w:p w14:paraId="166F3B50" w14:textId="5070C15F" w:rsidR="009C3E6B" w:rsidRPr="00B144AA" w:rsidRDefault="00E25683" w:rsidP="00B144AA">
      <w:pPr>
        <w:pStyle w:val="ListParagraph"/>
        <w:numPr>
          <w:ilvl w:val="0"/>
          <w:numId w:val="2"/>
        </w:numPr>
        <w:spacing w:after="40" w:line="276" w:lineRule="auto"/>
        <w:rPr>
          <w:rFonts w:ascii="Fakt TT" w:hAnsi="Fakt TT" w:cs="Fakt TT"/>
          <w:sz w:val="22"/>
          <w:szCs w:val="22"/>
        </w:rPr>
      </w:pPr>
      <w:r w:rsidRPr="00A174D1">
        <w:rPr>
          <w:rFonts w:ascii="Fakt TT" w:hAnsi="Fakt TT" w:cs="Fakt TT"/>
          <w:b/>
          <w:bCs/>
          <w:sz w:val="22"/>
          <w:szCs w:val="22"/>
        </w:rPr>
        <w:t xml:space="preserve">Core pairs: Prosus / Tencent; SK Square / SK Hynix; Samsung Electronics Common / Samsung Electronics Preferred; Samsung Fire and Marine / Samsung Electronics Common; TSMC Local / TSMC ADR. </w:t>
      </w:r>
      <w:r w:rsidRPr="00A174D1">
        <w:rPr>
          <w:rFonts w:ascii="Fakt TT" w:hAnsi="Fakt TT" w:cs="Fakt TT"/>
          <w:sz w:val="22"/>
          <w:szCs w:val="22"/>
        </w:rPr>
        <w:t xml:space="preserve">For each, show the discount over time, a fair-value model, and a long-short backtest against the baseline, then state a clear view: at today's </w:t>
      </w:r>
      <w:r w:rsidRPr="00A174D1">
        <w:rPr>
          <w:rFonts w:ascii="Fakt TT" w:hAnsi="Fakt TT" w:cs="Fakt TT"/>
          <w:sz w:val="22"/>
          <w:szCs w:val="22"/>
        </w:rPr>
        <w:lastRenderedPageBreak/>
        <w:t>prices, would you rather own A or B, and why? Other pairs (</w:t>
      </w:r>
      <w:r w:rsidR="00081DF0">
        <w:rPr>
          <w:rFonts w:ascii="Fakt TT" w:hAnsi="Fakt TT" w:cs="Fakt TT"/>
          <w:sz w:val="22"/>
          <w:szCs w:val="22"/>
        </w:rPr>
        <w:t xml:space="preserve">your own or </w:t>
      </w:r>
      <w:r w:rsidRPr="00A174D1">
        <w:rPr>
          <w:rFonts w:ascii="Fakt TT" w:hAnsi="Fakt TT" w:cs="Fakt TT"/>
          <w:sz w:val="22"/>
          <w:szCs w:val="22"/>
        </w:rPr>
        <w:t>from the spreadsheet) are optional.</w:t>
      </w:r>
    </w:p>
    <w:p w14:paraId="166F3B51" w14:textId="3841C887" w:rsidR="009C3E6B" w:rsidRPr="007E00D4" w:rsidRDefault="00E25683" w:rsidP="007E00D4">
      <w:pPr>
        <w:pStyle w:val="ListParagraph"/>
        <w:numPr>
          <w:ilvl w:val="0"/>
          <w:numId w:val="2"/>
        </w:numPr>
        <w:spacing w:after="40" w:line="276" w:lineRule="auto"/>
        <w:rPr>
          <w:rFonts w:ascii="Fakt TT" w:hAnsi="Fakt TT" w:cs="Fakt TT"/>
          <w:sz w:val="22"/>
          <w:szCs w:val="22"/>
        </w:rPr>
      </w:pPr>
      <w:r w:rsidRPr="00A174D1">
        <w:rPr>
          <w:rFonts w:ascii="Fakt TT" w:hAnsi="Fakt TT" w:cs="Fakt TT"/>
          <w:b/>
          <w:bCs/>
          <w:sz w:val="22"/>
          <w:szCs w:val="22"/>
        </w:rPr>
        <w:t xml:space="preserve">Cross-pair analysis. </w:t>
      </w:r>
      <w:r w:rsidRPr="00A174D1">
        <w:rPr>
          <w:rFonts w:ascii="Fakt TT" w:hAnsi="Fakt TT" w:cs="Fakt TT"/>
          <w:sz w:val="22"/>
          <w:szCs w:val="22"/>
        </w:rPr>
        <w:t>Test whether discounts move together and whether the driver</w:t>
      </w:r>
      <w:r w:rsidR="00081DF0">
        <w:rPr>
          <w:rFonts w:ascii="Fakt TT" w:hAnsi="Fakt TT" w:cs="Fakt TT"/>
          <w:sz w:val="22"/>
          <w:szCs w:val="22"/>
        </w:rPr>
        <w:t>(s)</w:t>
      </w:r>
      <w:r w:rsidRPr="00A174D1">
        <w:rPr>
          <w:rFonts w:ascii="Fakt TT" w:hAnsi="Fakt TT" w:cs="Fakt TT"/>
          <w:sz w:val="22"/>
          <w:szCs w:val="22"/>
        </w:rPr>
        <w:t xml:space="preserve"> look</w:t>
      </w:r>
      <w:r w:rsidR="00081DF0">
        <w:rPr>
          <w:rFonts w:ascii="Fakt TT" w:hAnsi="Fakt TT" w:cs="Fakt TT"/>
          <w:sz w:val="22"/>
          <w:szCs w:val="22"/>
        </w:rPr>
        <w:t xml:space="preserve"> </w:t>
      </w:r>
      <w:r w:rsidRPr="00A174D1">
        <w:rPr>
          <w:rFonts w:ascii="Fakt TT" w:hAnsi="Fakt TT" w:cs="Fakt TT"/>
          <w:sz w:val="22"/>
          <w:szCs w:val="22"/>
        </w:rPr>
        <w:t>global or regional.</w:t>
      </w:r>
      <w:r w:rsidR="007E00D4">
        <w:rPr>
          <w:rFonts w:ascii="Fakt TT" w:hAnsi="Fakt TT" w:cs="Fakt TT"/>
          <w:sz w:val="22"/>
          <w:szCs w:val="22"/>
        </w:rPr>
        <w:t xml:space="preserve"> </w:t>
      </w:r>
      <w:r w:rsidR="007E00D4" w:rsidRPr="00A174D1">
        <w:rPr>
          <w:rFonts w:ascii="Fakt TT" w:hAnsi="Fakt TT" w:cs="Fakt TT"/>
          <w:sz w:val="22"/>
          <w:szCs w:val="22"/>
        </w:rPr>
        <w:t>Are discounts across companies and countries correlated</w:t>
      </w:r>
      <w:r w:rsidR="007E00D4">
        <w:rPr>
          <w:rFonts w:ascii="Fakt TT" w:hAnsi="Fakt TT" w:cs="Fakt TT"/>
          <w:sz w:val="22"/>
          <w:szCs w:val="22"/>
        </w:rPr>
        <w:t>? I</w:t>
      </w:r>
      <w:r w:rsidR="007E00D4" w:rsidRPr="00A174D1">
        <w:rPr>
          <w:rFonts w:ascii="Fakt TT" w:hAnsi="Fakt TT" w:cs="Fakt TT"/>
          <w:sz w:val="22"/>
          <w:szCs w:val="22"/>
        </w:rPr>
        <w:t>s there a global or regional factor?</w:t>
      </w:r>
    </w:p>
    <w:p w14:paraId="166F3B52" w14:textId="0BE32515" w:rsidR="009C3E6B" w:rsidRPr="007E00D4" w:rsidRDefault="00E25683" w:rsidP="00A174D1">
      <w:pPr>
        <w:pStyle w:val="ListParagraph"/>
        <w:numPr>
          <w:ilvl w:val="0"/>
          <w:numId w:val="2"/>
        </w:numPr>
        <w:spacing w:after="40" w:line="276" w:lineRule="auto"/>
        <w:rPr>
          <w:rFonts w:ascii="Fakt TT" w:hAnsi="Fakt TT" w:cs="Fakt TT"/>
          <w:sz w:val="22"/>
          <w:szCs w:val="22"/>
        </w:rPr>
      </w:pPr>
      <w:r w:rsidRPr="007E00D4">
        <w:rPr>
          <w:rFonts w:ascii="Fakt TT" w:hAnsi="Fakt TT" w:cs="Fakt TT"/>
          <w:b/>
          <w:bCs/>
          <w:sz w:val="22"/>
          <w:szCs w:val="22"/>
        </w:rPr>
        <w:t xml:space="preserve">Generalizability. </w:t>
      </w:r>
      <w:r w:rsidR="007E00D4" w:rsidRPr="007E00D4">
        <w:rPr>
          <w:rFonts w:ascii="Fakt TT" w:hAnsi="Fakt TT" w:cs="Fakt TT"/>
          <w:sz w:val="22"/>
          <w:szCs w:val="22"/>
        </w:rPr>
        <w:t>Does one framework generalize across pairs, or does each need a company-specific model?</w:t>
      </w:r>
      <w:r w:rsidR="007E00D4">
        <w:rPr>
          <w:rFonts w:ascii="Fakt TT" w:hAnsi="Fakt TT" w:cs="Fakt TT"/>
          <w:sz w:val="22"/>
          <w:szCs w:val="22"/>
        </w:rPr>
        <w:t xml:space="preserve"> </w:t>
      </w:r>
      <w:r w:rsidRPr="007E00D4">
        <w:rPr>
          <w:rFonts w:ascii="Fakt TT" w:hAnsi="Fakt TT" w:cs="Fakt TT"/>
          <w:sz w:val="22"/>
          <w:szCs w:val="22"/>
        </w:rPr>
        <w:t>Briefly analyzing other pairs in the same category or region may</w:t>
      </w:r>
      <w:r w:rsidR="00B17B48">
        <w:rPr>
          <w:rFonts w:ascii="Fakt TT" w:hAnsi="Fakt TT" w:cs="Fakt TT"/>
          <w:sz w:val="22"/>
          <w:szCs w:val="22"/>
        </w:rPr>
        <w:t xml:space="preserve"> be necessary</w:t>
      </w:r>
      <w:r w:rsidRPr="007E00D4">
        <w:rPr>
          <w:rFonts w:ascii="Fakt TT" w:hAnsi="Fakt TT" w:cs="Fakt TT"/>
          <w:sz w:val="22"/>
          <w:szCs w:val="22"/>
        </w:rPr>
        <w:t>.</w:t>
      </w:r>
    </w:p>
    <w:p w14:paraId="7328A84C" w14:textId="77777777" w:rsidR="00A174D1" w:rsidRPr="00A174D1" w:rsidRDefault="00A174D1" w:rsidP="00A174D1">
      <w:pPr>
        <w:spacing w:after="40" w:line="276" w:lineRule="auto"/>
        <w:rPr>
          <w:rFonts w:ascii="Fakt TT" w:hAnsi="Fakt TT" w:cs="Fakt TT"/>
          <w:sz w:val="22"/>
          <w:szCs w:val="22"/>
        </w:rPr>
      </w:pPr>
    </w:p>
    <w:p w14:paraId="166F3B53" w14:textId="77777777" w:rsidR="009C3E6B" w:rsidRPr="00A174D1" w:rsidRDefault="00E25683" w:rsidP="00A174D1">
      <w:pPr>
        <w:spacing w:before="140" w:after="60" w:line="276" w:lineRule="auto"/>
        <w:rPr>
          <w:rFonts w:ascii="Fakt TT" w:hAnsi="Fakt TT" w:cs="Fakt TT"/>
          <w:sz w:val="22"/>
          <w:szCs w:val="22"/>
        </w:rPr>
      </w:pPr>
      <w:r w:rsidRPr="00A174D1">
        <w:rPr>
          <w:rFonts w:ascii="Fakt TT" w:hAnsi="Fakt TT" w:cs="Fakt TT"/>
          <w:b/>
          <w:bCs/>
          <w:sz w:val="22"/>
          <w:szCs w:val="22"/>
        </w:rPr>
        <w:t>Suggested Approaches</w:t>
      </w:r>
    </w:p>
    <w:p w14:paraId="166F3B54" w14:textId="77777777" w:rsidR="009C3E6B" w:rsidRPr="00A174D1" w:rsidRDefault="00E25683" w:rsidP="00A174D1">
      <w:pPr>
        <w:pStyle w:val="ListParagraph"/>
        <w:numPr>
          <w:ilvl w:val="0"/>
          <w:numId w:val="2"/>
        </w:numPr>
        <w:spacing w:after="40" w:line="276" w:lineRule="auto"/>
        <w:rPr>
          <w:rFonts w:ascii="Fakt TT" w:hAnsi="Fakt TT" w:cs="Fakt TT"/>
          <w:sz w:val="22"/>
          <w:szCs w:val="22"/>
        </w:rPr>
      </w:pPr>
      <w:r w:rsidRPr="00A174D1">
        <w:rPr>
          <w:rFonts w:ascii="Fakt TT" w:hAnsi="Fakt TT" w:cs="Fakt TT"/>
          <w:b/>
          <w:bCs/>
          <w:sz w:val="22"/>
          <w:szCs w:val="22"/>
        </w:rPr>
        <w:t xml:space="preserve">Baseline. </w:t>
      </w:r>
      <w:r w:rsidRPr="00A174D1">
        <w:rPr>
          <w:rFonts w:ascii="Fakt TT" w:hAnsi="Fakt TT" w:cs="Fakt TT"/>
          <w:sz w:val="22"/>
          <w:szCs w:val="22"/>
        </w:rPr>
        <w:t>Discount = 1 minus holdco market cap divided by the look-through value of the stake, adjusted for net debt and other assets (for share classes and ADRs, the price ratio adjusted for conversion ratio and FX). Use the median or mean as fair value and trade extreme z-scores. Evaluate by Sharpe ratio, drawdown, turnover, and costs.</w:t>
      </w:r>
    </w:p>
    <w:p w14:paraId="166F3B55" w14:textId="77777777" w:rsidR="009C3E6B" w:rsidRPr="00A174D1" w:rsidRDefault="00E25683" w:rsidP="00A174D1">
      <w:pPr>
        <w:pStyle w:val="ListParagraph"/>
        <w:numPr>
          <w:ilvl w:val="0"/>
          <w:numId w:val="2"/>
        </w:numPr>
        <w:spacing w:after="40" w:line="276" w:lineRule="auto"/>
        <w:rPr>
          <w:rFonts w:ascii="Fakt TT" w:hAnsi="Fakt TT" w:cs="Fakt TT"/>
          <w:sz w:val="22"/>
          <w:szCs w:val="22"/>
        </w:rPr>
      </w:pPr>
      <w:r w:rsidRPr="00A174D1">
        <w:rPr>
          <w:rFonts w:ascii="Fakt TT" w:hAnsi="Fakt TT" w:cs="Fakt TT"/>
          <w:b/>
          <w:bCs/>
          <w:sz w:val="22"/>
          <w:szCs w:val="22"/>
        </w:rPr>
        <w:t xml:space="preserve">Condition on the held company. </w:t>
      </w:r>
      <w:r w:rsidRPr="00A174D1">
        <w:rPr>
          <w:rFonts w:ascii="Fakt TT" w:hAnsi="Fakt TT" w:cs="Fakt TT"/>
          <w:sz w:val="22"/>
          <w:szCs w:val="22"/>
        </w:rPr>
        <w:t>Regress changes in the discount on the held company's returns and volatility. If the parent's beta to the held company is below one, the discount widens in rallies, which also affects the hedge ratio.</w:t>
      </w:r>
    </w:p>
    <w:p w14:paraId="166F3B56" w14:textId="77777777" w:rsidR="009C3E6B" w:rsidRPr="00A174D1" w:rsidRDefault="00E25683" w:rsidP="00A174D1">
      <w:pPr>
        <w:pStyle w:val="ListParagraph"/>
        <w:numPr>
          <w:ilvl w:val="0"/>
          <w:numId w:val="2"/>
        </w:numPr>
        <w:spacing w:after="40" w:line="276" w:lineRule="auto"/>
        <w:rPr>
          <w:rFonts w:ascii="Fakt TT" w:hAnsi="Fakt TT" w:cs="Fakt TT"/>
          <w:sz w:val="22"/>
          <w:szCs w:val="22"/>
        </w:rPr>
      </w:pPr>
      <w:r w:rsidRPr="00A174D1">
        <w:rPr>
          <w:rFonts w:ascii="Fakt TT" w:hAnsi="Fakt TT" w:cs="Fakt TT"/>
          <w:b/>
          <w:bCs/>
          <w:sz w:val="22"/>
          <w:szCs w:val="22"/>
        </w:rPr>
        <w:t xml:space="preserve">Structural drivers vs sentiment. </w:t>
      </w:r>
      <w:r w:rsidRPr="00A174D1">
        <w:rPr>
          <w:rFonts w:ascii="Fakt TT" w:hAnsi="Fakt TT" w:cs="Fakt TT"/>
          <w:sz w:val="22"/>
          <w:szCs w:val="22"/>
        </w:rPr>
        <w:t>Test holding-company costs, taxes, buyback intensity, unlisted assets and how they are marked, leverage, liquidity, voting rights, foreign-ownership limits, and ADR conversion costs. Look for rule changes (for example Korea's 10% cap on the Samsung insurers' combined Samsung Electronics stake) and check whether the discount moves with them rather than with market mood.</w:t>
      </w:r>
    </w:p>
    <w:p w14:paraId="166F3B57" w14:textId="7A2F13B4" w:rsidR="009C3E6B" w:rsidRPr="00A174D1" w:rsidRDefault="00065227" w:rsidP="00A174D1">
      <w:pPr>
        <w:pStyle w:val="ListParagraph"/>
        <w:numPr>
          <w:ilvl w:val="0"/>
          <w:numId w:val="2"/>
        </w:numPr>
        <w:spacing w:after="40" w:line="276" w:lineRule="auto"/>
        <w:rPr>
          <w:rFonts w:ascii="Fakt TT" w:hAnsi="Fakt TT" w:cs="Fakt TT"/>
          <w:sz w:val="22"/>
          <w:szCs w:val="22"/>
        </w:rPr>
      </w:pPr>
      <w:r>
        <w:rPr>
          <w:rFonts w:ascii="Fakt TT" w:hAnsi="Fakt TT" w:cs="Fakt TT"/>
          <w:b/>
          <w:bCs/>
          <w:sz w:val="22"/>
          <w:szCs w:val="22"/>
        </w:rPr>
        <w:t>Warnings</w:t>
      </w:r>
      <w:r w:rsidR="00E25683" w:rsidRPr="00A174D1">
        <w:rPr>
          <w:rFonts w:ascii="Fakt TT" w:hAnsi="Fakt TT" w:cs="Fakt TT"/>
          <w:b/>
          <w:bCs/>
          <w:sz w:val="22"/>
          <w:szCs w:val="22"/>
        </w:rPr>
        <w:t xml:space="preserve">. </w:t>
      </w:r>
      <w:r w:rsidR="00E25683" w:rsidRPr="00A174D1">
        <w:rPr>
          <w:rFonts w:ascii="Fakt TT" w:hAnsi="Fakt TT" w:cs="Fakt TT"/>
          <w:sz w:val="22"/>
          <w:szCs w:val="22"/>
        </w:rPr>
        <w:t xml:space="preserve">(1) The long-short portfolio is only a tool for </w:t>
      </w:r>
      <w:r w:rsidR="00AF7783">
        <w:rPr>
          <w:rFonts w:ascii="Fakt TT" w:hAnsi="Fakt TT" w:cs="Fakt TT"/>
          <w:sz w:val="22"/>
          <w:szCs w:val="22"/>
        </w:rPr>
        <w:t>the purpose of model evaluation</w:t>
      </w:r>
      <w:r w:rsidR="00E25683" w:rsidRPr="00A174D1">
        <w:rPr>
          <w:rFonts w:ascii="Fakt TT" w:hAnsi="Fakt TT" w:cs="Fakt TT"/>
          <w:sz w:val="22"/>
          <w:szCs w:val="22"/>
        </w:rPr>
        <w:t xml:space="preserve">; the actual </w:t>
      </w:r>
      <w:r w:rsidR="001D7439">
        <w:rPr>
          <w:rFonts w:ascii="Fakt TT" w:hAnsi="Fakt TT" w:cs="Fakt TT"/>
          <w:sz w:val="22"/>
          <w:szCs w:val="22"/>
        </w:rPr>
        <w:t xml:space="preserve">investment </w:t>
      </w:r>
      <w:r w:rsidR="00E25683" w:rsidRPr="00A174D1">
        <w:rPr>
          <w:rFonts w:ascii="Fakt TT" w:hAnsi="Fakt TT" w:cs="Fakt TT"/>
          <w:sz w:val="22"/>
          <w:szCs w:val="22"/>
        </w:rPr>
        <w:t xml:space="preserve">decision </w:t>
      </w:r>
      <w:r w:rsidR="00595F28">
        <w:rPr>
          <w:rFonts w:ascii="Fakt TT" w:hAnsi="Fakt TT" w:cs="Fakt TT"/>
          <w:sz w:val="22"/>
          <w:szCs w:val="22"/>
        </w:rPr>
        <w:t>taking a long position in one security or the other</w:t>
      </w:r>
      <w:r w:rsidR="00E25683" w:rsidRPr="00A174D1">
        <w:rPr>
          <w:rFonts w:ascii="Fakt TT" w:hAnsi="Fakt TT" w:cs="Fakt TT"/>
          <w:sz w:val="22"/>
          <w:szCs w:val="22"/>
        </w:rPr>
        <w:t>. (2) Pairs quoted in different currencies need FX and interest-rate adjustments.</w:t>
      </w:r>
    </w:p>
    <w:p w14:paraId="2A103BC8" w14:textId="77777777" w:rsidR="00A174D1" w:rsidRPr="00A174D1" w:rsidRDefault="00A174D1" w:rsidP="00A174D1">
      <w:pPr>
        <w:spacing w:after="40" w:line="276" w:lineRule="auto"/>
        <w:rPr>
          <w:rFonts w:ascii="Fakt TT" w:hAnsi="Fakt TT" w:cs="Fakt TT"/>
          <w:sz w:val="22"/>
          <w:szCs w:val="22"/>
        </w:rPr>
      </w:pPr>
    </w:p>
    <w:p w14:paraId="166F3B5A" w14:textId="77777777" w:rsidR="009C3E6B" w:rsidRPr="00A174D1" w:rsidRDefault="00E25683" w:rsidP="00A174D1">
      <w:pPr>
        <w:spacing w:before="140" w:after="60" w:line="276" w:lineRule="auto"/>
        <w:rPr>
          <w:rFonts w:ascii="Fakt TT" w:hAnsi="Fakt TT" w:cs="Fakt TT"/>
          <w:sz w:val="22"/>
          <w:szCs w:val="22"/>
        </w:rPr>
      </w:pPr>
      <w:r w:rsidRPr="00A174D1">
        <w:rPr>
          <w:rFonts w:ascii="Fakt TT" w:hAnsi="Fakt TT" w:cs="Fakt TT"/>
          <w:b/>
          <w:bCs/>
          <w:sz w:val="22"/>
          <w:szCs w:val="22"/>
        </w:rPr>
        <w:t>Resources</w:t>
      </w:r>
    </w:p>
    <w:p w14:paraId="166F3B5B" w14:textId="77777777" w:rsidR="009C3E6B" w:rsidRPr="00A174D1" w:rsidRDefault="00E25683" w:rsidP="00A174D1">
      <w:pPr>
        <w:pStyle w:val="ListParagraph"/>
        <w:numPr>
          <w:ilvl w:val="0"/>
          <w:numId w:val="2"/>
        </w:numPr>
        <w:spacing w:after="40" w:line="276" w:lineRule="auto"/>
        <w:rPr>
          <w:rFonts w:ascii="Fakt TT" w:hAnsi="Fakt TT" w:cs="Fakt TT"/>
          <w:sz w:val="22"/>
          <w:szCs w:val="22"/>
        </w:rPr>
      </w:pPr>
      <w:r w:rsidRPr="00A174D1">
        <w:rPr>
          <w:rFonts w:ascii="Fakt TT" w:hAnsi="Fakt TT" w:cs="Fakt TT"/>
          <w:sz w:val="22"/>
          <w:szCs w:val="22"/>
        </w:rPr>
        <w:t xml:space="preserve">Lamont and Thaler, </w:t>
      </w:r>
      <w:r w:rsidRPr="00A174D1">
        <w:rPr>
          <w:rFonts w:ascii="Fakt TT" w:hAnsi="Fakt TT" w:cs="Fakt TT"/>
          <w:i/>
          <w:iCs/>
          <w:sz w:val="22"/>
          <w:szCs w:val="22"/>
        </w:rPr>
        <w:t>Can the Market Add and Subtract? Mispricing in Tech Stock Carve-Outs</w:t>
      </w:r>
      <w:r w:rsidRPr="00A174D1">
        <w:rPr>
          <w:rFonts w:ascii="Fakt TT" w:hAnsi="Fakt TT" w:cs="Fakt TT"/>
          <w:sz w:val="22"/>
          <w:szCs w:val="22"/>
        </w:rPr>
        <w:t xml:space="preserve">, NBER Working Paper 8302: </w:t>
      </w:r>
      <w:hyperlink r:id="rId5" w:history="1">
        <w:r w:rsidRPr="00A174D1">
          <w:rPr>
            <w:rStyle w:val="Hyperlink"/>
            <w:rFonts w:ascii="Fakt TT" w:hAnsi="Fakt TT" w:cs="Fakt TT"/>
            <w:sz w:val="22"/>
            <w:szCs w:val="22"/>
          </w:rPr>
          <w:t>https://www.nber.org/papers/w8302</w:t>
        </w:r>
      </w:hyperlink>
    </w:p>
    <w:p w14:paraId="166F3B5D" w14:textId="49F51139" w:rsidR="009C3E6B" w:rsidRPr="00A174D1" w:rsidRDefault="00E25683" w:rsidP="00A174D1">
      <w:pPr>
        <w:pStyle w:val="ListParagraph"/>
        <w:numPr>
          <w:ilvl w:val="0"/>
          <w:numId w:val="2"/>
        </w:numPr>
        <w:spacing w:after="40" w:line="276" w:lineRule="auto"/>
        <w:rPr>
          <w:rFonts w:ascii="Fakt TT" w:hAnsi="Fakt TT" w:cs="Fakt TT"/>
          <w:sz w:val="22"/>
          <w:szCs w:val="22"/>
        </w:rPr>
      </w:pPr>
      <w:r w:rsidRPr="00A174D1">
        <w:rPr>
          <w:rFonts w:ascii="Fakt TT" w:hAnsi="Fakt TT" w:cs="Fakt TT"/>
          <w:sz w:val="22"/>
          <w:szCs w:val="22"/>
        </w:rPr>
        <w:t>Company filings and investor-relations NAV disclosures (for example Prosus's NAV and buyback reporting); Bloomberg or FactSet for prices, share counts, stakes, and fundamentals.</w:t>
      </w:r>
    </w:p>
    <w:sectPr w:rsidR="009C3E6B" w:rsidRPr="00A174D1" w:rsidSect="000601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akt TT">
    <w:panose1 w:val="02010504010101010104"/>
    <w:charset w:val="00"/>
    <w:family w:val="auto"/>
    <w:pitch w:val="variable"/>
    <w:sig w:usb0="A00000EF" w:usb1="400060FB" w:usb2="00000008"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1AE9"/>
    <w:multiLevelType w:val="hybridMultilevel"/>
    <w:tmpl w:val="30A8196E"/>
    <w:lvl w:ilvl="0" w:tplc="D5C2F850">
      <w:start w:val="1"/>
      <w:numFmt w:val="bullet"/>
      <w:lvlText w:val="•"/>
      <w:lvlJc w:val="left"/>
      <w:pPr>
        <w:ind w:left="360" w:hanging="240"/>
      </w:pPr>
    </w:lvl>
    <w:lvl w:ilvl="1" w:tplc="A10A8728">
      <w:numFmt w:val="decimal"/>
      <w:lvlText w:val=""/>
      <w:lvlJc w:val="left"/>
    </w:lvl>
    <w:lvl w:ilvl="2" w:tplc="91FCD8E2">
      <w:numFmt w:val="decimal"/>
      <w:lvlText w:val=""/>
      <w:lvlJc w:val="left"/>
    </w:lvl>
    <w:lvl w:ilvl="3" w:tplc="F6EA3026">
      <w:numFmt w:val="decimal"/>
      <w:lvlText w:val=""/>
      <w:lvlJc w:val="left"/>
    </w:lvl>
    <w:lvl w:ilvl="4" w:tplc="7D800582">
      <w:numFmt w:val="decimal"/>
      <w:lvlText w:val=""/>
      <w:lvlJc w:val="left"/>
    </w:lvl>
    <w:lvl w:ilvl="5" w:tplc="C4BC0B1E">
      <w:numFmt w:val="decimal"/>
      <w:lvlText w:val=""/>
      <w:lvlJc w:val="left"/>
    </w:lvl>
    <w:lvl w:ilvl="6" w:tplc="EF9A85E8">
      <w:numFmt w:val="decimal"/>
      <w:lvlText w:val=""/>
      <w:lvlJc w:val="left"/>
    </w:lvl>
    <w:lvl w:ilvl="7" w:tplc="85BC12A0">
      <w:numFmt w:val="decimal"/>
      <w:lvlText w:val=""/>
      <w:lvlJc w:val="left"/>
    </w:lvl>
    <w:lvl w:ilvl="8" w:tplc="F4A62EC2">
      <w:numFmt w:val="decimal"/>
      <w:lvlText w:val=""/>
      <w:lvlJc w:val="left"/>
    </w:lvl>
  </w:abstractNum>
  <w:abstractNum w:abstractNumId="1" w15:restartNumberingAfterBreak="0">
    <w:nsid w:val="44407B22"/>
    <w:multiLevelType w:val="hybridMultilevel"/>
    <w:tmpl w:val="185C0440"/>
    <w:lvl w:ilvl="0" w:tplc="8D7C6F90">
      <w:start w:val="1"/>
      <w:numFmt w:val="bullet"/>
      <w:lvlText w:val="●"/>
      <w:lvlJc w:val="left"/>
      <w:pPr>
        <w:ind w:left="720" w:hanging="360"/>
      </w:pPr>
    </w:lvl>
    <w:lvl w:ilvl="1" w:tplc="438EF23A">
      <w:start w:val="1"/>
      <w:numFmt w:val="bullet"/>
      <w:lvlText w:val="○"/>
      <w:lvlJc w:val="left"/>
      <w:pPr>
        <w:ind w:left="1440" w:hanging="360"/>
      </w:pPr>
    </w:lvl>
    <w:lvl w:ilvl="2" w:tplc="28908E86">
      <w:start w:val="1"/>
      <w:numFmt w:val="bullet"/>
      <w:lvlText w:val="■"/>
      <w:lvlJc w:val="left"/>
      <w:pPr>
        <w:ind w:left="2160" w:hanging="360"/>
      </w:pPr>
    </w:lvl>
    <w:lvl w:ilvl="3" w:tplc="55F2A188">
      <w:start w:val="1"/>
      <w:numFmt w:val="bullet"/>
      <w:lvlText w:val="●"/>
      <w:lvlJc w:val="left"/>
      <w:pPr>
        <w:ind w:left="2880" w:hanging="360"/>
      </w:pPr>
    </w:lvl>
    <w:lvl w:ilvl="4" w:tplc="465A799E">
      <w:start w:val="1"/>
      <w:numFmt w:val="bullet"/>
      <w:lvlText w:val="○"/>
      <w:lvlJc w:val="left"/>
      <w:pPr>
        <w:ind w:left="3600" w:hanging="360"/>
      </w:pPr>
    </w:lvl>
    <w:lvl w:ilvl="5" w:tplc="1CC04D32">
      <w:start w:val="1"/>
      <w:numFmt w:val="bullet"/>
      <w:lvlText w:val="■"/>
      <w:lvlJc w:val="left"/>
      <w:pPr>
        <w:ind w:left="4320" w:hanging="360"/>
      </w:pPr>
    </w:lvl>
    <w:lvl w:ilvl="6" w:tplc="C850612A">
      <w:start w:val="1"/>
      <w:numFmt w:val="bullet"/>
      <w:lvlText w:val="●"/>
      <w:lvlJc w:val="left"/>
      <w:pPr>
        <w:ind w:left="5040" w:hanging="360"/>
      </w:pPr>
    </w:lvl>
    <w:lvl w:ilvl="7" w:tplc="FDD8FD24">
      <w:start w:val="1"/>
      <w:numFmt w:val="bullet"/>
      <w:lvlText w:val="●"/>
      <w:lvlJc w:val="left"/>
      <w:pPr>
        <w:ind w:left="5760" w:hanging="360"/>
      </w:pPr>
    </w:lvl>
    <w:lvl w:ilvl="8" w:tplc="0512DB18">
      <w:start w:val="1"/>
      <w:numFmt w:val="bullet"/>
      <w:lvlText w:val="●"/>
      <w:lvlJc w:val="left"/>
      <w:pPr>
        <w:ind w:left="6480" w:hanging="360"/>
      </w:pPr>
    </w:lvl>
  </w:abstractNum>
  <w:num w:numId="1" w16cid:durableId="615332264">
    <w:abstractNumId w:val="1"/>
    <w:lvlOverride w:ilvl="0">
      <w:startOverride w:val="1"/>
    </w:lvlOverride>
  </w:num>
  <w:num w:numId="2" w16cid:durableId="1428816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9C3E6B"/>
    <w:rsid w:val="00012DC1"/>
    <w:rsid w:val="0006015A"/>
    <w:rsid w:val="00065227"/>
    <w:rsid w:val="00071E2F"/>
    <w:rsid w:val="00081DF0"/>
    <w:rsid w:val="0009647C"/>
    <w:rsid w:val="00173A68"/>
    <w:rsid w:val="001B4696"/>
    <w:rsid w:val="001D385B"/>
    <w:rsid w:val="001D7439"/>
    <w:rsid w:val="00202401"/>
    <w:rsid w:val="00225DC0"/>
    <w:rsid w:val="00482B3D"/>
    <w:rsid w:val="004E6CD3"/>
    <w:rsid w:val="005455BF"/>
    <w:rsid w:val="00595F28"/>
    <w:rsid w:val="005C4386"/>
    <w:rsid w:val="006019CB"/>
    <w:rsid w:val="006315F3"/>
    <w:rsid w:val="007866ED"/>
    <w:rsid w:val="0078695E"/>
    <w:rsid w:val="007E00D4"/>
    <w:rsid w:val="008C15AC"/>
    <w:rsid w:val="008C7759"/>
    <w:rsid w:val="00907C77"/>
    <w:rsid w:val="009A724A"/>
    <w:rsid w:val="009C3E6B"/>
    <w:rsid w:val="009D4ABE"/>
    <w:rsid w:val="00A174D1"/>
    <w:rsid w:val="00A71F0B"/>
    <w:rsid w:val="00AF7783"/>
    <w:rsid w:val="00B144AA"/>
    <w:rsid w:val="00B17B48"/>
    <w:rsid w:val="00B57B97"/>
    <w:rsid w:val="00C5749B"/>
    <w:rsid w:val="00D229D9"/>
    <w:rsid w:val="00E25683"/>
    <w:rsid w:val="00E43349"/>
    <w:rsid w:val="00E4486A"/>
    <w:rsid w:val="00E85B57"/>
    <w:rsid w:val="00EC4C6C"/>
    <w:rsid w:val="00F33507"/>
    <w:rsid w:val="00F7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3B3F"/>
  <w15:docId w15:val="{26FD3DCB-A0BD-48C1-94E3-7A0F7B1C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ber.org/papers/w83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4294bef-5951-49ea-b544-27e15b1c4d01}" enabled="0" method="" siteId="{24294bef-5951-49ea-b544-27e15b1c4d01}"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660</Words>
  <Characters>3581</Characters>
  <Application>Microsoft Office Word</Application>
  <DocSecurity>4</DocSecurity>
  <Lines>63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Turley</cp:lastModifiedBy>
  <cp:revision>2</cp:revision>
  <dcterms:created xsi:type="dcterms:W3CDTF">2026-10-09T22:42:00Z</dcterms:created>
  <dcterms:modified xsi:type="dcterms:W3CDTF">2026-10-09T22:42:00Z</dcterms:modified>
</cp:coreProperties>
</file>