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44"/>
        </w:rPr>
        <w:t>Grade 11 IT PAT Template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PHASE 1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Professional layout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Headings and front page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Scenario &amp; Scope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(±200 words)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Topic clearly stated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Description of what the problem involves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Describe your solution for this task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Brief description of the scope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User Requierments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Users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Role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Activities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Limitations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1)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2)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Navigation/Description of Flow Diagram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diagrammatical representation of the design and flow of events when the program is used.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 </w:t>
      </w:r>
      <w:r>
        <w:rPr>
          <w:rFonts w:cs="Arial" w:ascii="Arial" w:hAnsi="Arial"/>
          <w:i/>
          <w:iCs/>
        </w:rPr>
        <w:tab/>
        <w:t>Google the following sources: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Draw.io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Getafix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Paraben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Creately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Lucidcharts online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yEd graph Editor – </w:t>
      </w:r>
      <w:hyperlink r:id="rId2">
        <w:r>
          <w:rPr>
            <w:rStyle w:val="InternetLink"/>
            <w:rFonts w:cs="Arial" w:ascii="Arial" w:hAnsi="Arial"/>
            <w:i/>
            <w:iCs/>
          </w:rPr>
          <w:t>www.yworks.com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hyperlink r:id="rId3">
        <w:r>
          <w:rPr>
            <w:rStyle w:val="InternetLink"/>
            <w:rFonts w:cs="Arial" w:ascii="Arial" w:hAnsi="Arial"/>
            <w:i/>
            <w:iCs/>
          </w:rPr>
          <w:t>http://dia-installer.de/</w:t>
        </w:r>
      </w:hyperlink>
      <w:r>
        <w:rPr>
          <w:rFonts w:cs="Arial" w:ascii="Arial" w:hAnsi="Arial"/>
          <w:i/>
          <w:iCs/>
        </w:rPr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Data Structures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Database</w:t>
      </w:r>
      <w:r>
        <w:rPr>
          <w:rFonts w:cs="Arial" w:ascii="Arial" w:hAnsi="Arial"/>
          <w:sz w:val="24"/>
          <w:szCs w:val="24"/>
        </w:rPr>
        <w:t>: Screen shots of your Database (both Views)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TextFiles</w:t>
      </w:r>
      <w:r>
        <w:rPr>
          <w:rFonts w:cs="Arial" w:ascii="Arial" w:hAnsi="Arial"/>
          <w:sz w:val="24"/>
          <w:szCs w:val="24"/>
        </w:rPr>
        <w:t>: Write a short paragraph as to how you will be using text files as a part of your software. Be descriptive.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Arrays</w:t>
      </w:r>
      <w:r>
        <w:rPr>
          <w:rFonts w:cs="Arial" w:ascii="Arial" w:hAnsi="Arial"/>
          <w:sz w:val="24"/>
          <w:szCs w:val="24"/>
        </w:rPr>
        <w:t>: An array is compulsory – you may have parallel arrays. Write a short paragraph on what the array is that you will use and how you will use it. Remember the datatype and names of the arrays.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GUI design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 least 2 GUI’s ( Tabs / Forms 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All of the following principles must be in your GUI design: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Design fits program’s intended use.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Appropriate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Variety of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Logical flow, clear navigation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Help available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Clear labelling to user on how to use program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Reset available where appropriate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Software Design Tool: IPO – ANY TWO (Tab sheets / Forms)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INPUT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VALIDATION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stored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validated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processed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-Data 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-Show algorithm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-How will the processing be done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-Format to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-Variety of source: From keyboard / mouse click / computer generated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-Associated error message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-Object to be displayed in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Examples of IPO’s: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Input, processing and output IPO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5"/>
        <w:gridCol w:w="1451"/>
        <w:gridCol w:w="1985"/>
        <w:gridCol w:w="2269"/>
        <w:gridCol w:w="141"/>
        <w:gridCol w:w="1702"/>
      </w:tblGrid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Data Type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 of the Input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Plain Text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Keyboard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Sentence in English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box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Data Validation</w:t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Range check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sPlainText[i] IN [‘A’..’Z, ‘a..z’, ‘ ‘]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1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Only Alphabet letters and spaces allowed”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Null Check 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 = ’’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cannot be empty, provide a message to encrypt”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Action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Generate Cipher text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WHAT: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Capture plain text and encrypt to Cypher 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HOW: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Read plain 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Do null check if true show Error message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Do range check if false show error message 2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 xml:space="preserve">else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//encrypt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FOR 1 to the length of the Plain text 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Letter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ZA" w:eastAsia="en-US" w:bidi="ar-SA"/>
              </w:rPr>
              <w:t>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a letter from the plain text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Determine the position of the letter in the alphabet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Add each corresponding letter in the mono alphabet to the cipher text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Button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GUI component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Cipher Text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52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"/>
        <w:gridCol w:w="1464"/>
        <w:gridCol w:w="810"/>
        <w:gridCol w:w="1439"/>
        <w:gridCol w:w="1261"/>
        <w:gridCol w:w="1710"/>
        <w:gridCol w:w="1529"/>
        <w:gridCol w:w="1080"/>
        <w:gridCol w:w="1981"/>
        <w:gridCol w:w="1349"/>
        <w:gridCol w:w="1081"/>
        <w:gridCol w:w="899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213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061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329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713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500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061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329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1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439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261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71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349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081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899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User Registration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sName := edtName.Text</w:t>
            </w:r>
          </w:p>
        </w:tc>
        <w:tc>
          <w:tcPr>
            <w:tcW w:w="1349" w:type="dxa"/>
            <w:vMerge w:val="restart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Confirmation Message: “Your details have been stored successfully”</w:t>
            </w:r>
          </w:p>
        </w:tc>
        <w:tc>
          <w:tcPr>
            <w:tcW w:w="10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</w:tc>
        <w:tc>
          <w:tcPr>
            <w:tcW w:w="899" w:type="dxa"/>
            <w:vMerge w:val="restart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Dialog Box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(edtSurname)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surname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sSurname := edtSurname.Text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(dtpDOB)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TDate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Regional Settings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(dd/mm/yyyy)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 xml:space="preserve">None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(built-in)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sDOB := DateToStr(dtpDOB.Date)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(edtCell)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Digits without any spaces in between e.g.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0789419712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Has 10 Chars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if(length(edtCell) &lt;10) then….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cell phone number must have 10 chars”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sCell := edtCell.Text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1367" w:hRule="atLeast"/>
          <w:cantSplit w:val="true"/>
        </w:trPr>
        <w:tc>
          <w:tcPr>
            <w:tcW w:w="691" w:type="dxa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Total Price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(spnQty)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integer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Numeric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Range (no more than 5 items)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MaxValue Property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 cannot have more than 5 items!”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Price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quantity * price (constant) = total price</w:t>
            </w:r>
          </w:p>
        </w:tc>
        <w:tc>
          <w:tcPr>
            <w:tcW w:w="1349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total comes to &lt;price&gt;”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Currency</w:t>
            </w:r>
          </w:p>
        </w:tc>
        <w:tc>
          <w:tcPr>
            <w:tcW w:w="89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Price Label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6235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"/>
        <w:gridCol w:w="1572"/>
        <w:gridCol w:w="850"/>
        <w:gridCol w:w="1702"/>
        <w:gridCol w:w="1842"/>
        <w:gridCol w:w="1363"/>
        <w:gridCol w:w="1183"/>
        <w:gridCol w:w="1051"/>
        <w:gridCol w:w="2498"/>
        <w:gridCol w:w="1417"/>
        <w:gridCol w:w="1135"/>
        <w:gridCol w:w="930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512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549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482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4124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388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549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482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5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702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842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363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13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</w:rPr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2ec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6e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3e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works.com/" TargetMode="External"/><Relationship Id="rId3" Type="http://schemas.openxmlformats.org/officeDocument/2006/relationships/hyperlink" Target="http://dia-installer.d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LibreOffice/7.2.0.4$Windows_X86_64 LibreOffice_project/9a9c6381e3f7a62afc1329bd359cc48accb6435b</Application>
  <AppVersion>15.0000</AppVersion>
  <Pages>12</Pages>
  <Words>641</Words>
  <Characters>3324</Characters>
  <CharactersWithSpaces>3760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2021-08-05T09:51:00Z</dcterms:created>
  <dc:creator>Wernhard van Rooyen</dc:creator>
  <dc:description/>
  <dc:language>en-ZA</dc:language>
  <cp:lastModifiedBy>Wernhard van Rooyen</cp:lastModifiedBy>
  <dcterms:modified xsi:type="dcterms:W3CDTF">2021-08-05T09:51:00Z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