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11111"/>
          <w:sz w:val="96"/>
          <w:szCs w:val="96"/>
        </w:rPr>
        <w:t xml:space="preserve">● RegBite</w:t>
      </w:r>
    </w:p>
    <w:p>
      <w:pPr>
        <w:spacing w:after="80"/>
        <w:jc w:val="center"/>
      </w:pPr>
      <w:r>
        <w:rPr>
          <w:rFonts w:ascii="Arial" w:cs="Arial" w:eastAsia="Arial" w:hAnsi="Arial"/>
          <w:color w:val="737373"/>
          <w:sz w:val="32"/>
          <w:szCs w:val="32"/>
        </w:rPr>
        <w:t xml:space="preserve">India Nutraceutical Compliance Platform</w:t>
      </w:r>
    </w:p>
    <w:p>
      <w:pPr>
        <w:pBdr>
          <w:bottom w:val="single" w:color="111111" w:sz="4" w:space="8"/>
        </w:pBdr>
        <w:spacing w:after="300"/>
        <w:jc w:val="center"/>
      </w:pPr>
    </w:p>
    <w:p>
      <w:pPr>
        <w:spacing w:after="0"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Version 4.0  |  March 2026  |  83-Rule Engine, 5 Frameworks, In-Process Scheduler, Email System, In-Portal Documentation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RegBite Product Team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28 March 2026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Active — Production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PRD v3.0 (March 2025)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https://steadfast-courage-production-0f66.up.railway.app/</w:t>
            </w:r>
          </w:p>
        </w:tc>
      </w:tr>
    </w:tbl>
    <w:p>
      <w:pPr>
        <w:spacing w:after="0" w:before="300"/>
      </w:pPr>
    </w:p>
    <w:p>
      <w:pPr>
        <w:spacing w:after="120"/>
      </w:pPr>
      <w:r>
        <w:rPr>
          <w:rFonts w:ascii="Arial" w:cs="Arial" w:eastAsia="Arial" w:hAnsi="Arial"/>
          <w:color w:val="A3A3A3"/>
          <w:sz w:val="22"/>
          <w:szCs w:val="22"/>
        </w:rPr>
        <w:t xml:space="preserve">This document contains proprietary and confidential information.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1.  Executive Summary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2.  Product Overview &amp; Vision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3.  Problem Statement &amp; Market Opportunity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4.  Target Users &amp; Personas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5.  User Roles &amp; Permission Model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6.  Customer Onboarding Workflow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7.  Core Feature Specifications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8.  Compliance Engine — 83-Rule Architecture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9.  Dual LLM AI Architecture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10. Daily Scheduler &amp; Regulation Pipeline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11. Email Notification System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12. In-Portal Documentation &amp; FAQ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13. Billing &amp; Subscription Model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14. Platform Architecture &amp; Infrastructure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15. User Scenarios &amp; Workflows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16. Goals &amp; Success Metrics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17. Non-Functional Requirements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18. Appendix: Changelog from v3.0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RegBite is a B2B SaaS compliance platform for nutraceutical companies operating in or exporting to India. It enables R&amp;D teams, regulatory managers, and founders to instantly check whether a product label is compliant with Indian food and supplement regulations, track regulatory changes, manage license renewals, and generate exportable compliance certificates.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India’s nutraceutical market is projected to reach USD 18 billion by 2025, yet the regulatory landscape — spread across FSSAI, AYUSH, BIS, DGFT, and Legal Metrology — remains fragmented, frequently updated, and poorly tooled. RegBite addresses a genuine workflow gap: today companies rely on expensive consultants, manual document review, and spreadsheets.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What’s new in v4.0: </w:t>
      </w:r>
      <w:r>
        <w:rPr>
          <w:rFonts w:ascii="Arial" w:cs="Arial" w:eastAsia="Arial" w:hAnsi="Arial"/>
          <w:color w:val="737373"/>
          <w:sz w:val="22"/>
          <w:szCs w:val="22"/>
        </w:rPr>
        <w:t xml:space="preserve">(1) Expanded from 64 to 83 compliance rules across 5 regulatory frameworks; (2) In-process daily scheduler replacing Celery Beat + Redis; (3) Redesigned email notification system with 10 transactional templates; (4) In-portal role-based documentation and FAQ; (5) Rule versioning with framework and regulation status tracking; (6) FSSAI Licensing Amendment 2026 support including perpetual license validity; (7) Customer onboarding workflows and user scenario documentation.</w:t>
      </w:r>
    </w:p>
    <w:p>
      <w:r>
        <w:br w:type="page"/>
      </w:r>
    </w:p>
    <w:p>
      <w:pPr>
        <w:pStyle w:val="Heading1"/>
      </w:pPr>
      <w:r>
        <w:t xml:space="preserve">2. Product Overview &amp; Vision</w:t>
      </w:r>
    </w:p>
    <w:p>
      <w:pPr>
        <w:pStyle w:val="Heading2"/>
      </w:pPr>
      <w:r>
        <w:t xml:space="preserve">2.1 Vision Statement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To become the default compliance infrastructure for every nutraceutical company in India — replacing manual consultants with AI-powered, always-current, self-service compliance checking.</w:t>
      </w:r>
    </w:p>
    <w:p>
      <w:pPr>
        <w:pStyle w:val="Heading2"/>
      </w:pPr>
      <w:r>
        <w:t xml:space="preserve">2.2 Core Value Proposition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Instant label compliance checking against 83 rules across 5 regulatory 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AI-powered label data extraction using Google Gemini 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Real-time regulation tracking with daily automated scraping of FSSAI, AYUSH, eGazette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Automatic re-checking of all labels when CRITICAL regulation changes are detected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License renewal tracking with perpetual license support (2026 FSSAI amendment)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Team collaboration with role-based access (Editor, Viewer, Consultant)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Exportable compliance reports with custom branding and time-limited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In-portal documentation system filtered by user role</w:t>
      </w:r>
    </w:p>
    <w:p>
      <w:pPr>
        <w:pStyle w:val="Heading2"/>
      </w:pPr>
      <w: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 (Python 3.11+), SQLAlchemy ORM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Jinja2 SSR, vanilla JavaScript, Noto Sans JP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 (Railway managed)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AI/LLM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Gemini 2.0 Flash (extraction + compliance analysis)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Brevo SMTP (transactional)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Razorpay (INR, UPI, cards, net banking)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Railway (auto-deploy on push to main)</w:t>
            </w:r>
          </w:p>
        </w:tc>
      </w:tr>
      <w:tr>
        <w:tc>
          <w:tcPr>
            <w:tcW w:type="dxa" w:w="3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Scheduler</w:t>
            </w:r>
          </w:p>
        </w:tc>
        <w:tc>
          <w:tcPr>
            <w:tcW w:type="dxa" w:w="63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In-process threading (daemon thread, IST timezone)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Problem Statement &amp; Market Opportunity</w:t>
      </w:r>
    </w:p>
    <w:p>
      <w:pPr>
        <w:pStyle w:val="Heading2"/>
      </w:pPr>
      <w:r>
        <w:t xml:space="preserve">3.1 Current Pain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Regulations spread across 5+ governing bodies with no unified self-service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Amendments published irregularly — often without prominent industry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No standardised self-assessment tool; companies rely entirely on paid regulatory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Product recalls and import rejections common due to label or ingredient violations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License renewal dates tracked manually via spreadsheets, leading to costly lapses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For SMBs, cost of regulatory consultants (₹50,000–5,00,000 per engagement) is prohibitive</w:t>
      </w:r>
    </w:p>
    <w:p>
      <w:pPr>
        <w:pStyle w:val="Heading2"/>
      </w:pPr>
      <w:r>
        <w:t xml:space="preserve">3.2 Market Opportunity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India nutraceutical market: USD 18B by 2025, 15%+ CAGR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50,000+ FSSAI-licensed nutraceutical manufacturers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No dominant compliance automation player — greenfield opportunity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Regulatory complexity increasing: FSS amendments, AYUSH modernisation, BIS mandates</w:t>
      </w:r>
    </w:p>
    <w:p>
      <w:r>
        <w:br w:type="page"/>
      </w:r>
    </w:p>
    <w:p>
      <w:pPr>
        <w:pStyle w:val="Heading1"/>
      </w:pPr>
      <w:r>
        <w:t xml:space="preserve">4. Target Users &amp; Personas</w:t>
      </w:r>
    </w:p>
    <w:p>
      <w:pPr>
        <w:pStyle w:val="Heading2"/>
      </w:pPr>
      <w:r>
        <w:t xml:space="preserve">Persona 1 — The R&amp;D Lead (Editor role)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Priya, 32, R&amp;D Manager at a mid-size nutraceutical company in Bengaluru. Manages 15 SKUs. Needs to check label compliance before every production run. Currently relies on a regulatory consultant who takes 3–5 days per review. Wants instant, self-service compliance feedback.</w:t>
      </w:r>
    </w:p>
    <w:p>
      <w:pPr>
        <w:pStyle w:val="Heading2"/>
      </w:pPr>
      <w:r>
        <w:t xml:space="preserve">Persona 2 — The Regulatory Affairs Manager (Account Admin role)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Ravi, 40, Head of Regulatory Affairs at a large supplement manufacturer. Manages compliance for 50+ products across FSSAI and AYUSH frameworks. Needs to track regulation changes, manage team access, and produce audit-ready reports for internal and external stakeholders.</w:t>
      </w:r>
    </w:p>
    <w:p>
      <w:pPr>
        <w:pStyle w:val="Heading2"/>
      </w:pPr>
      <w:r>
        <w:t xml:space="preserve">Persona 3 — The Founder / SMB Owner (Account Admin role)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Ankit, 28, founder of a D2C health supplement brand. Has 3 products. Cannot afford a full-time regulatory team. Needs an affordable, self-service tool to ensure his labels are compliant before going to market.</w:t>
      </w:r>
    </w:p>
    <w:p>
      <w:pPr>
        <w:pStyle w:val="Heading2"/>
      </w:pPr>
      <w:r>
        <w:t xml:space="preserve">Persona 4 — The Regulatory Consultant (Consultant role)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Dr. Meena, 55, independent FSSAI consultant serving 20+ clients. Wants a tool that lets her review client compliance reports efficiently, stay updated on regulation changes, and provide value-added advisory.</w:t>
      </w:r>
    </w:p>
    <w:p>
      <w:pPr>
        <w:pStyle w:val="Heading2"/>
      </w:pPr>
      <w:r>
        <w:t xml:space="preserve">Persona 5 — The QA Reviewer (Viewer role)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Suresh, 35, Quality Assurance lead. Needs read-only access to compliance reports and alerts to ensure products meet internal quality benchmarks before release. Does not need to create or modify products.</w:t>
      </w:r>
    </w:p>
    <w:p>
      <w:r>
        <w:br w:type="page"/>
      </w:r>
    </w:p>
    <w:p>
      <w:pPr>
        <w:pStyle w:val="Heading1"/>
      </w:pPr>
      <w:r>
        <w:t xml:space="preserve">5. User Roles &amp; Permission Model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RegBite operates a five-role access model. Each role maps to a distinct dashboard experience and a defined set of feature permissions.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160"/>
        <w:gridCol w:w="3200"/>
      </w:tblGrid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4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Platform</w:t>
            </w:r>
          </w:p>
        </w:tc>
        <w:tc>
          <w:tcPr>
            <w:tcW w:type="dxa" w:w="3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RegBite ops, engineering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features + Admin Panel, Rules, KB, Users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 Admin</w:t>
            </w:r>
          </w:p>
        </w:tc>
        <w:tc>
          <w:tcPr>
            <w:tcW w:type="dxa" w:w="14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Account</w:t>
            </w:r>
          </w:p>
        </w:tc>
        <w:tc>
          <w:tcPr>
            <w:tcW w:type="dxa" w:w="3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Founders, Reg. Affairs managers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Products, Labels, Reports, Team, Billing, Settings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Editor</w:t>
            </w:r>
          </w:p>
        </w:tc>
        <w:tc>
          <w:tcPr>
            <w:tcW w:type="dxa" w:w="14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</w:t>
            </w:r>
          </w:p>
        </w:tc>
        <w:tc>
          <w:tcPr>
            <w:tcW w:type="dxa" w:w="3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R&amp;D leads, QA analysts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Products, Labels, Reports, Licenses, Settings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</w:t>
            </w:r>
          </w:p>
        </w:tc>
        <w:tc>
          <w:tcPr>
            <w:tcW w:type="dxa" w:w="3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Stakeholders, management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View products, reports, alerts (read-only)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Consultant</w:t>
            </w:r>
          </w:p>
        </w:tc>
        <w:tc>
          <w:tcPr>
            <w:tcW w:type="dxa" w:w="14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External</w:t>
            </w:r>
          </w:p>
        </w:tc>
        <w:tc>
          <w:tcPr>
            <w:tcW w:type="dxa" w:w="3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FSSAI consultants, auditors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View reports, regulations, checker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5.1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Acct Admin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Consultant</w:t>
            </w:r>
          </w:p>
        </w:tc>
      </w:tr>
      <w:tr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View products &amp; reports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products &amp; upload labels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Run compliance checks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License renewals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Manage team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Billing &amp; subscription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Settings &amp; API keys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Customer Onboarding Workflow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This section describes the complete onboarding journey from first visit to active usage, for each customer type.</w:t>
      </w:r>
    </w:p>
    <w:p>
      <w:pPr>
        <w:pStyle w:val="Heading2"/>
      </w:pPr>
      <w:r>
        <w:t xml:space="preserve">6.1 New Customer Registration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Customer visits landing page (steadfast-courage-production-0f66.up.railway.app)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Explores hero section with Quick Label Checker widget, feature showcase, 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Clicks “Get Started Free” → redirected to /register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Enters company email, name, and password (minimum 8 characters)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Account created with Starter (Free) plan, role = Account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Redirected to /onboarding — enters company name, GSTIN (optional), brand name, report accent colour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Onboarding marked complete → redirected to /dashboard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Dashboard shows empty state with CTA: “Add Your First Product”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Welcome email sent with platform overview and 3-step getting started guide</w:t>
      </w:r>
    </w:p>
    <w:p>
      <w:pPr>
        <w:pStyle w:val="Heading2"/>
      </w:pPr>
      <w:r>
        <w:t xml:space="preserve">6.2 First Compliance Check 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From dashboard, user clicks “Add Product”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Enters product name, selects category (Health Supplement, Ayurvedic, etc.)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Product created → redirected to product detail page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Clicks “Upload Label” → selects label image (JPG/PNG/PDF)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System checks scan quota (Starter: 5/month, Growth: 100/month)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Image sent to Gemini Vision for AI extraction (background task)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Extraction completes → 83-rule compliance engine runs automatically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User redirected to compliance report: score, pass/fail breakdown, remediation guidance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Report can be downloaded as PDF or shared via time-limited link</w:t>
      </w:r>
    </w:p>
    <w:p>
      <w:pPr>
        <w:pStyle w:val="Heading2"/>
      </w:pPr>
      <w:r>
        <w:t xml:space="preserve">6.3 Team Member Onboarding (Invited User)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Account Admin goes to /team and clicks “Send Invite”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Enters invitee’s email and selects role (Editor, Viewer, or Consultant)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System sends team invite email with 7-day acceptance link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Invitee clicks link → redirected to /team/accept/{token}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Sets their name and password → account created with assigned role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Invite-accepted notification email sent to the Account Admin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New team member redirected to /onboarding for company context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After onboarding, sees dashboard filtered to their role’s permissions</w:t>
      </w:r>
    </w:p>
    <w:p>
      <w:pPr>
        <w:pStyle w:val="Heading2"/>
      </w:pPr>
      <w:r>
        <w:t xml:space="preserve">6.4 Plan Upgrade Flow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User hits quota limit (product count or scan limit)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System shows upgrade prompt with plan comparison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User navigates to /billing → selects Growth plan (monthly or annual)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Razorpay checkout opens (UPI, card, net banking, wallets)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Payment verified → plan activated immediately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Payment confirmation email sent with plan details and validity period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New quotas take effect: 25 products, 100 scans/month, 5 team seats</w:t>
      </w:r>
    </w:p>
    <w:p>
      <w:pPr>
        <w:pStyle w:val="Heading2"/>
      </w:pPr>
      <w:r>
        <w:t xml:space="preserve">6.5 External Consultant Onboarding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Account Admin invites consultant with Consultant role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Consultant receives email with context: “You’ve been invited as a compliance consultant”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Accepts invite, sets credentials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Dashboard shows: compliance reports, regulations feed, checker tool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Cannot see: product management, team, billing, settings, admin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Can generate manual compliance checks via /checker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Reviews shared reports and provides advisory outside the platform</w:t>
      </w:r>
    </w:p>
    <w:p>
      <w:r>
        <w:br w:type="page"/>
      </w:r>
    </w:p>
    <w:p>
      <w:pPr>
        <w:pStyle w:val="Heading1"/>
      </w:pPr>
      <w:r>
        <w:t xml:space="preserve">7. Core Feature Specifications</w:t>
      </w:r>
    </w:p>
    <w:p>
      <w:pPr>
        <w:pStyle w:val="Heading2"/>
      </w:pPr>
      <w:r>
        <w:t xml:space="preserve">7.1 Dashboard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Central hub showing: product count summary (total, compliant, flagged, no-label), category breakdown, compliance score per product, unread alerts badge, expiring licenses (90-day window), latest published regulation alerts, and unread notifications.</w:t>
      </w:r>
    </w:p>
    <w:p>
      <w:pPr>
        <w:pStyle w:val="Heading2"/>
      </w:pPr>
      <w:r>
        <w:t xml:space="preserve">7.2 Products &amp; Label Management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Full CRUD for products with categories: Health Supplement, Ayurvedic, Dietary Supplement, Nutraceutical, Functional Food. Each product supports multiple label versions. Label upload triggers Gemini Vision extraction → 83-rule compliance check. Cached extraction reuse when confidence ≥ 85%. Bulk upload via CSV for large portfolios.</w:t>
      </w:r>
    </w:p>
    <w:p>
      <w:pPr>
        <w:pStyle w:val="Heading2"/>
      </w:pPr>
      <w:r>
        <w:t xml:space="preserve">7.3 Compliance Reports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Auto-generated after every compliance check. Includes: weighted compliance score, per-rule pass/fail/warning/skipped breakdown, specific remediation for each failure, extracted data summary, report reference number. Download as PDF with custom branding. Share via time-limited public links (30-day default expiry).</w:t>
      </w:r>
    </w:p>
    <w:p>
      <w:pPr>
        <w:pStyle w:val="Heading2"/>
      </w:pPr>
      <w:r>
        <w:t xml:space="preserve">7.4 Alerts &amp; Notifications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In-app alerts for: label violations, regulation changes, license expiry. Severity-coded (Critical/High/Medium/Low). Email notifications to up to 5 configured addresses. In-app notification feed per user. Published regulation alerts (admin-curated) visible to all users.</w:t>
      </w:r>
    </w:p>
    <w:p>
      <w:pPr>
        <w:pStyle w:val="Heading2"/>
      </w:pPr>
      <w:r>
        <w:t xml:space="preserve">7.5 Regulations Feed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Chronological feed of detected regulation changes, grouped by month. Shows: document name, change type (New/Amendment/Repeal/Clarification), severity, detection date, summary. Regulation status tracking: Draft, Final, Effective, Superseded.</w:t>
      </w:r>
    </w:p>
    <w:p>
      <w:pPr>
        <w:pStyle w:val="Heading2"/>
      </w:pPr>
      <w:r>
        <w:t xml:space="preserve">7.6 License Renewal Tracker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Track FSSAI (Registration/State/Central), AYUSH, IEC, BIS, and State licenses. Status badges: Active, Expiring Soon, Expiring, Expired, Perpetual. Perpetual license support under FSSAI Licensing Amendment 2026. Daily email reminders at 7 AM IST for licenses expiring within 30 days.</w:t>
      </w:r>
    </w:p>
    <w:p>
      <w:pPr>
        <w:pStyle w:val="Heading2"/>
      </w:pPr>
      <w:r>
        <w:t xml:space="preserve">7.7 Team Management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Account Admin/Super Admin can invite members as Editor, Viewer, or Consultant. 7-day invitation links via email. Role assignment at invite time. Team seat limits per plan (Starter: 1, Growth: 5, Enterprise: unlimited).</w:t>
      </w:r>
    </w:p>
    <w:p>
      <w:pPr>
        <w:pStyle w:val="Heading2"/>
      </w:pPr>
      <w:r>
        <w:t xml:space="preserve">7.8 Settings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Profile name editing, password change (with email confirmation), notification email configuration (up to 5 addresses), API key management (up to 5 keys, rb_live_* format), and report branding (brand name + accent hex colour).</w:t>
      </w:r>
    </w:p>
    <w:p>
      <w:pPr>
        <w:pStyle w:val="Heading2"/>
      </w:pPr>
      <w:r>
        <w:t xml:space="preserve">7.9 Quick Checker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Manual compliance check tool — enter product data directly without uploading a label image. Useful for pre-production label review or testing specific field combinations.</w:t>
      </w:r>
    </w:p>
    <w:p>
      <w:r>
        <w:br w:type="page"/>
      </w:r>
    </w:p>
    <w:p>
      <w:pPr>
        <w:pStyle w:val="Heading1"/>
      </w:pPr>
      <w:r>
        <w:t xml:space="preserve">8. Compliance Engine — 83-Rule Architecture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The compliance engine is the core of RegBite. It checks extracted label data against 83 deterministic rules across 5 regulatory frameworks.</w:t>
      </w:r>
    </w:p>
    <w:p>
      <w:pPr>
        <w:pStyle w:val="Heading2"/>
      </w:pPr>
      <w:r>
        <w:t xml:space="preserve">8.1 Rule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  <w:tc>
          <w:tcPr>
            <w:tcW w:type="dxa" w:w="5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 Source</w:t>
            </w:r>
          </w:p>
        </w:tc>
      </w:tr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FSSAI</w:t>
            </w:r>
          </w:p>
        </w:tc>
        <w:tc>
          <w:tcPr>
            <w:tcW w:type="dxa" w:w="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52</w:t>
            </w:r>
          </w:p>
        </w:tc>
        <w:tc>
          <w:tcPr>
            <w:tcW w:type="dxa" w:w="5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FSS Health Supplements 2022, Labelling v8 (Sept 2025), Additives Amendment 2025, Licensing Amendment 2026</w:t>
            </w:r>
          </w:p>
        </w:tc>
      </w:tr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Legal Metrology</w:t>
            </w:r>
          </w:p>
        </w:tc>
        <w:tc>
          <w:tcPr>
            <w:tcW w:type="dxa" w:w="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Legal Metrology (Packaged Commodities) Rules 2011</w:t>
            </w:r>
          </w:p>
        </w:tc>
      </w:tr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AYUSH</w:t>
            </w:r>
          </w:p>
        </w:tc>
        <w:tc>
          <w:tcPr>
            <w:tcW w:type="dxa" w:w="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Ayurvedic, Siddha &amp; Unani (ASU) Drug regulations</w:t>
            </w:r>
          </w:p>
        </w:tc>
      </w:tr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BIS</w:t>
            </w:r>
          </w:p>
        </w:tc>
        <w:tc>
          <w:tcPr>
            <w:tcW w:type="dxa" w:w="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Bureau of Indian Standards — ISI mark, protein quality IS 7219</w:t>
            </w:r>
          </w:p>
        </w:tc>
      </w:tr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DGFT</w:t>
            </w:r>
          </w:p>
        </w:tc>
        <w:tc>
          <w:tcPr>
            <w:tcW w:type="dxa" w:w="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Import compliance — IEC requirement, CITES botanical restrictions</w:t>
            </w:r>
          </w:p>
        </w:tc>
      </w:tr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FSSAI Licensing</w:t>
            </w:r>
          </w:p>
        </w:tc>
        <w:tc>
          <w:tcPr>
            <w:tcW w:type="dxa" w:w="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Licensing Amendment 2026 — turnover thresholds, street vendor exemption</w:t>
            </w:r>
          </w:p>
        </w:tc>
      </w:tr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FSS Additives</w:t>
            </w:r>
          </w:p>
        </w:tc>
        <w:tc>
          <w:tcPr>
            <w:tcW w:type="dxa" w:w="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Food colours, preservatives, sweeteners limits; titanium dioxide ban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8.2 Category-Based Filtering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AYUSH rules: only apply to Ayurvedic, Siddha, and Unani category products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DGFT import rules: only apply when country of origin is non-Indian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FSSAI + Legal Metrology rules: apply to all product categories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Non-applicable rules marked as SKIPPED — do not affect compliance score</w:t>
      </w:r>
    </w:p>
    <w:p>
      <w:pPr>
        <w:pStyle w:val="Heading2"/>
      </w:pPr>
      <w:r>
        <w:t xml:space="preserve">8.3 Rule Versioning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Each rule tracks: version (e.g., “Version VIII”), framework (FSSAI/LM/AYUSH/BIS/DGFT), regulation_status (Draft/Final/Effective/Superseded). Version and status are updated when new regulation data is detected by the daily scheduler.</w:t>
      </w:r>
    </w:p>
    <w:p>
      <w:pPr>
        <w:pStyle w:val="Heading2"/>
      </w:pPr>
      <w:r>
        <w:t xml:space="preserve">8.4 Check Types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PRESENCE (field must exist), ABSENCE (field must not exist), PATTERN_MATCH (regex validation), VALUE_IN_LIST (approved values), NOT_IN_LIST (banned substances), FORMAT (structural validation).</w:t>
      </w:r>
    </w:p>
    <w:p>
      <w:pPr>
        <w:pStyle w:val="Heading2"/>
      </w:pPr>
      <w:r>
        <w:t xml:space="preserve">8.5 Scoring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Weighted compliance score. Critical failures carry 3x weight, High 2x, Medium 1x, Low 0.5x. Score = weighted passes / weighted total applicable rules. Products with any CRITICAL failure are flagged regardless of percentage.</w:t>
      </w:r>
    </w:p>
    <w:p>
      <w:r>
        <w:br w:type="page"/>
      </w:r>
    </w:p>
    <w:p>
      <w:pPr>
        <w:pStyle w:val="Heading1"/>
      </w:pPr>
      <w:r>
        <w:t xml:space="preserve">9. Dual LLM AI Architecture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RegBite uses Google Gemini 2.0 Flash in two distinct modes:</w:t>
      </w:r>
    </w:p>
    <w:p>
      <w:pPr>
        <w:pStyle w:val="Heading2"/>
      </w:pPr>
      <w:r>
        <w:t xml:space="preserve">9.1 Brain 1 — Label Extraction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Gemini Vision analyses uploaded label images and extracts structured JSON: product name, ingredients list, nutritional information, claims, allergen declarations, manufacturer details, FSSAI license number, batch/lot info, expiry dates, net quantity, and more. Extraction confidence threshold: 85%. Results cached for re-checks to save API tokens.</w:t>
      </w:r>
    </w:p>
    <w:p>
      <w:pPr>
        <w:pStyle w:val="Heading2"/>
      </w:pPr>
      <w:r>
        <w:t xml:space="preserve">9.2 Brain 2 — Compliance Analysis &amp; RAG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Gemini with RAG (Retrieval-Augmented Generation) over the Regulations Knowledge Base. Used for: intelligent compliance analysis, regulation Q&amp;A in admin LLM Studio, rule update suggestions when CRITICAL changes detected, and enhanced remediation guidance. KB stores regulation documents as vector embeddings for semantic search.</w:t>
      </w:r>
    </w:p>
    <w:p>
      <w:pPr>
        <w:pStyle w:val="Heading2"/>
      </w:pPr>
      <w:r>
        <w:t xml:space="preserve">9.3 LLM Knowledge Base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Additive seeding — new documents added without removing existing ones. Covers: FSS Health Supplements 2022, Labelling v8 (Sept 2025), Additives Amendment 2025, Licensing Amendment 2026, Legal Metrology Rules 2011, AYUSH/ASU regulations, BIS standards, DGFT import policies. Auto-reseeded daily when scheduler detects new regulation data.</w:t>
      </w:r>
    </w:p>
    <w:p>
      <w:r>
        <w:br w:type="page"/>
      </w:r>
    </w:p>
    <w:p>
      <w:pPr>
        <w:pStyle w:val="Heading1"/>
      </w:pPr>
      <w:r>
        <w:t xml:space="preserve">10. Daily Scheduler &amp; Regulation Pipeline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In-process threading-based scheduler replacing Celery Beat + Redis. Runs inside the FastAPI process as a daemon thread — exits automatically when the main process stops. No external dependencies.</w:t>
      </w:r>
    </w:p>
    <w:p>
      <w:pPr>
        <w:pStyle w:val="Heading2"/>
      </w:pPr>
      <w:r>
        <w:t xml:space="preserve">10.1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(IST)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6:00 AM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Scrape FSSAI, AYUSH, eGazette for new/updated regulatory documents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6:00 AM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 CRITICAL changes: auto-recheck all current labels, suggest rule updates via LLM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6:00 AM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Auto-reseed LLM KB when new regulation data detected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7:00 AM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Send license expiry reminder emails (30-day window)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10.2 Scraper Pipeline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Scrape FSSAI pages, AYUSH portal, and eGazette for document URLs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Download each document and compute content hash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Compare hash against stored RegulationChange records — skip if unchanged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For new/changed documents: classify via LLM (change type, severity, effective date)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Create RegulationChange record and in-app Alert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Send email notification to all users with configured notification emails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If CRITICAL: trigger label re-check cascade and rule update suggestions</w:t>
      </w:r>
    </w:p>
    <w:p>
      <w:r>
        <w:br w:type="page"/>
      </w:r>
    </w:p>
    <w:p>
      <w:pPr>
        <w:pStyle w:val="Heading1"/>
      </w:pPr>
      <w:r>
        <w:t xml:space="preserve">11. Email Notification System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10 transactional email templates with a cohesive monochrome design system matching RegBite’s UI theme. Table-based HTML layout for email client compatibility. Brevo SMTP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Welcome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user registration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Platform overview, 3-step guide, CTA to dashboard</w:t>
            </w:r>
          </w:p>
        </w:tc>
      </w:tr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Compliance Alert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Label fails compliance check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name, score, violation table, remediation</w:t>
            </w:r>
          </w:p>
        </w:tc>
      </w:tr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Regulation Change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regulation detected by scheduler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Document name, type, severity, source URL</w:t>
            </w:r>
          </w:p>
        </w:tc>
      </w:tr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 Invite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Account Admin invites member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Inviter name, role, 7-day accept link</w:t>
            </w:r>
          </w:p>
        </w:tc>
      </w:tr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Invite Accepted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 member accepts invite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member name, email, assigned role</w:t>
            </w:r>
          </w:p>
        </w:tc>
      </w:tr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Payment Confirmation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Razorpay payment verified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 name, amount, validity period</w:t>
            </w:r>
          </w:p>
        </w:tc>
      </w:tr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Subscription Cancelled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cancels subscription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Access-until date, revert to Starter notice</w:t>
            </w:r>
          </w:p>
        </w:tc>
      </w:tr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Password Changed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changes password in settings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Security warning, timestamp, contact support CTA</w:t>
            </w:r>
          </w:p>
        </w:tc>
      </w:tr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License Expiry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scheduler (7 AM IST)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Expiring licenses with days remaining, status badges</w:t>
            </w:r>
          </w:p>
        </w:tc>
      </w:tr>
      <w:tr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Report Shared</w:t>
            </w:r>
          </w:p>
        </w:tc>
        <w:tc>
          <w:tcPr>
            <w:tcW w:type="dxa" w:w="3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creates share link for report</w:t>
            </w:r>
          </w:p>
        </w:tc>
        <w:tc>
          <w:tcPr>
            <w:tcW w:type="dxa" w:w="32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name, share URL, expiry info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In-Portal Documentation &amp; FAQ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Role-filtered documentation system accessible at /help. Each user sees only sections relevant to their role. Content hardcoded in Jinja2 templates — no CMS needed.</w:t>
      </w:r>
    </w:p>
    <w:p>
      <w:pPr>
        <w:pStyle w:val="Heading2"/>
      </w:pPr>
      <w:r>
        <w:t xml:space="preserve">12.1 Section Visibility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Acct Admin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Consultant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Getting Started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Products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Compliance Engine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Reports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Regulations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Licenses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Billing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Settings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FAQ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Billing &amp; Subscription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(Free)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₹0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₹2,999/mo (₹29,990/yr)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Products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Scans/month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 seats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Compliance categories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5 frameworks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+ Custom rules</w:t>
            </w:r>
          </w:p>
        </w:tc>
      </w:tr>
      <w:tr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License tracker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White-label reports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100"/>
      </w:pP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Payment processing via Razorpay. Supports credit/debit cards, UPI, net banking, and wallets. Subscription status tracking: Active, Cancelled, Past Due, Trialing. Cancellation preserves access until end of billing period.</w:t>
      </w:r>
    </w:p>
    <w:p>
      <w:r>
        <w:br w:type="page"/>
      </w:r>
    </w:p>
    <w:p>
      <w:pPr>
        <w:pStyle w:val="Heading1"/>
      </w:pPr>
      <w:r>
        <w:t xml:space="preserve">14. Platform Architecture &amp; Infrastructure</w:t>
      </w:r>
    </w:p>
    <w:p>
      <w:pPr>
        <w:pStyle w:val="Heading2"/>
      </w:pPr>
      <w:r>
        <w:t xml:space="preserve">14.1 Deployment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Single Railway service (auto-deploy on push to main branch). PostgreSQL managed database on Railway. Brevo SMTP for email. No external task queue — in-process scheduler handles all background work.</w:t>
      </w:r>
    </w:p>
    <w:p>
      <w:pPr>
        <w:pStyle w:val="Heading2"/>
      </w:pPr>
      <w:r>
        <w:t xml:space="preserve">14.2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 app, lifespan, seed data, dashboard</w:t>
            </w:r>
          </w:p>
        </w:tc>
      </w:tr>
      <w:tr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app/models.py</w:t>
            </w:r>
          </w:p>
        </w:tc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SQLAlchemy models, enums, relationships</w:t>
            </w:r>
          </w:p>
        </w:tc>
      </w:tr>
      <w:tr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app/services/compliance_engine.py</w:t>
            </w:r>
          </w:p>
        </w:tc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83-rule engine with category filtering</w:t>
            </w:r>
          </w:p>
        </w:tc>
      </w:tr>
      <w:tr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app/services/llm_service.py</w:t>
            </w:r>
          </w:p>
        </w:tc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Gemini extraction + RAG compliance analysis</w:t>
            </w:r>
          </w:p>
        </w:tc>
      </w:tr>
      <w:tr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app/services/notification.py</w:t>
            </w:r>
          </w:p>
        </w:tc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 email templates, design system</w:t>
            </w:r>
          </w:p>
        </w:tc>
      </w:tr>
      <w:tr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app/scheduler.py</w:t>
            </w:r>
          </w:p>
        </w:tc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In-process daily scheduler (daemon thread)</w:t>
            </w:r>
          </w:p>
        </w:tc>
      </w:tr>
      <w:tr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app/services/scraper.py</w:t>
            </w:r>
          </w:p>
        </w:tc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FSSAI/AYUSH/eGazette scraping pipeline</w:t>
            </w:r>
          </w:p>
        </w:tc>
      </w:tr>
      <w:tr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app/routes/help.py</w:t>
            </w:r>
          </w:p>
        </w:tc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Role-filtered documentation &amp; FAQ routes</w:t>
            </w:r>
          </w:p>
        </w:tc>
      </w:tr>
      <w:tr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app/data/fssai_rules_seed.json</w:t>
            </w:r>
          </w:p>
        </w:tc>
        <w:tc>
          <w:tcPr>
            <w:tcW w:type="dxa" w:w="468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83 compliance rules (source of truth)</w:t>
            </w:r>
          </w:p>
        </w:tc>
      </w:tr>
    </w:tbl>
    <w:p>
      <w:pPr>
        <w:pStyle w:val="Heading2"/>
      </w:pPr>
      <w:r>
        <w:t xml:space="preserve">14.3 Database Migrations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Inline ALTER TABLE migrations in app/main.py lifespan (v1–v10). Idempotent — uses IF NOT EXISTS. Covers: all model columns, indexes, enum types. No external migration tool (Alembic not used).</w:t>
      </w:r>
    </w:p>
    <w:p>
      <w:r>
        <w:br w:type="page"/>
      </w:r>
    </w:p>
    <w:p>
      <w:pPr>
        <w:pStyle w:val="Heading1"/>
      </w:pPr>
      <w:r>
        <w:t xml:space="preserve">15. User Scenarios &amp; Workflows</w:t>
      </w:r>
    </w:p>
    <w:p>
      <w:pPr>
        <w:pStyle w:val="Heading2"/>
      </w:pPr>
      <w:r>
        <w:t xml:space="preserve">Scenario 1: SMB Owner — First-Time Compliance Check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Ankit has just launched a D2C whey protein brand. He needs to verify his label is FSSAI-compliant before his first production run.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Ankit registers on RegBite (Starter plan, free)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Completes onboarding: company name “FitNutra”, brand “FitNutra Performance”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Creates product: “Whey Protein Isolate 1kg”, category: Health Supplement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Uploads label image (JPG, 300 DPI scan)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AI extracts: product name, ingredients (18 items), nutritional table, FSSAI license, claims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Compliance score: 72% — 8 rules failed (2 Critical, 3 High, 3 Medium)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Critical: missing allergen declaration, banned sweetener (Cyclamate) detected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Ankit forwards PDF report to his label designer with remediation steps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After label revision, uploads new label → score jumps to 96%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Outcome: Ankit avoids a potential product recall and saves ₹75,000 in consultant fees.</w:t>
      </w:r>
    </w:p>
    <w:p>
      <w:pPr>
        <w:pStyle w:val="Heading2"/>
      </w:pPr>
      <w:r>
        <w:t xml:space="preserve">Scenario 2: Regulatory Manager — Portfolio Monitoring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Ravi manages 50+ products at a large manufacturer. A new FSSAI amendment changes labelling requirements.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RegBite scheduler detects new FSS Labelling amendment at 6 AM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Amendment classified as CRITICAL → auto-recheck triggered on all 50 labels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3 products now fail new “added sugars declaration” rule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Ravi receives email alert listing the 3 affected products with violations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Checks /alerts in dashboard → sees severity HIGH alerts for each product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Generates updated compliance reports for the 3 products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Shares reports with label design team via time-limited links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Outcome: Ravi catches the regulation change within hours, not weeks.</w:t>
      </w:r>
    </w:p>
    <w:p>
      <w:pPr>
        <w:pStyle w:val="Heading2"/>
      </w:pPr>
      <w:r>
        <w:t xml:space="preserve">Scenario 3: Consultant — Client Audit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Dr. Meena is invited by a client to review their compliance status.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Client (Account Admin) invites Dr. Meena with Consultant role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Dr. Meena accepts invite, sets credentials, sees Consultant dashboard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Views compliance reports for client’s 10 products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Uses /checker to test a new formulation manually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Reviews /regulations feed for latest AYUSH amendments affecting client’s products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Provides advisory report to client outside the platform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Outcome: Dr. Meena completes audit in 2 hours instead of 2 days.</w:t>
      </w:r>
    </w:p>
    <w:p>
      <w:pPr>
        <w:pStyle w:val="Heading2"/>
      </w:pPr>
      <w:r>
        <w:t xml:space="preserve">Scenario 4: License Expiry — Renewal Workflow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 company’s FSSAI Central License expires in 25 days.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Daily scheduler (7 AM IST) detects license expiring within 30-day window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Email sent to all configured notification addresses with expiry details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User logs in, sees “Expiring Soon” badge on /renewals page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Initiates renewal with FSSAI (external process)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After renewal, clicks “Renew” on RegBite, enters new expiry date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License status updates to Active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Outcome: No lapse in license validity, no production shutdown.</w:t>
      </w:r>
    </w:p>
    <w:p>
      <w:pPr>
        <w:pStyle w:val="Heading2"/>
      </w:pPr>
      <w:r>
        <w:t xml:space="preserve">Scenario 5: Ayurvedic Product — Multi-Framework Check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An Ayurvedic company uploads a label for their Triphala Churna product.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Product created with category: Ayurvedic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Label uploaded → AI extracts classical formulation references, ASU license, ingredients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Compliance engine applies FSSAI (52 rules) + Legal Metrology (9) + AYUSH (12) = 73 rules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DGFT rules skipped (product is domestic, not imported)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Score: 85% — AYUSH-specific failures: missing Rasa Shastra heavy metal testing certificate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Remediation: “Provide Schedule E-I heavy metal testing report per AYUSH ASU Drug Rule 161-B”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Outcome: Category filtering ensures relevant rules are checked without false positives.</w:t>
      </w:r>
    </w:p>
    <w:p>
      <w:pPr>
        <w:pStyle w:val="Heading2"/>
      </w:pPr>
      <w:r>
        <w:t xml:space="preserve">Scenario 6: Imported Supplement — DGFT Compliance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An importer uploads a label for a US-manufactured fish oil supplement.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Product category: Health Supplement, country of origin: USA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Compliance engine applies FSSAI + Legal Metrology + DGFT rules (63 total)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DGFT-IMP-001 fails: no IEC (Import Export Code) declared on label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DGFT-IMP-002 passes: no CITES-restricted botanicals in formulation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AYUSH rules skipped (not an Ayurvedic product)</w:t>
      </w:r>
    </w:p>
    <w:p>
      <w:pPr>
        <w:spacing w:after="12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Outcome: Import-specific rules catch a compliance gap that FSSAI-only checking would miss.</w:t>
      </w:r>
    </w:p>
    <w:p>
      <w:r>
        <w:br w:type="page"/>
      </w:r>
    </w:p>
    <w:p>
      <w:pPr>
        <w:pStyle w:val="Heading1"/>
      </w:pPr>
      <w:r>
        <w:t xml:space="preserve">16. Goals &amp; Success Metrics</w:t>
      </w:r>
    </w:p>
    <w:p>
      <w:pPr>
        <w:pStyle w:val="Heading2"/>
      </w:pPr>
      <w:r>
        <w:t xml:space="preserve">16.1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Acquire 100 paying customers within 6 months of public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Achieve ₹50L ARR within 12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Establish RegBite as the default compliance tool for Indian nutraceutical companies</w:t>
      </w:r>
    </w:p>
    <w:p>
      <w:pPr>
        <w:pStyle w:val="Heading2"/>
      </w:pPr>
      <w:r>
        <w:t xml:space="preserve">16.2 Key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(6mo)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(12mo)</w:t>
            </w:r>
          </w:p>
        </w:tc>
      </w:tr>
      <w:tr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Registered accounts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Monthly compliance checks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2,000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Avg. compliance score improvement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15%+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20%+</w:t>
            </w:r>
          </w:p>
        </w:tc>
      </w:tr>
      <w:tr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 churn rate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&lt;5%/month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&lt;3%/month</w:t>
            </w:r>
          </w:p>
        </w:tc>
      </w:tr>
      <w:tr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NPS score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40+</w:t>
            </w:r>
          </w:p>
        </w:tc>
        <w:tc>
          <w:tcPr>
            <w:tcW w:type="dxa" w:w="31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Non-Functional Requirements</w:t>
      </w:r>
    </w:p>
    <w:p>
      <w:pPr>
        <w:pStyle w:val="Heading2"/>
      </w:pPr>
      <w:r>
        <w:t xml:space="preserve">17.1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Page load time: &lt; 2 seconds for dashboard and product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Label extraction: &lt; 30 seconds (Gemini Vision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Compliance check: &lt; 5 seconds after extraction completes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Report PDF generation: &lt; 10 seconds</w:t>
      </w:r>
    </w:p>
    <w:p>
      <w:pPr>
        <w:pStyle w:val="Heading2"/>
      </w:pPr>
      <w:r>
        <w:t xml:space="preserve">17.2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HTTPS/TLS on all connections (Railway enforced)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bcrypt password hashing with salt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JWT authentication with configurable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Rate limiting on login and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File upload validation (MIME type, size limits)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No PII stored in logs or error tracking</w:t>
      </w:r>
    </w:p>
    <w:p>
      <w:pPr>
        <w:pStyle w:val="Heading2"/>
      </w:pPr>
      <w:r>
        <w:t xml:space="preserve">17.3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Target: 99.5% uptime (Railway SLA)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Health check endpoint at /health for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Graceful degradation: if Gemini API is down, cached extractions still work</w:t>
      </w:r>
    </w:p>
    <w:p>
      <w:pPr>
        <w:pStyle w:val="Heading2"/>
      </w:pPr>
      <w:r>
        <w:t xml:space="preserve">17.4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PostgreSQL with automated Railway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User data isolated by account (team_id scoping)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Activity log for audit trail (90-day retention)</w:t>
      </w:r>
    </w:p>
    <w:p>
      <w:r>
        <w:br w:type="page"/>
      </w:r>
    </w:p>
    <w:p>
      <w:pPr>
        <w:pStyle w:val="Heading1"/>
      </w:pPr>
      <w:r>
        <w:t xml:space="preserve">18. Appendix: Changelog from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Rules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Expanded from 64 to 83 rules. Added BIS (2), DGFT (2), FSS Additives (4), FSSAI Licensing (2), 6 new ingredient bans, 3 new labelling rules (Version VIII)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Expanded from 3 to 5: added BIS and DGFT alongside FSSAI, Legal Metrology, AYUSH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Scheduler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in-process threading scheduler replacing Celery Beat + Redis. Daily regulation scraping, auto-recheck, LLM KB reseed, license expiry reminders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Complete rewrite of 10 email templates with monochrome design system, shared HTML wrapper, reusable components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in-portal Help &amp; Docs system at /help with 10 section pages + FAQ, role-filtered server-side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Versioning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Added rule versioning: version, framework, regulation_status columns on ComplianceRule. RegulationStatus enum: Draft/Final/Effective/Superseded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Licensing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FSSAI Licensing Amendment 2026 support: perpetual license validity, updated turnover thresholds, street vendor exemption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Added 11 new ingredients: 9 banned (aristolochic acid, ephedra, kava, etc.) + 2 approved (Vitamin K2 MK-7, MK-4)</w:t>
            </w:r>
          </w:p>
        </w:tc>
      </w:tr>
      <w:tr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PRD</w:t>
            </w:r>
          </w:p>
        </w:tc>
        <w:tc>
          <w:tcPr>
            <w:tcW w:type="dxa" w:w="75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sections: Customer Onboarding Workflows (6), User Scenarios (6), Non-Functional Requirements, expanded Permission Matrix</w:t>
            </w:r>
          </w:p>
        </w:tc>
      </w:tr>
    </w:tbl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A3A3A3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A3A3"/>
        <w:sz w:val="16"/>
        <w:szCs w:val="16"/>
      </w:rPr>
      <w:t xml:space="preserve">Page </w:t>
    </w:r>
    <w:r>
      <w:rPr>
        <w:rFonts w:ascii="Arial" w:cs="Arial" w:eastAsia="Arial" w:hAnsi="Arial"/>
        <w:color w:val="A3A3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3A3A3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A3A3A3"/>
        <w:sz w:val="16"/>
        <w:szCs w:val="16"/>
      </w:rPr>
      <w:t xml:space="preserve">RegBite — Product Requirements Document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2026-03-27T19:11:48.559Z</dcterms:created>
  <dcterms:modified xsi:type="dcterms:W3CDTF">2026-03-27T19:11:48.560Z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