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333333"/>
          <w:sz w:val="36"/>
          <w:szCs w:val="36"/>
        </w:rPr>
      </w:pPr>
      <w:bookmarkStart w:colFirst="0" w:colLast="0" w:name="_piuy9myep5w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3"/>
          <w:szCs w:val="33"/>
          <w:rtl w:val="0"/>
        </w:rPr>
        <w:t xml:space="preserve">Cybersecurity Basics 1 Project, Rubric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333333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0"/>
          <w:szCs w:val="30"/>
          <w:rtl w:val="0"/>
        </w:rPr>
        <w:t xml:space="preserve">Develop a Comprehensive Security Policy</w:t>
      </w:r>
    </w:p>
    <w:p w:rsidR="00000000" w:rsidDel="00000000" w:rsidP="00000000" w:rsidRDefault="00000000" w:rsidRPr="00000000" w14:paraId="00000004">
      <w:p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line="288" w:lineRule="auto"/>
        <w:rPr>
          <w:rFonts w:ascii="Roboto" w:cs="Roboto" w:eastAsia="Roboto" w:hAnsi="Roboto"/>
          <w:color w:val="333333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333333"/>
          <w:sz w:val="27"/>
          <w:szCs w:val="27"/>
          <w:rtl w:val="0"/>
        </w:rPr>
        <w:t xml:space="preserve">Submit a security policy document outlining at least 3 key security Rules/Guidelines, an incident response plan detailing steps to be taken in case of a security breach and a section explaining how these policies and procedures maintain the CIA Triad</w:t>
      </w:r>
    </w:p>
    <w:p w:rsidR="00000000" w:rsidDel="00000000" w:rsidP="00000000" w:rsidRDefault="00000000" w:rsidRPr="00000000" w14:paraId="00000005">
      <w:p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line="288" w:lineRule="auto"/>
        <w:rPr>
          <w:rFonts w:ascii="Roboto" w:cs="Roboto" w:eastAsia="Roboto" w:hAnsi="Roboto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after="80" w:before="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rkodtz904yvp" w:id="1"/>
      <w:bookmarkEnd w:id="1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Comprehensive Information Security Policy</w:t>
      </w:r>
    </w:p>
    <w:p w:rsidR="00000000" w:rsidDel="00000000" w:rsidP="00000000" w:rsidRDefault="00000000" w:rsidRPr="00000000" w14:paraId="00000007">
      <w:p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after="240" w:lineRule="auto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This document establishes the official security rules, breach response protocols, and strategic alignment required to protect organizational assets. Compliance with this policy is mandatory for all employees, contractors, and third-party partners.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before="0" w:lineRule="auto"/>
        <w:rPr>
          <w:b w:val="1"/>
          <w:bCs w:val="1"/>
          <w:color w:val="333333"/>
          <w:sz w:val="26"/>
          <w:szCs w:val="26"/>
        </w:rPr>
      </w:pPr>
      <w:bookmarkStart w:colFirst="0" w:colLast="0" w:name="_ht1rkofifz3n" w:id="2"/>
      <w:bookmarkEnd w:id="2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Key Security Guidelines &amp; Rules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Access Control &amp; Multi-Factor Authentication (MFA)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after="0" w:afterAutospacing="0" w:lineRule="auto"/>
        <w:ind w:left="1440" w:hanging="360"/>
        <w:rPr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Rule: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 Access to systems and data is granted on the </w:t>
      </w: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Principle of Least Privilege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 (users receive only the access necessary to perform their role).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after="0" w:afterAutospacing="0" w:lineRule="auto"/>
        <w:ind w:left="1440" w:hanging="360"/>
        <w:rPr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Guideline: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 Multi-Factor Authentication (MFA) is strictly required for all corporate accounts, VPNs, and cloud application access. Passwords must be at least 14 characters long and utilize a combination of letters, numbers, and special characters.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Data Encryption &amp; Handling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after="0" w:afterAutospacing="0" w:lineRule="auto"/>
        <w:ind w:left="1440" w:hanging="360"/>
        <w:rPr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Rule: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 All sensitive, confidential, and proprietary data must be encrypted </w:t>
      </w: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at rest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 (using AES-256 encryption) and </w:t>
      </w: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in transit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 (using TLS 1.3 or higher).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after="0" w:afterAutospacing="0" w:lineRule="auto"/>
        <w:ind w:left="1440" w:hanging="360"/>
        <w:rPr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Guideline: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 Employees are prohibited from storing organizational data on unapproved personal devices (BYOD) or transferring sensitive files via unencrypted external media (e.g., standard USB drives) or unsecured personal file-sharing services.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Patch Management &amp; Endpoint Protection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after="0" w:afterAutospacing="0" w:lineRule="auto"/>
        <w:ind w:left="1440" w:hanging="360"/>
        <w:rPr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Rule: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 All corporate-managed devices must run organizationally approved Endpoint Detection and Response (EDR) software and maintain continuous connectivity to patch management systems.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after="240" w:lineRule="auto"/>
        <w:ind w:left="1440" w:hanging="360"/>
        <w:rPr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Guideline: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 Critical security patches issued by vendor advisories must be tested and applied within 72 hours of release. High-risk vulnerability patches must be deployed within 14 days.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before="0" w:lineRule="auto"/>
        <w:rPr>
          <w:b w:val="1"/>
          <w:bCs w:val="1"/>
          <w:color w:val="333333"/>
          <w:sz w:val="26"/>
          <w:szCs w:val="26"/>
        </w:rPr>
      </w:pPr>
      <w:bookmarkStart w:colFirst="0" w:colLast="0" w:name="_611mi1w2srcd" w:id="3"/>
      <w:bookmarkEnd w:id="3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Incident Response Plan (IRP)</w:t>
      </w:r>
    </w:p>
    <w:p w:rsidR="00000000" w:rsidDel="00000000" w:rsidP="00000000" w:rsidRDefault="00000000" w:rsidRPr="00000000" w14:paraId="00000013">
      <w:p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after="240" w:lineRule="auto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In the event of a suspected or confirmed security breach, the organization follows a structured six-phase incident response process:</w:t>
      </w:r>
    </w:p>
    <w:p w:rsidR="00000000" w:rsidDel="00000000" w:rsidP="00000000" w:rsidRDefault="00000000" w:rsidRPr="00000000" w14:paraId="00000014">
      <w:p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line="288" w:lineRule="auto"/>
        <w:rPr>
          <w:color w:val="333333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7"/>
          <w:szCs w:val="27"/>
          <w:rtl w:val="0"/>
        </w:rPr>
        <w:t xml:space="preserve">[1. Preparation] ➔ [2. Identification] ➔ [3. Containment] ➔ [4. Eradication] ➔ [5. Recovery] ➔ [6. Lessons Learned]</w:t>
      </w:r>
    </w:p>
    <w:p w:rsidR="00000000" w:rsidDel="00000000" w:rsidP="00000000" w:rsidRDefault="00000000" w:rsidRPr="00000000" w14:paraId="00000015">
      <w:p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rPr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Phase 1: Preparation: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 Maintain and update security tools, train the Incident Response Team (IRT), conduct regular threat hunting, and perform offline data backups.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Phase 2: Identification: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 Detect and analyze security anomalies using SIEM alerts, automated EDR signals, or user reports. The IRT assesses the scope, severity, and impacted systems to officially declare an incident.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Phase 3: Containment: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after="0" w:afterAutospacing="0" w:lineRule="auto"/>
        <w:ind w:left="1440" w:hanging="360"/>
        <w:rPr>
          <w:color w:val="333333"/>
          <w:sz w:val="27"/>
          <w:szCs w:val="27"/>
        </w:rPr>
      </w:pPr>
      <w:r w:rsidDel="00000000" w:rsidR="00000000" w:rsidRPr="00000000">
        <w:rPr>
          <w:i w:val="1"/>
          <w:iCs w:val="1"/>
          <w:color w:val="333333"/>
          <w:sz w:val="27"/>
          <w:szCs w:val="27"/>
          <w:rtl w:val="0"/>
        </w:rPr>
        <w:t xml:space="preserve">Short-Term: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 Isolate affected systems from the network (disconnect physical cables/Wi-Fi or apply network segmentation) to block lateral movement.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after="0" w:afterAutospacing="0" w:lineRule="auto"/>
        <w:ind w:left="1440" w:hanging="360"/>
        <w:rPr>
          <w:color w:val="333333"/>
          <w:sz w:val="27"/>
          <w:szCs w:val="27"/>
        </w:rPr>
      </w:pPr>
      <w:r w:rsidDel="00000000" w:rsidR="00000000" w:rsidRPr="00000000">
        <w:rPr>
          <w:i w:val="1"/>
          <w:iCs w:val="1"/>
          <w:color w:val="333333"/>
          <w:sz w:val="27"/>
          <w:szCs w:val="27"/>
          <w:rtl w:val="0"/>
        </w:rPr>
        <w:t xml:space="preserve">Long-Term: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 Apply temporary firewall blocks, disable compromised user credentials, and capture volatile memory dumps for forensic analysis.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Phase 4: Eradication: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 Locate and eliminate the root cause of the breach. This includes removing malware, deleting unauthorized registry entries/backdoors, revoking compromised access keys, and patching the initial entry vulnerability.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Phase 5: Recovery: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 Restore systems to operational status using clean, verified backups. Reconnect devices to the production network, force account password resets, and run high-frequency monitoring on impacted network segments to verify stability.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after="240" w:lineRule="auto"/>
        <w:ind w:left="720" w:hanging="360"/>
        <w:rPr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Phase 6: Lessons Learned: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 Within 14 days of incident resolution, conduct a post-incident review to document the root cause, evaluate response efficiency, identify policy gaps, and update controls to prevent recurrence.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before="0" w:lineRule="auto"/>
        <w:rPr>
          <w:b w:val="1"/>
          <w:bCs w:val="1"/>
          <w:color w:val="333333"/>
          <w:sz w:val="26"/>
          <w:szCs w:val="26"/>
        </w:rPr>
      </w:pPr>
      <w:bookmarkStart w:colFirst="0" w:colLast="0" w:name="_akzaatbwfdf2" w:id="4"/>
      <w:bookmarkEnd w:id="4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Alignment with the CIA Triad</w:t>
      </w:r>
    </w:p>
    <w:p w:rsidR="00000000" w:rsidDel="00000000" w:rsidP="00000000" w:rsidRDefault="00000000" w:rsidRPr="00000000" w14:paraId="0000001F">
      <w:p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after="240" w:lineRule="auto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This security policy directly supports the core pillars of the </w:t>
      </w: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CIA Triad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 (Confidentiality, Integrity, and Availability):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2475"/>
        <w:gridCol w:w="4275"/>
        <w:tblGridChange w:id="0">
          <w:tblGrid>
            <w:gridCol w:w="2040"/>
            <w:gridCol w:w="2475"/>
            <w:gridCol w:w="427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7"/>
                <w:szCs w:val="27"/>
                <w:rtl w:val="0"/>
              </w:rPr>
              <w:t xml:space="preserve">CIA 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7"/>
                <w:szCs w:val="27"/>
                <w:rtl w:val="0"/>
              </w:rPr>
              <w:t xml:space="preserve">Policy &amp; Response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7"/>
                <w:szCs w:val="27"/>
                <w:rtl w:val="0"/>
              </w:rPr>
              <w:t xml:space="preserve">Operational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7"/>
                <w:szCs w:val="27"/>
                <w:rtl w:val="0"/>
              </w:rPr>
              <w:t xml:space="preserve">Confidentiality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color w:val="333333"/>
                <w:sz w:val="27"/>
                <w:szCs w:val="27"/>
                <w:rtl w:val="0"/>
              </w:rPr>
              <w:t xml:space="preserve">• Least privilege access policies</w:t>
            </w:r>
          </w:p>
          <w:p w:rsidR="00000000" w:rsidDel="00000000" w:rsidP="00000000" w:rsidRDefault="00000000" w:rsidRPr="00000000" w14:paraId="00000025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color w:val="333333"/>
                <w:sz w:val="27"/>
                <w:szCs w:val="27"/>
                <w:rtl w:val="0"/>
              </w:rPr>
              <w:t xml:space="preserve">• MFA enforcement</w:t>
            </w:r>
          </w:p>
          <w:p w:rsidR="00000000" w:rsidDel="00000000" w:rsidP="00000000" w:rsidRDefault="00000000" w:rsidRPr="00000000" w14:paraId="00000027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color w:val="333333"/>
                <w:sz w:val="27"/>
                <w:szCs w:val="27"/>
                <w:rtl w:val="0"/>
              </w:rPr>
              <w:t xml:space="preserve">• Full-disk and in-transit encryption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color w:val="333333"/>
                <w:sz w:val="27"/>
                <w:szCs w:val="27"/>
                <w:rtl w:val="0"/>
              </w:rPr>
              <w:t xml:space="preserve">Ensures that sensitive system data is accessible only to authorized personnel and remains unreadable to unauthorized external threat actors or malicious insiders.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7"/>
                <w:szCs w:val="27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color w:val="333333"/>
                <w:sz w:val="27"/>
                <w:szCs w:val="27"/>
                <w:rtl w:val="0"/>
              </w:rPr>
              <w:t xml:space="preserve">• EDR monitoring and patch management</w:t>
            </w:r>
          </w:p>
          <w:p w:rsidR="00000000" w:rsidDel="00000000" w:rsidP="00000000" w:rsidRDefault="00000000" w:rsidRPr="00000000" w14:paraId="0000002C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color w:val="333333"/>
                <w:sz w:val="27"/>
                <w:szCs w:val="27"/>
                <w:rtl w:val="0"/>
              </w:rPr>
              <w:t xml:space="preserve">• Forensic analysis during incident response</w:t>
            </w:r>
          </w:p>
          <w:p w:rsidR="00000000" w:rsidDel="00000000" w:rsidP="00000000" w:rsidRDefault="00000000" w:rsidRPr="00000000" w14:paraId="0000002E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color w:val="333333"/>
                <w:sz w:val="27"/>
                <w:szCs w:val="27"/>
                <w:rtl w:val="0"/>
              </w:rPr>
              <w:t xml:space="preserve">• Containment and eradication protocols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color w:val="333333"/>
                <w:sz w:val="27"/>
                <w:szCs w:val="27"/>
                <w:rtl w:val="0"/>
              </w:rPr>
              <w:t xml:space="preserve">Prevents unauthorized modification, tampering, or destruction of organizational data and system configurations by malware or attackers.</w:t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7"/>
                <w:szCs w:val="27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color w:val="333333"/>
                <w:sz w:val="27"/>
                <w:szCs w:val="27"/>
                <w:rtl w:val="0"/>
              </w:rPr>
              <w:t xml:space="preserve">• Structured system recovery from clean offline backups</w:t>
            </w:r>
          </w:p>
          <w:p w:rsidR="00000000" w:rsidDel="00000000" w:rsidP="00000000" w:rsidRDefault="00000000" w:rsidRPr="00000000" w14:paraId="00000033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color w:val="333333"/>
                <w:sz w:val="27"/>
                <w:szCs w:val="27"/>
                <w:rtl w:val="0"/>
              </w:rPr>
              <w:t xml:space="preserve">• Rapid network isolation to limit breach blast radius</w:t>
            </w:r>
          </w:p>
          <w:p w:rsidR="00000000" w:rsidDel="00000000" w:rsidP="00000000" w:rsidRDefault="00000000" w:rsidRPr="00000000" w14:paraId="00000035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color w:val="333333"/>
                <w:sz w:val="27"/>
                <w:szCs w:val="27"/>
                <w:rtl w:val="0"/>
              </w:rPr>
              <w:t xml:space="preserve">• Post-incident review and system hardening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1" w:sz="0" w:val="none"/>
                <w:left w:color="auto" w:space="3" w:sz="0" w:val="none"/>
                <w:bottom w:color="auto" w:space="5" w:sz="0" w:val="none"/>
                <w:right w:color="auto" w:space="3" w:sz="0" w:val="none"/>
              </w:pBdr>
              <w:shd w:fill="ffffff" w:val="clear"/>
              <w:spacing w:after="480" w:lineRule="auto"/>
              <w:rPr>
                <w:color w:val="333333"/>
                <w:sz w:val="27"/>
                <w:szCs w:val="27"/>
              </w:rPr>
            </w:pPr>
            <w:r w:rsidDel="00000000" w:rsidR="00000000" w:rsidRPr="00000000">
              <w:rPr>
                <w:color w:val="333333"/>
                <w:sz w:val="27"/>
                <w:szCs w:val="27"/>
                <w:rtl w:val="0"/>
              </w:rPr>
              <w:t xml:space="preserve">Minimizes operational downtime during a security breach and ensures business systems and data remain reliably accessible to authorized users when needed.</w:t>
            </w:r>
          </w:p>
        </w:tc>
      </w:tr>
    </w:tbl>
    <w:p w:rsidR="00000000" w:rsidDel="00000000" w:rsidP="00000000" w:rsidRDefault="00000000" w:rsidRPr="00000000" w14:paraId="00000038">
      <w:p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line="288" w:lineRule="auto"/>
        <w:rPr>
          <w:rFonts w:ascii="Roboto" w:cs="Roboto" w:eastAsia="Roboto" w:hAnsi="Roboto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