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6B9D8" w14:textId="6081E187" w:rsidR="00AF1919" w:rsidRDefault="00970711" w:rsidP="006120D9">
      <w:pPr>
        <w:jc w:val="center"/>
        <w:rPr>
          <w:b/>
        </w:rPr>
      </w:pPr>
      <w:r>
        <w:rPr>
          <w:b/>
        </w:rPr>
        <w:t>Molecular Population Genetics</w:t>
      </w:r>
      <w:r w:rsidR="00795BF2">
        <w:rPr>
          <w:b/>
        </w:rPr>
        <w:t xml:space="preserve"> 2</w:t>
      </w:r>
      <w:r w:rsidR="00D2002A">
        <w:rPr>
          <w:b/>
        </w:rPr>
        <w:t xml:space="preserve"> </w:t>
      </w:r>
      <w:r w:rsidR="006120D9">
        <w:rPr>
          <w:b/>
        </w:rPr>
        <w:t>lab</w:t>
      </w:r>
    </w:p>
    <w:p w14:paraId="4B144692" w14:textId="77777777" w:rsidR="006120D9" w:rsidRDefault="006120D9" w:rsidP="006120D9">
      <w:pPr>
        <w:jc w:val="center"/>
        <w:rPr>
          <w:b/>
        </w:rPr>
      </w:pPr>
    </w:p>
    <w:p w14:paraId="5FD4C295" w14:textId="3D42D379" w:rsidR="00864F2C" w:rsidRDefault="00864F2C" w:rsidP="00864F2C">
      <w:pPr>
        <w:rPr>
          <w:color w:val="000000"/>
          <w:sz w:val="27"/>
          <w:szCs w:val="27"/>
        </w:rPr>
      </w:pPr>
      <w:r>
        <w:rPr>
          <w:i/>
          <w:iCs/>
        </w:rPr>
        <w:t>This lab follows up on previous</w:t>
      </w:r>
      <w:r w:rsidR="004A2196">
        <w:rPr>
          <w:i/>
          <w:iCs/>
        </w:rPr>
        <w:t xml:space="preserve"> lectures and a</w:t>
      </w:r>
      <w:bookmarkStart w:id="0" w:name="_GoBack"/>
      <w:bookmarkEnd w:id="0"/>
      <w:r>
        <w:rPr>
          <w:i/>
          <w:iCs/>
        </w:rPr>
        <w:t xml:space="preserve"> lab that introduced coalescence simulation and the estimation of Pi and </w:t>
      </w:r>
      <w:proofErr w:type="spellStart"/>
      <w:r>
        <w:rPr>
          <w:i/>
          <w:iCs/>
        </w:rPr>
        <w:t>ThetaW</w:t>
      </w:r>
      <w:proofErr w:type="spellEnd"/>
      <w:r>
        <w:rPr>
          <w:i/>
          <w:iCs/>
        </w:rPr>
        <w:t xml:space="preserve"> for a toy dataset from </w:t>
      </w:r>
      <w:proofErr w:type="spellStart"/>
      <w:r>
        <w:rPr>
          <w:i/>
          <w:iCs/>
        </w:rPr>
        <w:t>Hartl</w:t>
      </w:r>
      <w:proofErr w:type="spellEnd"/>
      <w:r>
        <w:rPr>
          <w:i/>
          <w:iCs/>
        </w:rPr>
        <w:t xml:space="preserve"> and Clark 2003 and for HCov-19 on Feb 28th. A couple of days before this</w:t>
      </w:r>
      <w:r w:rsidR="004A2196">
        <w:rPr>
          <w:i/>
          <w:iCs/>
        </w:rPr>
        <w:t xml:space="preserve"> March 6th</w:t>
      </w:r>
      <w:r>
        <w:rPr>
          <w:i/>
          <w:iCs/>
        </w:rPr>
        <w:t xml:space="preserve"> lab, students read Trevor Bedford’s blogpost on the phylodynamic estimation of incidence and prevalence of </w:t>
      </w:r>
      <w:proofErr w:type="spellStart"/>
      <w:r>
        <w:rPr>
          <w:i/>
          <w:iCs/>
        </w:rPr>
        <w:t>ncov</w:t>
      </w:r>
      <w:proofErr w:type="spellEnd"/>
      <w:r>
        <w:rPr>
          <w:i/>
          <w:iCs/>
        </w:rPr>
        <w:t xml:space="preserve"> infections through time at a mirror site (with follow-up discussion):</w:t>
      </w:r>
    </w:p>
    <w:p w14:paraId="1B8C69C9" w14:textId="3D609553" w:rsidR="00864F2C" w:rsidRPr="00864F2C" w:rsidRDefault="00864F2C" w:rsidP="006120D9">
      <w:pPr>
        <w:rPr>
          <w:i/>
          <w:iCs/>
        </w:rPr>
      </w:pPr>
      <w:hyperlink r:id="rId8" w:history="1">
        <w:r w:rsidRPr="00864F2C">
          <w:rPr>
            <w:rStyle w:val="Hyperlink"/>
            <w:i/>
            <w:iCs/>
          </w:rPr>
          <w:t>http://virological.org/t/phylodynamic-estimation-of-incidence-and-prevalence-of-novel-coronavirus-ncov-infections-through-time/391/4</w:t>
        </w:r>
      </w:hyperlink>
    </w:p>
    <w:p w14:paraId="4E9D6A08" w14:textId="3D4D5CAE" w:rsidR="00864F2C" w:rsidRPr="00864F2C" w:rsidRDefault="00864F2C" w:rsidP="006120D9">
      <w:pPr>
        <w:rPr>
          <w:i/>
          <w:iCs/>
        </w:rPr>
      </w:pPr>
      <w:r w:rsidRPr="00864F2C">
        <w:rPr>
          <w:i/>
          <w:iCs/>
        </w:rPr>
        <w:t xml:space="preserve">And Andrew </w:t>
      </w:r>
      <w:proofErr w:type="spellStart"/>
      <w:r w:rsidRPr="00864F2C">
        <w:rPr>
          <w:i/>
          <w:iCs/>
        </w:rPr>
        <w:t>Rambaut’s</w:t>
      </w:r>
      <w:proofErr w:type="spellEnd"/>
      <w:r w:rsidRPr="00864F2C">
        <w:rPr>
          <w:i/>
          <w:iCs/>
        </w:rPr>
        <w:t xml:space="preserve"> blog estimating the MRCA:</w:t>
      </w:r>
    </w:p>
    <w:p w14:paraId="432AE933" w14:textId="455763D9" w:rsidR="00864F2C" w:rsidRPr="00864F2C" w:rsidRDefault="00864F2C" w:rsidP="006120D9">
      <w:pPr>
        <w:rPr>
          <w:i/>
          <w:iCs/>
        </w:rPr>
      </w:pPr>
      <w:hyperlink r:id="rId9" w:history="1">
        <w:r w:rsidRPr="00864F2C">
          <w:rPr>
            <w:rStyle w:val="Hyperlink"/>
            <w:i/>
            <w:iCs/>
          </w:rPr>
          <w:t>http://virological.org/t/phylodynamic-analysis-129-genomes-24-feb-2020/356</w:t>
        </w:r>
      </w:hyperlink>
    </w:p>
    <w:p w14:paraId="22941330" w14:textId="66F79493" w:rsidR="00864F2C" w:rsidRPr="004A2196" w:rsidRDefault="004A2196" w:rsidP="006120D9">
      <w:pPr>
        <w:rPr>
          <w:i/>
          <w:iCs/>
        </w:rPr>
      </w:pPr>
      <w:r>
        <w:rPr>
          <w:i/>
          <w:iCs/>
        </w:rPr>
        <w:t>The lab allowed 50 minutes for 16 graduate students to work through the exercises (working together in teams if they like), followed up by a “hive mind” discussion of the answers.</w:t>
      </w:r>
    </w:p>
    <w:p w14:paraId="772E5B56" w14:textId="77777777" w:rsidR="004A2196" w:rsidRDefault="004A2196" w:rsidP="006120D9"/>
    <w:p w14:paraId="4CD3CFA0" w14:textId="74BE4A07" w:rsidR="00795BF2" w:rsidRDefault="00846CFD" w:rsidP="006120D9">
      <w:r>
        <w:t>T</w:t>
      </w:r>
      <w:r w:rsidR="00795BF2">
        <w:t>he HCoV-19 pandemic is spreading across the globe, and today</w:t>
      </w:r>
      <w:r>
        <w:t xml:space="preserve"> (March 6</w:t>
      </w:r>
      <w:r w:rsidRPr="00846CFD">
        <w:rPr>
          <w:vertAlign w:val="superscript"/>
        </w:rPr>
        <w:t>th</w:t>
      </w:r>
      <w:r>
        <w:t xml:space="preserve"> 2020)</w:t>
      </w:r>
      <w:r w:rsidR="00795BF2">
        <w:t xml:space="preserve"> the number of cases of infection passed 100,000 (</w:t>
      </w:r>
      <w:hyperlink r:id="rId10" w:anchor="link-5f7cc0ce" w:history="1">
        <w:r w:rsidR="00795BF2" w:rsidRPr="002001F1">
          <w:rPr>
            <w:rStyle w:val="Hyperlink"/>
          </w:rPr>
          <w:t>https://www.nytimes.com/2020/03/06/world/coronavirus-news.html#link-5f7cc0ce</w:t>
        </w:r>
      </w:hyperlink>
      <w:r w:rsidR="00795BF2">
        <w:t>). One of the ways in which researchers estimate the number of</w:t>
      </w:r>
      <w:r>
        <w:t xml:space="preserve"> current</w:t>
      </w:r>
      <w:r w:rsidR="00795BF2">
        <w:t xml:space="preserve"> cases is by genome sequence analysis. </w:t>
      </w:r>
      <w:r w:rsidR="000B7772">
        <w:t>Important</w:t>
      </w:r>
      <w:r w:rsidR="00795BF2">
        <w:t xml:space="preserve"> tools for</w:t>
      </w:r>
      <w:r w:rsidR="000B7772">
        <w:t xml:space="preserve"> </w:t>
      </w:r>
      <w:proofErr w:type="gramStart"/>
      <w:r w:rsidR="000B7772">
        <w:t>these</w:t>
      </w:r>
      <w:r w:rsidR="00795BF2">
        <w:t xml:space="preserve"> DNA sequence analysis</w:t>
      </w:r>
      <w:proofErr w:type="gramEnd"/>
      <w:r w:rsidR="00795BF2">
        <w:t xml:space="preserve"> are phylogenetics and the application of coalescent theory.</w:t>
      </w:r>
      <w:r>
        <w:t xml:space="preserve"> This type of analysis focuses on estimating the current and recent effective population size</w:t>
      </w:r>
      <w:r w:rsidR="00EB223A">
        <w:t xml:space="preserve"> (N</w:t>
      </w:r>
      <w:r w:rsidR="00EB223A">
        <w:rPr>
          <w:vertAlign w:val="subscript"/>
        </w:rPr>
        <w:t>e</w:t>
      </w:r>
      <w:r w:rsidR="00EB223A">
        <w:t>)</w:t>
      </w:r>
      <w:r>
        <w:t xml:space="preserve"> of the </w:t>
      </w:r>
      <w:proofErr w:type="spellStart"/>
      <w:r>
        <w:t>HCoV</w:t>
      </w:r>
      <w:proofErr w:type="spellEnd"/>
      <w:r>
        <w:t xml:space="preserve"> and is different than the extremely useful ecological models that can predict the effects of changing behavior (check out the UGA-based site: </w:t>
      </w:r>
      <w:r w:rsidRPr="00846CFD">
        <w:t>http://2019-coronavirus-tracker.com</w:t>
      </w:r>
      <w:r>
        <w:t>).</w:t>
      </w:r>
      <w:r w:rsidR="00795BF2">
        <w:t xml:space="preserve"> </w:t>
      </w:r>
    </w:p>
    <w:p w14:paraId="12F0B8CD" w14:textId="77777777" w:rsidR="00795BF2" w:rsidRDefault="00795BF2" w:rsidP="006120D9"/>
    <w:p w14:paraId="311BA21A" w14:textId="729FED42" w:rsidR="00795BF2" w:rsidRDefault="00EB223A" w:rsidP="006120D9">
      <w:r w:rsidRPr="00FA216F">
        <w:rPr>
          <w:b/>
          <w:bCs/>
        </w:rPr>
        <w:t>Disclaimer:</w:t>
      </w:r>
      <w:r>
        <w:t xml:space="preserve"> I work on a species with relatively constant N</w:t>
      </w:r>
      <w:r>
        <w:rPr>
          <w:vertAlign w:val="subscript"/>
        </w:rPr>
        <w:t>e</w:t>
      </w:r>
      <w:r>
        <w:t xml:space="preserve">, do not work on viruses and am not a </w:t>
      </w:r>
      <w:proofErr w:type="spellStart"/>
      <w:r>
        <w:t>p</w:t>
      </w:r>
      <w:r w:rsidR="00795BF2">
        <w:t>hylodynamics</w:t>
      </w:r>
      <w:proofErr w:type="spellEnd"/>
      <w:r w:rsidR="00795BF2">
        <w:t xml:space="preserve"> expert</w:t>
      </w:r>
      <w:r>
        <w:t>. The purpose of this lab is to learn more about coalescent theory and to think about the assumptions in its most basic form. The experts are using much more sophisticated analyses</w:t>
      </w:r>
      <w:r w:rsidR="000B7772">
        <w:t xml:space="preserve"> (with fewer known violations of assumptions). W</w:t>
      </w:r>
      <w:r>
        <w:t>e are not aiming to make predictions about HCoV-19</w:t>
      </w:r>
      <w:r w:rsidR="000B7772">
        <w:t xml:space="preserve">. </w:t>
      </w:r>
    </w:p>
    <w:p w14:paraId="3B5E2A89" w14:textId="77777777" w:rsidR="00795BF2" w:rsidRDefault="00795BF2" w:rsidP="006120D9"/>
    <w:p w14:paraId="6B7BABCA" w14:textId="21AC1E0D" w:rsidR="006B1C2F" w:rsidRDefault="000B7772" w:rsidP="006120D9">
      <w:r>
        <w:t>The suggested reading for this week was a blog on</w:t>
      </w:r>
      <w:r w:rsidR="006B1C2F">
        <w:t xml:space="preserve"> Trevor Bedford’s use of a </w:t>
      </w:r>
      <w:proofErr w:type="spellStart"/>
      <w:r w:rsidR="006B1C2F">
        <w:t>phylodynamics</w:t>
      </w:r>
      <w:proofErr w:type="spellEnd"/>
      <w:r>
        <w:t xml:space="preserve"> analysis </w:t>
      </w:r>
      <w:r w:rsidR="006B1C2F">
        <w:t>to estimate the number of active cases of HCoV-19 on February 8</w:t>
      </w:r>
      <w:r w:rsidR="006B1C2F" w:rsidRPr="006B1C2F">
        <w:rPr>
          <w:vertAlign w:val="superscript"/>
        </w:rPr>
        <w:t>th</w:t>
      </w:r>
      <w:r w:rsidR="006B1C2F">
        <w:t xml:space="preserve"> and the total number of infections since the start of the epidemic.</w:t>
      </w:r>
      <w:r w:rsidR="00724D12">
        <w:t xml:space="preserve"> The link that includes that post with all the data he was permitted to share is on </w:t>
      </w:r>
      <w:proofErr w:type="spellStart"/>
      <w:r w:rsidR="00724D12">
        <w:t>github</w:t>
      </w:r>
      <w:proofErr w:type="spellEnd"/>
      <w:r w:rsidR="00724D12">
        <w:t xml:space="preserve">: </w:t>
      </w:r>
      <w:hyperlink r:id="rId11" w:history="1">
        <w:r w:rsidR="00724D12" w:rsidRPr="00724D12">
          <w:rPr>
            <w:rStyle w:val="Hyperlink"/>
          </w:rPr>
          <w:t>https://github.com/blab/ncov-phylodynamics</w:t>
        </w:r>
      </w:hyperlink>
      <w:r w:rsidR="00724D12">
        <w:t>.</w:t>
      </w:r>
      <w:r w:rsidR="006B1C2F">
        <w:t xml:space="preserve"> In this lab we estimate some of the same parameters from this analysis </w:t>
      </w:r>
      <w:r w:rsidR="006B1C2F" w:rsidRPr="006B1C2F">
        <w:rPr>
          <w:b/>
          <w:bCs/>
        </w:rPr>
        <w:t>in a much cruder way</w:t>
      </w:r>
      <w:r w:rsidR="006B1C2F">
        <w:rPr>
          <w:b/>
          <w:bCs/>
        </w:rPr>
        <w:t xml:space="preserve"> </w:t>
      </w:r>
      <w:r w:rsidR="006B1C2F">
        <w:t xml:space="preserve">that includes violation of assumptions. Unfortunately, there is no time to develop a more sophisticated lab that would require analysis of the raw DNA sequences. </w:t>
      </w:r>
    </w:p>
    <w:p w14:paraId="2A43F954" w14:textId="77777777" w:rsidR="006B1C2F" w:rsidRDefault="006B1C2F" w:rsidP="006120D9"/>
    <w:p w14:paraId="386A42C8" w14:textId="508F8CED" w:rsidR="006B1C2F" w:rsidRPr="006B1C2F" w:rsidRDefault="006B1C2F" w:rsidP="006120D9">
      <w:r>
        <w:t>In last week’s lab you estimated Watterson’s Theta (</w:t>
      </w:r>
      <w:proofErr w:type="spellStart"/>
      <w:r>
        <w:t>ThetaW</w:t>
      </w:r>
      <w:proofErr w:type="spellEnd"/>
      <w:r>
        <w:t xml:space="preserve">) using </w:t>
      </w:r>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a</m:t>
            </m:r>
          </m:den>
        </m:f>
      </m:oMath>
      <w:r>
        <w:rPr>
          <w:rFonts w:eastAsiaTheme="minorEastAsia"/>
        </w:rPr>
        <w:t xml:space="preserve"> using the </w:t>
      </w:r>
      <w:r>
        <w:t xml:space="preserve">number of segregating sites (S) in the dataset and the number of sequences (n). In </w:t>
      </w:r>
      <w:proofErr w:type="gramStart"/>
      <w:r>
        <w:t>addition</w:t>
      </w:r>
      <w:proofErr w:type="gramEnd"/>
      <w:r>
        <w:t xml:space="preserve"> you estimated Theta as </w:t>
      </w:r>
      <m:oMath>
        <m:r>
          <m:rPr>
            <m:sty m:val="p"/>
          </m:rPr>
          <w:rPr>
            <w:rFonts w:ascii="Cambria Math" w:hAnsi="Cambria Math"/>
          </w:rPr>
          <m:t>Π</m:t>
        </m:r>
      </m:oMath>
      <w:r>
        <w:rPr>
          <w:rFonts w:eastAsiaTheme="minorEastAsia"/>
        </w:rPr>
        <w:t>,</w:t>
      </w:r>
      <w:r>
        <w:t xml:space="preserve"> the average number of pairwise differences. These measures assume constant effective population size</w:t>
      </w:r>
      <w:r w:rsidR="00724D12">
        <w:t xml:space="preserve"> and in a haploid Theta = 2</w:t>
      </w:r>
      <w:r w:rsidR="00724D12" w:rsidRPr="00724D12">
        <w:t xml:space="preserve"> </w:t>
      </w:r>
      <w:r w:rsidR="00724D12">
        <w:t>N</w:t>
      </w:r>
      <w:r w:rsidR="00724D12">
        <w:rPr>
          <w:vertAlign w:val="subscript"/>
        </w:rPr>
        <w:t>e</w:t>
      </w:r>
      <m:oMath>
        <m:r>
          <w:rPr>
            <w:rFonts w:ascii="Cambria Math" w:eastAsiaTheme="minorEastAsia" w:hAnsi="Cambria Math"/>
          </w:rPr>
          <m:t>μ</m:t>
        </m:r>
      </m:oMath>
      <w:r w:rsidR="00724D12">
        <w:rPr>
          <w:rFonts w:eastAsiaTheme="minorEastAsia"/>
        </w:rPr>
        <w:t>.</w:t>
      </w:r>
      <w:r w:rsidR="00724D12">
        <w:t xml:space="preserve"> </w:t>
      </w:r>
      <w:r>
        <w:t>We know that N</w:t>
      </w:r>
      <w:r>
        <w:rPr>
          <w:vertAlign w:val="subscript"/>
        </w:rPr>
        <w:t xml:space="preserve">e </w:t>
      </w:r>
      <w:r>
        <w:t xml:space="preserve">for </w:t>
      </w:r>
      <w:proofErr w:type="spellStart"/>
      <w:r>
        <w:t>HCoV</w:t>
      </w:r>
      <w:proofErr w:type="spellEnd"/>
      <w:r>
        <w:t xml:space="preserve"> is not constant</w:t>
      </w:r>
      <w:r w:rsidR="00724D12">
        <w:t>, but that the mutation rate (</w:t>
      </w:r>
      <m:oMath>
        <m:r>
          <w:rPr>
            <w:rFonts w:ascii="Cambria Math" w:eastAsiaTheme="minorEastAsia" w:hAnsi="Cambria Math"/>
          </w:rPr>
          <m:t>μ</m:t>
        </m:r>
      </m:oMath>
      <w:r w:rsidR="00724D12">
        <w:rPr>
          <w:rFonts w:eastAsiaTheme="minorEastAsia"/>
        </w:rPr>
        <w:t>) probably is</w:t>
      </w:r>
      <w:r>
        <w:t xml:space="preserve">. </w:t>
      </w:r>
      <w:r w:rsidR="00724D12" w:rsidRPr="00724D12">
        <w:rPr>
          <w:highlight w:val="cyan"/>
        </w:rPr>
        <w:t>W</w:t>
      </w:r>
      <w:r w:rsidRPr="00724D12">
        <w:rPr>
          <w:highlight w:val="cyan"/>
        </w:rPr>
        <w:t>hich of the two estimators</w:t>
      </w:r>
      <w:r w:rsidR="00724D12" w:rsidRPr="00724D12">
        <w:rPr>
          <w:highlight w:val="cyan"/>
        </w:rPr>
        <w:t xml:space="preserve"> (</w:t>
      </w:r>
      <w:proofErr w:type="spellStart"/>
      <w:r w:rsidR="00724D12" w:rsidRPr="00724D12">
        <w:rPr>
          <w:highlight w:val="cyan"/>
        </w:rPr>
        <w:t>ThetaW</w:t>
      </w:r>
      <w:proofErr w:type="spellEnd"/>
      <w:r w:rsidR="00724D12" w:rsidRPr="00724D12">
        <w:rPr>
          <w:highlight w:val="cyan"/>
        </w:rPr>
        <w:t xml:space="preserve"> or</w:t>
      </w:r>
      <m:oMath>
        <m:r>
          <m:rPr>
            <m:sty m:val="p"/>
          </m:rPr>
          <w:rPr>
            <w:rFonts w:ascii="Cambria Math" w:hAnsi="Cambria Math"/>
            <w:highlight w:val="cyan"/>
          </w:rPr>
          <m:t xml:space="preserve"> Π</m:t>
        </m:r>
      </m:oMath>
      <w:r w:rsidR="00724D12" w:rsidRPr="00724D12">
        <w:rPr>
          <w:rFonts w:eastAsiaTheme="minorEastAsia"/>
          <w:highlight w:val="cyan"/>
        </w:rPr>
        <w:t>)</w:t>
      </w:r>
      <w:r w:rsidR="00724D12" w:rsidRPr="00724D12">
        <w:rPr>
          <w:highlight w:val="cyan"/>
        </w:rPr>
        <w:t xml:space="preserve"> </w:t>
      </w:r>
      <w:r w:rsidRPr="00724D12">
        <w:rPr>
          <w:highlight w:val="cyan"/>
        </w:rPr>
        <w:t xml:space="preserve"> is likely closer to the true current </w:t>
      </w:r>
      <w:r w:rsidR="00724D12" w:rsidRPr="00724D12">
        <w:rPr>
          <w:highlight w:val="cyan"/>
        </w:rPr>
        <w:t>enlarged population size?</w:t>
      </w:r>
    </w:p>
    <w:p w14:paraId="11D89E0E" w14:textId="77777777" w:rsidR="004263BD" w:rsidRDefault="004263BD" w:rsidP="006120D9"/>
    <w:p w14:paraId="201D8310" w14:textId="77777777" w:rsidR="00AA2FD7" w:rsidRDefault="00724D12" w:rsidP="006120D9">
      <w:r>
        <w:t xml:space="preserve">We will use </w:t>
      </w:r>
      <w:proofErr w:type="spellStart"/>
      <w:r>
        <w:t>ThetaW</w:t>
      </w:r>
      <w:proofErr w:type="spellEnd"/>
      <w:r>
        <w:t xml:space="preserve"> (</w:t>
      </w:r>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a</m:t>
            </m:r>
          </m:den>
        </m:f>
      </m:oMath>
      <w:r>
        <w:rPr>
          <w:rFonts w:eastAsiaTheme="minorEastAsia"/>
        </w:rPr>
        <w:t xml:space="preserve">) for the estimates in this lab because we do not have access to the sequences for estimating </w:t>
      </w:r>
      <m:oMath>
        <m:r>
          <m:rPr>
            <m:sty m:val="p"/>
          </m:rPr>
          <w:rPr>
            <w:rFonts w:ascii="Cambria Math" w:hAnsi="Cambria Math"/>
          </w:rPr>
          <m:t>Π</m:t>
        </m:r>
      </m:oMath>
      <w:r>
        <w:rPr>
          <w:rFonts w:eastAsiaTheme="minorEastAsia"/>
        </w:rPr>
        <w:t xml:space="preserve">. For our data we will use a </w:t>
      </w:r>
      <w:r w:rsidR="00D31BAF">
        <w:t>f</w:t>
      </w:r>
      <w:r>
        <w:t xml:space="preserve">reeze of the </w:t>
      </w:r>
      <w:r w:rsidR="0066022D">
        <w:t xml:space="preserve">summarized </w:t>
      </w:r>
      <w:proofErr w:type="spellStart"/>
      <w:r w:rsidR="0066022D">
        <w:t>nCoV</w:t>
      </w:r>
      <w:proofErr w:type="spellEnd"/>
      <w:r w:rsidR="0066022D">
        <w:t xml:space="preserve"> genome data</w:t>
      </w:r>
      <w:r w:rsidR="00D31BAF">
        <w:t xml:space="preserve"> </w:t>
      </w:r>
      <w:r w:rsidR="0066022D">
        <w:t>from</w:t>
      </w:r>
      <w:r w:rsidR="00D31BAF">
        <w:t xml:space="preserve"> Feb 7</w:t>
      </w:r>
      <w:r w:rsidR="00D31BAF" w:rsidRPr="00D31BAF">
        <w:rPr>
          <w:vertAlign w:val="superscript"/>
        </w:rPr>
        <w:t>th</w:t>
      </w:r>
      <w:r w:rsidR="00D31BAF">
        <w:t xml:space="preserve"> with 81 genomes (</w:t>
      </w:r>
      <w:hyperlink r:id="rId12" w:history="1">
        <w:r w:rsidR="0066022D" w:rsidRPr="002001F1">
          <w:rPr>
            <w:rStyle w:val="Hyperlink"/>
          </w:rPr>
          <w:t>https://nextstrain.org/ncov/2020-02-10?gmax=5512</w:t>
        </w:r>
      </w:hyperlink>
      <w:r w:rsidR="00D31BAF">
        <w:t>)</w:t>
      </w:r>
      <w:r w:rsidR="0066022D">
        <w:t xml:space="preserve"> </w:t>
      </w:r>
      <w:r w:rsidR="0066022D">
        <w:lastRenderedPageBreak/>
        <w:t xml:space="preserve">because this is close to the </w:t>
      </w:r>
      <w:r w:rsidR="00AA2FD7">
        <w:t>set of sequences used for</w:t>
      </w:r>
      <w:r w:rsidR="0066022D">
        <w:t xml:space="preserve"> Bedford’s analysis</w:t>
      </w:r>
      <w:r w:rsidR="00AA2FD7">
        <w:t xml:space="preserve"> from 24 Dec 2019 to 4 Feb 2019</w:t>
      </w:r>
      <w:r w:rsidR="0066022D">
        <w:t>.</w:t>
      </w:r>
    </w:p>
    <w:p w14:paraId="6C40CC23" w14:textId="77777777" w:rsidR="00AA2FD7" w:rsidRDefault="00AA2FD7" w:rsidP="006120D9"/>
    <w:p w14:paraId="63E4243B" w14:textId="3432BA0C" w:rsidR="006120D9" w:rsidRDefault="00AA2FD7" w:rsidP="00AA2FD7">
      <w:pPr>
        <w:pStyle w:val="ListParagraph"/>
        <w:numPr>
          <w:ilvl w:val="0"/>
          <w:numId w:val="9"/>
        </w:numPr>
      </w:pPr>
      <w:r w:rsidRPr="00AA2FD7">
        <w:rPr>
          <w:b/>
          <w:bCs/>
        </w:rPr>
        <w:t>Count the number of SNPs in these 81 genomes</w:t>
      </w:r>
      <w:r>
        <w:rPr>
          <w:b/>
          <w:bCs/>
        </w:rPr>
        <w:t xml:space="preserve">. </w:t>
      </w:r>
      <w:r>
        <w:t>Scroll down to the plot labelled “Diversity” that shows the segregating sites for these sequences positioned along the map of the HCoV-19 genome. Z</w:t>
      </w:r>
      <w:r w:rsidR="00D31BAF">
        <w:t>oom into the Diversity plot</w:t>
      </w:r>
      <w:r>
        <w:t xml:space="preserve"> using the small arrows at the foot of the plot</w:t>
      </w:r>
      <w:r w:rsidR="0069073E">
        <w:t>, and select “NT” for nucleotide</w:t>
      </w:r>
      <w:r w:rsidR="00D31BAF">
        <w:t xml:space="preserve"> to count segregating sites</w:t>
      </w:r>
      <w:r>
        <w:t>, then select “Events” to count the number of SNPs: at positions with multiple mutations (</w:t>
      </w:r>
      <w:r w:rsidR="00D12457">
        <w:t>e.g. 3) count all 3 mutations</w:t>
      </w:r>
    </w:p>
    <w:p w14:paraId="349852B9" w14:textId="77777777" w:rsidR="00D31BAF" w:rsidRDefault="00D31BAF" w:rsidP="00D31BAF">
      <w:pPr>
        <w:rPr>
          <w:rFonts w:eastAsiaTheme="minorEastAsia"/>
        </w:rPr>
      </w:pPr>
    </w:p>
    <w:p w14:paraId="52AA61FE" w14:textId="0DCE5076" w:rsidR="00D31BAF" w:rsidRDefault="00D31BAF" w:rsidP="00D31BAF">
      <w:pPr>
        <w:pStyle w:val="ListParagraph"/>
      </w:pPr>
      <w:r>
        <w:t xml:space="preserve">0-5kb </w:t>
      </w:r>
      <w:proofErr w:type="gramStart"/>
      <w:r>
        <w:t xml:space="preserve">= </w:t>
      </w:r>
      <w:r w:rsidR="00D12457">
        <w:t>?</w:t>
      </w:r>
      <w:proofErr w:type="gramEnd"/>
    </w:p>
    <w:p w14:paraId="6D7E1E7E" w14:textId="3428C163" w:rsidR="00D31BAF" w:rsidRDefault="00D31BAF" w:rsidP="00D31BAF">
      <w:pPr>
        <w:pStyle w:val="ListParagraph"/>
      </w:pPr>
      <w:r>
        <w:t xml:space="preserve">5-10kb </w:t>
      </w:r>
      <w:proofErr w:type="gramStart"/>
      <w:r>
        <w:t xml:space="preserve">= </w:t>
      </w:r>
      <w:r w:rsidR="00D12457">
        <w:t>?</w:t>
      </w:r>
      <w:proofErr w:type="gramEnd"/>
    </w:p>
    <w:p w14:paraId="1A64C415" w14:textId="1A8582F1" w:rsidR="00D31BAF" w:rsidRDefault="00D31BAF" w:rsidP="00D31BAF">
      <w:pPr>
        <w:pStyle w:val="ListParagraph"/>
      </w:pPr>
      <w:r>
        <w:t xml:space="preserve">10-15kb </w:t>
      </w:r>
      <w:proofErr w:type="gramStart"/>
      <w:r>
        <w:t xml:space="preserve">= </w:t>
      </w:r>
      <w:r w:rsidR="00D12457">
        <w:t>?</w:t>
      </w:r>
      <w:proofErr w:type="gramEnd"/>
      <w:r w:rsidR="00990D03">
        <w:t xml:space="preserve"> </w:t>
      </w:r>
    </w:p>
    <w:p w14:paraId="26C31A4B" w14:textId="7E772ECA" w:rsidR="00D31BAF" w:rsidRDefault="00D31BAF" w:rsidP="00D31BAF">
      <w:pPr>
        <w:pStyle w:val="ListParagraph"/>
      </w:pPr>
      <w:r>
        <w:t xml:space="preserve">15-20kb </w:t>
      </w:r>
      <w:proofErr w:type="gramStart"/>
      <w:r>
        <w:t>=</w:t>
      </w:r>
      <w:r w:rsidR="00D12457">
        <w:t xml:space="preserve"> ?</w:t>
      </w:r>
      <w:proofErr w:type="gramEnd"/>
    </w:p>
    <w:p w14:paraId="25D47FB9" w14:textId="27C3AEE4" w:rsidR="00D31BAF" w:rsidRDefault="00D31BAF" w:rsidP="00D31BAF">
      <w:pPr>
        <w:pStyle w:val="ListParagraph"/>
      </w:pPr>
      <w:r>
        <w:t xml:space="preserve">20-25kb </w:t>
      </w:r>
      <w:proofErr w:type="gramStart"/>
      <w:r>
        <w:t xml:space="preserve">= </w:t>
      </w:r>
      <w:r w:rsidR="00D12457">
        <w:t>?</w:t>
      </w:r>
      <w:proofErr w:type="gramEnd"/>
    </w:p>
    <w:p w14:paraId="7A00F8CA" w14:textId="3C1F83C1" w:rsidR="00251720" w:rsidRDefault="00D31BAF" w:rsidP="00251720">
      <w:pPr>
        <w:pStyle w:val="ListParagraph"/>
      </w:pPr>
      <w:r>
        <w:t xml:space="preserve">25-30kb </w:t>
      </w:r>
      <w:proofErr w:type="gramStart"/>
      <w:r>
        <w:t xml:space="preserve">= </w:t>
      </w:r>
      <w:r w:rsidR="00D12457">
        <w:t>?</w:t>
      </w:r>
      <w:proofErr w:type="gramEnd"/>
    </w:p>
    <w:p w14:paraId="6226DF4E" w14:textId="54E0508B" w:rsidR="00990D03" w:rsidRDefault="00251720" w:rsidP="00D12457">
      <w:pPr>
        <w:pStyle w:val="ListParagraph"/>
      </w:pPr>
      <w:r w:rsidRPr="00D12457">
        <w:rPr>
          <w:highlight w:val="cyan"/>
        </w:rPr>
        <w:t xml:space="preserve">Total </w:t>
      </w:r>
      <w:r w:rsidR="00E22AA8" w:rsidRPr="00D12457">
        <w:rPr>
          <w:highlight w:val="cyan"/>
        </w:rPr>
        <w:t xml:space="preserve">NT </w:t>
      </w:r>
      <w:proofErr w:type="gramStart"/>
      <w:r w:rsidRPr="00D12457">
        <w:rPr>
          <w:highlight w:val="cyan"/>
        </w:rPr>
        <w:t xml:space="preserve">= </w:t>
      </w:r>
      <w:r w:rsidR="00D12457" w:rsidRPr="00D12457">
        <w:rPr>
          <w:highlight w:val="cyan"/>
        </w:rPr>
        <w:t>?</w:t>
      </w:r>
      <w:proofErr w:type="gramEnd"/>
      <w:r w:rsidR="00D12457" w:rsidRPr="00D12457">
        <w:rPr>
          <w:highlight w:val="cyan"/>
        </w:rPr>
        <w:t xml:space="preserve"> </w:t>
      </w:r>
      <w:r w:rsidR="009C6259" w:rsidRPr="00D12457">
        <w:rPr>
          <w:highlight w:val="cyan"/>
        </w:rPr>
        <w:t>segregating sites</w:t>
      </w:r>
    </w:p>
    <w:p w14:paraId="69A1C4CE" w14:textId="77777777" w:rsidR="009C6259" w:rsidRDefault="009C6259"/>
    <w:p w14:paraId="0619FBF7" w14:textId="575EB56B" w:rsidR="009C6259" w:rsidRDefault="009C6259" w:rsidP="009C6259">
      <w:r>
        <w:t xml:space="preserve">Note: a quick and dirty way to compare synonymous to non-synonymous changes in the ORFs is to compare the AA track to the NT track. </w:t>
      </w:r>
    </w:p>
    <w:p w14:paraId="6762B2EB" w14:textId="5076D489" w:rsidR="00023917" w:rsidRDefault="00023917" w:rsidP="009C6259"/>
    <w:p w14:paraId="79C46C93" w14:textId="4CA612A9" w:rsidR="00023917" w:rsidRDefault="00023917" w:rsidP="009C6259">
      <w:r>
        <w:t>Bedford does not mention the number of SNPs he used for his maximum likelihood and BEAST phylogenetic analyses to estimate N</w:t>
      </w:r>
      <w:r>
        <w:rPr>
          <w:vertAlign w:val="subscript"/>
        </w:rPr>
        <w:t>e</w:t>
      </w:r>
      <m:oMath>
        <m:r>
          <w:rPr>
            <w:rFonts w:ascii="Cambria Math" w:hAnsi="Cambria Math"/>
            <w:vertAlign w:val="subscript"/>
          </w:rPr>
          <m:t>τ</m:t>
        </m:r>
      </m:oMath>
      <w:r>
        <w:rPr>
          <w:rFonts w:eastAsiaTheme="minorEastAsia"/>
        </w:rPr>
        <w:t>, but he does mention the much lower number of genomes: 53 genomes not 81. Bedford uses fewer genome because “</w:t>
      </w:r>
      <w:r w:rsidRPr="00023917">
        <w:rPr>
          <w:rFonts w:eastAsiaTheme="minorEastAsia"/>
        </w:rPr>
        <w:t>coalescent models assume that infections are sampled randomly from the infected population</w:t>
      </w:r>
      <w:r>
        <w:rPr>
          <w:rFonts w:eastAsiaTheme="minorEastAsia"/>
        </w:rPr>
        <w:t xml:space="preserve">”. This is clearly not true for the actual sampled data: people are tested in clusters. Our sample size (n) is therefore an overestimate. </w:t>
      </w:r>
      <w:r w:rsidRPr="00023917">
        <w:rPr>
          <w:rFonts w:eastAsiaTheme="minorEastAsia"/>
          <w:highlight w:val="cyan"/>
        </w:rPr>
        <w:t xml:space="preserve">Will our overestimated sample size lead to overestimation or underestimation of </w:t>
      </w:r>
      <w:r w:rsidRPr="00023917">
        <w:rPr>
          <w:highlight w:val="cyan"/>
        </w:rPr>
        <w:t>N</w:t>
      </w:r>
      <w:r w:rsidRPr="00023917">
        <w:rPr>
          <w:highlight w:val="cyan"/>
          <w:vertAlign w:val="subscript"/>
        </w:rPr>
        <w:t>e</w:t>
      </w:r>
      <w:r w:rsidRPr="00023917">
        <w:rPr>
          <w:highlight w:val="cyan"/>
        </w:rPr>
        <w:t xml:space="preserve"> and the number of cases?</w:t>
      </w:r>
      <w:r>
        <w:t xml:space="preserve"> Remember that </w:t>
      </w:r>
    </w:p>
    <w:p w14:paraId="1A26AED8" w14:textId="77777777" w:rsidR="00023917" w:rsidRDefault="00023917" w:rsidP="009C6259"/>
    <w:p w14:paraId="3E804ADD" w14:textId="5AC4D82D" w:rsidR="00023917" w:rsidRPr="00023917" w:rsidRDefault="00692E9C" w:rsidP="009C6259">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a</m:t>
            </m:r>
          </m:den>
        </m:f>
      </m:oMath>
      <w:r w:rsidR="00023917">
        <w:rPr>
          <w:rFonts w:eastAsiaTheme="minorEastAsia"/>
        </w:rPr>
        <w:t xml:space="preserve"> where </w:t>
      </w:r>
      <m:oMath>
        <m:r>
          <w:rPr>
            <w:rFonts w:ascii="Cambria Math" w:eastAsiaTheme="minorEastAsia" w:hAnsi="Cambria Math"/>
          </w:rPr>
          <m:t>a=</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m:t>
                </m:r>
              </m:den>
            </m:f>
          </m:e>
        </m:nary>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oMath>
    </w:p>
    <w:p w14:paraId="42E7277D" w14:textId="77777777" w:rsidR="009C6259" w:rsidRDefault="009C6259" w:rsidP="00E22AA8"/>
    <w:p w14:paraId="61A7286B" w14:textId="2FC6820E" w:rsidR="00750B15" w:rsidRPr="00750B15" w:rsidRDefault="00750B15" w:rsidP="00750B15">
      <w:pPr>
        <w:pStyle w:val="ListParagraph"/>
        <w:numPr>
          <w:ilvl w:val="0"/>
          <w:numId w:val="9"/>
        </w:numPr>
        <w:rPr>
          <w:highlight w:val="cyan"/>
        </w:rPr>
      </w:pPr>
      <w:r>
        <w:rPr>
          <w:b/>
          <w:bCs/>
        </w:rPr>
        <w:t>Estimate parameters for comparison to Bedford’s analysis</w:t>
      </w:r>
      <w:r w:rsidRPr="00750B15">
        <w:rPr>
          <w:b/>
          <w:bCs/>
        </w:rPr>
        <w:t>.</w:t>
      </w:r>
    </w:p>
    <w:p w14:paraId="2BCA705A" w14:textId="77777777" w:rsidR="00750B15" w:rsidRDefault="00750B15" w:rsidP="00E22AA8">
      <w:pPr>
        <w:rPr>
          <w:highlight w:val="cyan"/>
        </w:rPr>
      </w:pPr>
    </w:p>
    <w:p w14:paraId="0D7382B6" w14:textId="64C6702E" w:rsidR="00771DC7" w:rsidRDefault="00771DC7" w:rsidP="00E22AA8">
      <w:r w:rsidRPr="00356871">
        <w:rPr>
          <w:highlight w:val="cyan"/>
        </w:rPr>
        <w:t xml:space="preserve">Treat your SNP count as S and use n=81 to estimate </w:t>
      </w:r>
      <w:proofErr w:type="spellStart"/>
      <w:r w:rsidRPr="00356871">
        <w:rPr>
          <w:highlight w:val="cyan"/>
        </w:rPr>
        <w:t>ThetaW</w:t>
      </w:r>
      <w:proofErr w:type="spellEnd"/>
      <w:r w:rsidR="00356871">
        <w:rPr>
          <w:highlight w:val="cyan"/>
        </w:rPr>
        <w:t xml:space="preserve"> for Feb 7</w:t>
      </w:r>
      <w:r w:rsidR="00356871" w:rsidRPr="00356871">
        <w:rPr>
          <w:highlight w:val="cyan"/>
          <w:vertAlign w:val="superscript"/>
        </w:rPr>
        <w:t>th</w:t>
      </w:r>
      <w:r w:rsidRPr="00356871">
        <w:rPr>
          <w:highlight w:val="cyan"/>
        </w:rPr>
        <w:t xml:space="preserve"> using the above equation.</w:t>
      </w:r>
      <w:r>
        <w:t xml:space="preserve"> Remember that for 81 sequences you can estimate a in R with “</w:t>
      </w:r>
      <w:proofErr w:type="gramStart"/>
      <w:r w:rsidRPr="00A7655F">
        <w:t>sum(</w:t>
      </w:r>
      <w:proofErr w:type="gramEnd"/>
      <w:r w:rsidRPr="00A7655F">
        <w:t>1/(1:</w:t>
      </w:r>
      <w:r>
        <w:t>80</w:t>
      </w:r>
      <w:r w:rsidRPr="00A7655F">
        <w:t>))</w:t>
      </w:r>
      <w:r>
        <w:t>”</w:t>
      </w:r>
      <w:r w:rsidR="00356871">
        <w:t>.</w:t>
      </w:r>
    </w:p>
    <w:p w14:paraId="087276ED" w14:textId="2A4925FC" w:rsidR="00356871" w:rsidRDefault="00356871" w:rsidP="00E22AA8"/>
    <w:p w14:paraId="54C375AF" w14:textId="1CB46937" w:rsidR="00B056CF" w:rsidRDefault="00356871" w:rsidP="00356871">
      <w:pPr>
        <w:rPr>
          <w:rFonts w:eastAsiaTheme="minorEastAsia"/>
        </w:rPr>
      </w:pPr>
      <w:r>
        <w:t xml:space="preserve">Next, use your estimate of </w:t>
      </w:r>
      <w:proofErr w:type="spellStart"/>
      <w:r>
        <w:t>ThetaW</w:t>
      </w:r>
      <w:proofErr w:type="spellEnd"/>
      <w:r>
        <w:t xml:space="preserve"> to estimate N</w:t>
      </w:r>
      <w:r>
        <w:rPr>
          <w:vertAlign w:val="subscript"/>
        </w:rPr>
        <w:t>e</w:t>
      </w:r>
      <w:r>
        <w:t xml:space="preserve"> the timescale of coalescence (N</w:t>
      </w:r>
      <w:r>
        <w:rPr>
          <w:vertAlign w:val="subscript"/>
        </w:rPr>
        <w:t>e</w:t>
      </w:r>
      <m:oMath>
        <m:r>
          <w:rPr>
            <w:rFonts w:ascii="Cambria Math" w:hAnsi="Cambria Math"/>
            <w:vertAlign w:val="subscript"/>
          </w:rPr>
          <m:t>τ</m:t>
        </m:r>
      </m:oMath>
      <w:r>
        <w:rPr>
          <w:rFonts w:eastAsiaTheme="minorEastAsia"/>
        </w:rPr>
        <w:t xml:space="preserve">) and the point prevalence (I) for comparison to </w:t>
      </w:r>
      <w:proofErr w:type="spellStart"/>
      <w:r>
        <w:rPr>
          <w:rFonts w:eastAsiaTheme="minorEastAsia"/>
        </w:rPr>
        <w:t>Beford’s</w:t>
      </w:r>
      <w:proofErr w:type="spellEnd"/>
      <w:r>
        <w:rPr>
          <w:rFonts w:eastAsiaTheme="minorEastAsia"/>
        </w:rPr>
        <w:t xml:space="preserve"> estimates from Feb 4</w:t>
      </w:r>
      <w:r w:rsidRPr="00356871">
        <w:rPr>
          <w:rFonts w:eastAsiaTheme="minorEastAsia"/>
          <w:vertAlign w:val="superscript"/>
        </w:rPr>
        <w:t>th</w:t>
      </w:r>
      <w:r>
        <w:rPr>
          <w:rFonts w:eastAsiaTheme="minorEastAsia"/>
        </w:rPr>
        <w:t xml:space="preserve">. To estimate </w:t>
      </w:r>
      <w:r>
        <w:t>N</w:t>
      </w:r>
      <w:r>
        <w:rPr>
          <w:vertAlign w:val="subscript"/>
        </w:rPr>
        <w:t>e</w:t>
      </w:r>
      <w:r>
        <w:t xml:space="preserve"> use </w:t>
      </w:r>
      <m:oMath>
        <m:r>
          <w:rPr>
            <w:rFonts w:ascii="Cambria Math" w:hAnsi="Cambria Math"/>
          </w:rPr>
          <m:t>θ=2</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μ</m:t>
        </m:r>
      </m:oMath>
      <w:r>
        <w:rPr>
          <w:rFonts w:eastAsiaTheme="minorEastAsia"/>
        </w:rPr>
        <w:t xml:space="preserve"> which rearranges to </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=θ/(2*μ</m:t>
        </m:r>
        <m:r>
          <w:rPr>
            <w:rFonts w:ascii="Cambria Math" w:eastAsiaTheme="minorEastAsia" w:hAnsi="Cambria Math"/>
          </w:rPr>
          <m:t>)</m:t>
        </m:r>
      </m:oMath>
      <w:r>
        <w:rPr>
          <w:rFonts w:eastAsiaTheme="minorEastAsia"/>
        </w:rPr>
        <w:t xml:space="preserve">. You can use the same estimate of </w:t>
      </w:r>
      <m:oMath>
        <m:r>
          <w:rPr>
            <w:rFonts w:ascii="Cambria Math" w:hAnsi="Cambria Math"/>
          </w:rPr>
          <m:t>μ</m:t>
        </m:r>
      </m:oMath>
      <w:r>
        <w:rPr>
          <w:rFonts w:eastAsiaTheme="minorEastAsia"/>
        </w:rPr>
        <w:t xml:space="preserve"> used by Bedford: 0.9x10</w:t>
      </w:r>
      <w:r w:rsidRPr="004410A3">
        <w:rPr>
          <w:rFonts w:eastAsiaTheme="minorEastAsia"/>
          <w:vertAlign w:val="superscript"/>
        </w:rPr>
        <w:t>-3</w:t>
      </w:r>
      <w:r>
        <w:rPr>
          <w:rFonts w:eastAsiaTheme="minorEastAsia"/>
        </w:rPr>
        <w:t xml:space="preserve"> mutations per site per year.</w:t>
      </w:r>
      <w:r w:rsidR="00B056CF">
        <w:rPr>
          <w:rFonts w:eastAsiaTheme="minorEastAsia"/>
        </w:rPr>
        <w:t xml:space="preserve"> </w:t>
      </w:r>
      <w:r w:rsidR="00596EEA">
        <w:rPr>
          <w:rFonts w:eastAsiaTheme="minorEastAsia"/>
        </w:rPr>
        <w:t>But n</w:t>
      </w:r>
      <w:r w:rsidR="00B056CF">
        <w:rPr>
          <w:rFonts w:eastAsiaTheme="minorEastAsia"/>
        </w:rPr>
        <w:t xml:space="preserve">ote that </w:t>
      </w:r>
      <w:r w:rsidR="00596EEA">
        <w:rPr>
          <w:rFonts w:eastAsiaTheme="minorEastAsia"/>
        </w:rPr>
        <w:t>our</w:t>
      </w:r>
      <w:r w:rsidR="00B056CF">
        <w:rPr>
          <w:rFonts w:eastAsiaTheme="minorEastAsia"/>
        </w:rPr>
        <w:t xml:space="preserve"> use of </w:t>
      </w:r>
      <m:oMath>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μ</m:t>
        </m:r>
      </m:oMath>
      <w:r w:rsidR="00B056CF">
        <w:rPr>
          <w:rFonts w:eastAsiaTheme="minorEastAsia"/>
        </w:rPr>
        <w:t xml:space="preserve"> assumes that the total </w:t>
      </w:r>
      <w:r w:rsidR="00596EEA">
        <w:rPr>
          <w:rFonts w:eastAsiaTheme="minorEastAsia"/>
        </w:rPr>
        <w:t>tree length</w:t>
      </w:r>
      <w:r w:rsidR="00B056CF">
        <w:rPr>
          <w:rFonts w:eastAsiaTheme="minorEastAsia"/>
        </w:rPr>
        <w:t xml:space="preserve"> is longer than it would be for a growing population.</w:t>
      </w:r>
      <w:r w:rsidR="00596EEA">
        <w:rPr>
          <w:rFonts w:eastAsiaTheme="minorEastAsia"/>
        </w:rPr>
        <w:t xml:space="preserve"> </w:t>
      </w:r>
      <w:proofErr w:type="spellStart"/>
      <w:r w:rsidR="00596EEA">
        <w:rPr>
          <w:rFonts w:eastAsiaTheme="minorEastAsia"/>
        </w:rPr>
        <w:t>HCov</w:t>
      </w:r>
      <w:proofErr w:type="spellEnd"/>
      <w:r w:rsidR="00596EEA">
        <w:rPr>
          <w:rFonts w:eastAsiaTheme="minorEastAsia"/>
        </w:rPr>
        <w:t xml:space="preserve"> definitely has a rapidly growing population that violates that assumption.</w:t>
      </w:r>
    </w:p>
    <w:p w14:paraId="6D769B78" w14:textId="77777777" w:rsidR="00B056CF" w:rsidRDefault="00B056CF" w:rsidP="00356871">
      <w:pPr>
        <w:rPr>
          <w:rFonts w:eastAsiaTheme="minorEastAsia"/>
        </w:rPr>
      </w:pPr>
    </w:p>
    <w:p w14:paraId="6796AB04" w14:textId="69110352" w:rsidR="00356871" w:rsidRDefault="00B056CF" w:rsidP="00356871">
      <w:pPr>
        <w:rPr>
          <w:rFonts w:eastAsiaTheme="minorEastAsia"/>
        </w:rPr>
      </w:pPr>
      <w:r>
        <w:rPr>
          <w:rFonts w:eastAsiaTheme="minorEastAsia"/>
        </w:rPr>
        <w:t xml:space="preserve">For </w:t>
      </w:r>
      <m:oMath>
        <m:r>
          <w:rPr>
            <w:rFonts w:ascii="Cambria Math" w:hAnsi="Cambria Math"/>
            <w:vertAlign w:val="subscript"/>
          </w:rPr>
          <m:t>τ</m:t>
        </m:r>
      </m:oMath>
      <w:r>
        <w:rPr>
          <w:rFonts w:eastAsiaTheme="minorEastAsia"/>
          <w:vertAlign w:val="subscript"/>
        </w:rPr>
        <w:t xml:space="preserve">, </w:t>
      </w:r>
      <w:r>
        <w:rPr>
          <w:rFonts w:eastAsiaTheme="minorEastAsia"/>
        </w:rPr>
        <w:t>use the same estimate of generation time as Bedford (7.5 days) and remember that you need to convert to generation time measured in years.</w:t>
      </w:r>
    </w:p>
    <w:p w14:paraId="4CB94AD0" w14:textId="7B77E839" w:rsidR="009E3C24" w:rsidRDefault="009E3C24" w:rsidP="00356871">
      <w:pPr>
        <w:rPr>
          <w:rFonts w:eastAsiaTheme="minorEastAsia"/>
        </w:rPr>
      </w:pPr>
    </w:p>
    <w:p w14:paraId="43F98654" w14:textId="6C0866F8" w:rsidR="009E3C24" w:rsidRDefault="009E3C24" w:rsidP="009E3C24">
      <w:pPr>
        <w:rPr>
          <w:rFonts w:eastAsiaTheme="minorEastAsia"/>
        </w:rPr>
      </w:pPr>
      <w:r>
        <w:rPr>
          <w:rFonts w:eastAsiaTheme="minorEastAsia"/>
        </w:rPr>
        <w:t xml:space="preserve">For </w:t>
      </w:r>
      <m:oMath>
        <m:r>
          <w:rPr>
            <w:rFonts w:ascii="Cambria Math" w:eastAsiaTheme="minorEastAsia" w:hAnsi="Cambria Math"/>
            <w:vertAlign w:val="superscript"/>
          </w:rPr>
          <m:t>I=</m:t>
        </m:r>
        <m:sSub>
          <m:sSubPr>
            <m:ctrlPr>
              <w:rPr>
                <w:rFonts w:ascii="Cambria Math" w:eastAsiaTheme="minorEastAsia" w:hAnsi="Cambria Math"/>
                <w:i/>
                <w:vertAlign w:val="superscript"/>
              </w:rPr>
            </m:ctrlPr>
          </m:sSubPr>
          <m:e>
            <m:r>
              <w:rPr>
                <w:rFonts w:ascii="Cambria Math" w:eastAsiaTheme="minorEastAsia" w:hAnsi="Cambria Math"/>
                <w:vertAlign w:val="superscript"/>
              </w:rPr>
              <m:t>N</m:t>
            </m:r>
          </m:e>
          <m:sub>
            <m:r>
              <w:rPr>
                <w:rFonts w:ascii="Cambria Math" w:eastAsiaTheme="minorEastAsia" w:hAnsi="Cambria Math"/>
                <w:vertAlign w:val="superscript"/>
              </w:rPr>
              <m:t>e</m:t>
            </m:r>
          </m:sub>
        </m:sSub>
        <m:r>
          <w:rPr>
            <w:rFonts w:ascii="Cambria Math" w:hAnsi="Cambria Math"/>
            <w:vertAlign w:val="subscript"/>
          </w:rPr>
          <m:t>τ ×</m:t>
        </m:r>
      </m:oMath>
      <w:r>
        <w:rPr>
          <w:rFonts w:eastAsiaTheme="minorEastAsia"/>
        </w:rPr>
        <w:t xml:space="preserve"> </w:t>
      </w:r>
      <m:oMath>
        <m:sSup>
          <m:sSupPr>
            <m:ctrlPr>
              <w:rPr>
                <w:rFonts w:ascii="Cambria Math" w:eastAsiaTheme="minorEastAsia" w:hAnsi="Cambria Math"/>
                <w:i/>
                <w:vertAlign w:val="superscript"/>
              </w:rPr>
            </m:ctrlPr>
          </m:sSupPr>
          <m:e>
            <m:r>
              <w:rPr>
                <w:rFonts w:ascii="Cambria Math" w:eastAsiaTheme="minorEastAsia" w:hAnsi="Cambria Math"/>
                <w:vertAlign w:val="superscript"/>
              </w:rPr>
              <m:t>σ</m:t>
            </m:r>
          </m:e>
          <m:sup>
            <m:r>
              <w:rPr>
                <w:rFonts w:ascii="Cambria Math" w:eastAsiaTheme="minorEastAsia" w:hAnsi="Cambria Math"/>
                <w:vertAlign w:val="superscript"/>
              </w:rPr>
              <m:t>2</m:t>
            </m:r>
          </m:sup>
        </m:sSup>
        <m:r>
          <w:rPr>
            <w:rFonts w:ascii="Cambria Math" w:eastAsiaTheme="minorEastAsia" w:hAnsi="Cambria Math"/>
            <w:vertAlign w:val="superscript"/>
          </w:rPr>
          <m:t>/</m:t>
        </m:r>
        <m:r>
          <w:rPr>
            <w:rFonts w:ascii="Cambria Math" w:hAnsi="Cambria Math"/>
            <w:vertAlign w:val="subscript"/>
          </w:rPr>
          <m:t>τ</m:t>
        </m:r>
      </m:oMath>
      <w:r>
        <w:rPr>
          <w:rFonts w:eastAsiaTheme="minorEastAsia"/>
          <w:vertAlign w:val="subscript"/>
        </w:rPr>
        <w:t xml:space="preserve"> </w:t>
      </w:r>
      <w:r w:rsidRPr="009E3C24">
        <w:rPr>
          <w:rFonts w:eastAsiaTheme="minorEastAsia"/>
        </w:rPr>
        <w:t>use</w:t>
      </w:r>
      <w:r>
        <w:rPr>
          <w:rFonts w:eastAsiaTheme="minorEastAsia"/>
        </w:rPr>
        <w:t xml:space="preserve"> E[R</w:t>
      </w:r>
      <w:r w:rsidRPr="009E3C24">
        <w:rPr>
          <w:rFonts w:eastAsiaTheme="minorEastAsia"/>
          <w:vertAlign w:val="subscript"/>
        </w:rPr>
        <w:t>0</w:t>
      </w:r>
      <w:r>
        <w:rPr>
          <w:rFonts w:eastAsiaTheme="minorEastAsia"/>
        </w:rPr>
        <w:t xml:space="preserve">] = 2.3 and k=0.3 to get </w:t>
      </w:r>
    </w:p>
    <w:p w14:paraId="5545A685" w14:textId="77777777" w:rsidR="009E3C24" w:rsidRPr="00F27387" w:rsidRDefault="00692E9C" w:rsidP="009E3C24">
      <w:pPr>
        <w:rPr>
          <w:rFonts w:eastAsiaTheme="minorEastAsia"/>
          <w:vertAlign w:val="superscript"/>
        </w:rPr>
      </w:pPr>
      <m:oMathPara>
        <m:oMath>
          <m:sSup>
            <m:sSupPr>
              <m:ctrlPr>
                <w:rPr>
                  <w:rFonts w:ascii="Cambria Math" w:eastAsiaTheme="minorEastAsia" w:hAnsi="Cambria Math"/>
                  <w:i/>
                  <w:vertAlign w:val="superscript"/>
                </w:rPr>
              </m:ctrlPr>
            </m:sSupPr>
            <m:e>
              <m:r>
                <w:rPr>
                  <w:rFonts w:ascii="Cambria Math" w:eastAsiaTheme="minorEastAsia" w:hAnsi="Cambria Math"/>
                  <w:vertAlign w:val="superscript"/>
                </w:rPr>
                <m:t>σ</m:t>
              </m:r>
            </m:e>
            <m:sup>
              <m:r>
                <w:rPr>
                  <w:rFonts w:ascii="Cambria Math" w:eastAsiaTheme="minorEastAsia" w:hAnsi="Cambria Math"/>
                  <w:vertAlign w:val="superscript"/>
                </w:rPr>
                <m:t>2</m:t>
              </m:r>
            </m:sup>
          </m:sSup>
          <m:r>
            <w:rPr>
              <w:rFonts w:ascii="Cambria Math" w:eastAsiaTheme="minorEastAsia" w:hAnsi="Cambria Math"/>
              <w:vertAlign w:val="superscript"/>
            </w:rPr>
            <m:t>=</m:t>
          </m:r>
          <m:f>
            <m:fPr>
              <m:ctrlPr>
                <w:rPr>
                  <w:rFonts w:ascii="Cambria Math" w:eastAsiaTheme="minorEastAsia" w:hAnsi="Cambria Math"/>
                  <w:i/>
                  <w:vertAlign w:val="superscript"/>
                </w:rPr>
              </m:ctrlPr>
            </m:fPr>
            <m:num>
              <m:r>
                <w:rPr>
                  <w:rFonts w:ascii="Cambria Math" w:eastAsiaTheme="minorEastAsia" w:hAnsi="Cambria Math"/>
                  <w:vertAlign w:val="superscript"/>
                </w:rPr>
                <m:t>1</m:t>
              </m:r>
            </m:num>
            <m:den>
              <m:r>
                <w:rPr>
                  <w:rFonts w:ascii="Cambria Math" w:eastAsiaTheme="minorEastAsia" w:hAnsi="Cambria Math"/>
                  <w:vertAlign w:val="superscript"/>
                </w:rPr>
                <m:t>2.3</m:t>
              </m:r>
            </m:den>
          </m:f>
          <m:r>
            <w:rPr>
              <w:rFonts w:ascii="Cambria Math" w:eastAsiaTheme="minorEastAsia" w:hAnsi="Cambria Math"/>
              <w:vertAlign w:val="superscript"/>
            </w:rPr>
            <m:t>+</m:t>
          </m:r>
          <m:f>
            <m:fPr>
              <m:ctrlPr>
                <w:rPr>
                  <w:rFonts w:ascii="Cambria Math" w:eastAsiaTheme="minorEastAsia" w:hAnsi="Cambria Math"/>
                  <w:i/>
                  <w:vertAlign w:val="superscript"/>
                </w:rPr>
              </m:ctrlPr>
            </m:fPr>
            <m:num>
              <m:r>
                <w:rPr>
                  <w:rFonts w:ascii="Cambria Math" w:eastAsiaTheme="minorEastAsia" w:hAnsi="Cambria Math"/>
                  <w:vertAlign w:val="superscript"/>
                </w:rPr>
                <m:t>1</m:t>
              </m:r>
            </m:num>
            <m:den>
              <m:r>
                <w:rPr>
                  <w:rFonts w:ascii="Cambria Math" w:eastAsiaTheme="minorEastAsia" w:hAnsi="Cambria Math"/>
                  <w:vertAlign w:val="superscript"/>
                </w:rPr>
                <m:t>0.3</m:t>
              </m:r>
            </m:den>
          </m:f>
          <m:r>
            <w:rPr>
              <w:rFonts w:ascii="Cambria Math" w:eastAsiaTheme="minorEastAsia" w:hAnsi="Cambria Math"/>
              <w:vertAlign w:val="superscript"/>
            </w:rPr>
            <m:t>+1=4.77</m:t>
          </m:r>
        </m:oMath>
      </m:oMathPara>
    </w:p>
    <w:p w14:paraId="0B8DEEBA" w14:textId="77777777" w:rsidR="00750B15" w:rsidRDefault="00750B15" w:rsidP="00356871"/>
    <w:p w14:paraId="4214CAAB" w14:textId="11488D6B" w:rsidR="009E3C24" w:rsidRPr="00B056CF" w:rsidRDefault="009E3C24" w:rsidP="00356871">
      <w:r>
        <w:t>Warning: this conversion</w:t>
      </w:r>
      <w:r w:rsidR="00750B15">
        <w:t xml:space="preserve"> for I</w:t>
      </w:r>
      <w:r>
        <w:t xml:space="preserve"> might not be a correct! (I have not had time to check)</w:t>
      </w:r>
      <w:r w:rsidR="00750B15">
        <w:t>.</w:t>
      </w:r>
    </w:p>
    <w:p w14:paraId="109416FC" w14:textId="476E68B8" w:rsidR="00356871" w:rsidRDefault="00356871" w:rsidP="00356871"/>
    <w:p w14:paraId="71B4326F" w14:textId="633CDD79" w:rsidR="00B056CF" w:rsidRPr="00750B15" w:rsidRDefault="00B056CF" w:rsidP="00356871">
      <w:pPr>
        <w:rPr>
          <w:highlight w:val="cyan"/>
        </w:rPr>
      </w:pPr>
      <w:r w:rsidRPr="00750B15">
        <w:rPr>
          <w:highlight w:val="cyan"/>
        </w:rPr>
        <w:t>N</w:t>
      </w:r>
      <w:r w:rsidRPr="00750B15">
        <w:rPr>
          <w:highlight w:val="cyan"/>
          <w:vertAlign w:val="subscript"/>
        </w:rPr>
        <w:t>e</w:t>
      </w:r>
      <w:r w:rsidRPr="00750B15">
        <w:rPr>
          <w:highlight w:val="cyan"/>
        </w:rPr>
        <w:t xml:space="preserve">    =</w:t>
      </w:r>
    </w:p>
    <w:p w14:paraId="4BC3CDBD" w14:textId="62F2D35E" w:rsidR="00356871" w:rsidRPr="00750B15" w:rsidRDefault="00B056CF" w:rsidP="00E22AA8">
      <w:pPr>
        <w:rPr>
          <w:rFonts w:eastAsiaTheme="minorEastAsia"/>
          <w:highlight w:val="cyan"/>
        </w:rPr>
      </w:pPr>
      <w:r w:rsidRPr="00750B15">
        <w:rPr>
          <w:highlight w:val="cyan"/>
        </w:rPr>
        <w:t>N</w:t>
      </w:r>
      <w:r w:rsidRPr="00750B15">
        <w:rPr>
          <w:highlight w:val="cyan"/>
          <w:vertAlign w:val="subscript"/>
        </w:rPr>
        <w:t>e</w:t>
      </w:r>
      <m:oMath>
        <m:r>
          <w:rPr>
            <w:rFonts w:ascii="Cambria Math" w:hAnsi="Cambria Math"/>
            <w:highlight w:val="cyan"/>
            <w:vertAlign w:val="subscript"/>
          </w:rPr>
          <m:t>τ</m:t>
        </m:r>
      </m:oMath>
      <w:r w:rsidRPr="00750B15">
        <w:rPr>
          <w:rFonts w:eastAsiaTheme="minorEastAsia"/>
          <w:highlight w:val="cyan"/>
        </w:rPr>
        <w:t xml:space="preserve">  =</w:t>
      </w:r>
    </w:p>
    <w:p w14:paraId="0D5264C2" w14:textId="08A4D46C" w:rsidR="00B056CF" w:rsidRPr="00B056CF" w:rsidRDefault="00B056CF" w:rsidP="00E22AA8">
      <w:pPr>
        <w:rPr>
          <w:rFonts w:eastAsiaTheme="minorEastAsia"/>
        </w:rPr>
      </w:pPr>
      <w:r w:rsidRPr="00750B15">
        <w:rPr>
          <w:rFonts w:eastAsiaTheme="minorEastAsia"/>
          <w:highlight w:val="cyan"/>
        </w:rPr>
        <w:t>I       =</w:t>
      </w:r>
    </w:p>
    <w:p w14:paraId="3C94DC87" w14:textId="77777777" w:rsidR="00771DC7" w:rsidRDefault="00771DC7" w:rsidP="00E22AA8"/>
    <w:p w14:paraId="0F5C73AB" w14:textId="67F1FE62" w:rsidR="00750B15" w:rsidRDefault="00750B15" w:rsidP="00E22AA8">
      <w:r>
        <w:t>Compare your estimates to those of Bedford for Feb 4</w:t>
      </w:r>
      <w:r w:rsidRPr="00750B15">
        <w:rPr>
          <w:vertAlign w:val="superscript"/>
        </w:rPr>
        <w:t>th</w:t>
      </w:r>
      <w:r>
        <w:t>. From the blog</w:t>
      </w:r>
    </w:p>
    <w:p w14:paraId="0440A489" w14:textId="09459226" w:rsidR="00750B15" w:rsidRDefault="00692E9C" w:rsidP="00E22AA8">
      <w:pPr>
        <w:rPr>
          <w:rFonts w:eastAsiaTheme="minorEastAsia"/>
        </w:rPr>
      </w:pPr>
      <m:oMath>
        <m:sSub>
          <m:sSubPr>
            <m:ctrlPr>
              <w:rPr>
                <w:rFonts w:ascii="Cambria Math" w:eastAsiaTheme="minorEastAsia" w:hAnsi="Cambria Math"/>
                <w:i/>
                <w:vertAlign w:val="superscript"/>
              </w:rPr>
            </m:ctrlPr>
          </m:sSubPr>
          <m:e>
            <m:r>
              <w:rPr>
                <w:rFonts w:ascii="Cambria Math" w:eastAsiaTheme="minorEastAsia" w:hAnsi="Cambria Math"/>
                <w:vertAlign w:val="superscript"/>
              </w:rPr>
              <m:t>N</m:t>
            </m:r>
          </m:e>
          <m:sub>
            <m:r>
              <w:rPr>
                <w:rFonts w:ascii="Cambria Math" w:eastAsiaTheme="minorEastAsia" w:hAnsi="Cambria Math"/>
                <w:vertAlign w:val="superscript"/>
              </w:rPr>
              <m:t>e</m:t>
            </m:r>
          </m:sub>
        </m:sSub>
        <m:r>
          <w:rPr>
            <w:rFonts w:ascii="Cambria Math" w:hAnsi="Cambria Math"/>
            <w:vertAlign w:val="subscript"/>
          </w:rPr>
          <m:t>τ</m:t>
        </m:r>
      </m:oMath>
      <w:r w:rsidR="00750B15">
        <w:rPr>
          <w:rFonts w:eastAsiaTheme="minorEastAsia"/>
          <w:vertAlign w:val="subscript"/>
        </w:rPr>
        <w:t xml:space="preserve"> </w:t>
      </w:r>
      <w:r w:rsidR="00750B15">
        <w:rPr>
          <w:rFonts w:eastAsiaTheme="minorEastAsia"/>
        </w:rPr>
        <w:t>= 100 - from the Ne(t) figure</w:t>
      </w:r>
    </w:p>
    <w:p w14:paraId="4D047F9D" w14:textId="3AD93A78" w:rsidR="00750B15" w:rsidRDefault="00750B15" w:rsidP="00E22AA8">
      <w:pPr>
        <w:rPr>
          <w:rFonts w:eastAsiaTheme="minorEastAsia"/>
        </w:rPr>
      </w:pPr>
      <w:r>
        <w:rPr>
          <w:rFonts w:eastAsiaTheme="minorEastAsia"/>
        </w:rPr>
        <w:t>I = 28,500 people currently infected - from the point prevalence figure and the text</w:t>
      </w:r>
    </w:p>
    <w:p w14:paraId="3AA4E3C3" w14:textId="62C28555" w:rsidR="00750B15" w:rsidRDefault="00750B15" w:rsidP="00E22AA8">
      <w:pPr>
        <w:rPr>
          <w:rFonts w:eastAsiaTheme="minorEastAsia"/>
        </w:rPr>
      </w:pPr>
    </w:p>
    <w:p w14:paraId="5B81F162" w14:textId="0077FCE9" w:rsidR="00750B15" w:rsidRPr="00750B15" w:rsidRDefault="00750B15" w:rsidP="00E22AA8">
      <w:r w:rsidRPr="00750B15">
        <w:rPr>
          <w:rFonts w:eastAsiaTheme="minorEastAsia"/>
          <w:highlight w:val="cyan"/>
        </w:rPr>
        <w:t>Note whether your estimates are inside his confidence intervals. Which broken assumptions could explain any difference.</w:t>
      </w:r>
    </w:p>
    <w:p w14:paraId="47633FCB" w14:textId="13CA581C" w:rsidR="00750B15" w:rsidRDefault="00A321B1" w:rsidP="00A321B1">
      <w:pPr>
        <w:pStyle w:val="ListParagraph"/>
        <w:numPr>
          <w:ilvl w:val="0"/>
          <w:numId w:val="9"/>
        </w:numPr>
      </w:pPr>
      <w:r w:rsidRPr="00A321B1">
        <w:rPr>
          <w:b/>
          <w:bCs/>
        </w:rPr>
        <w:t>Repeat all of the above to get parameter estimates for today</w:t>
      </w:r>
      <w:r>
        <w:rPr>
          <w:b/>
          <w:bCs/>
        </w:rPr>
        <w:t xml:space="preserve"> (March 6</w:t>
      </w:r>
      <w:r w:rsidRPr="00A321B1">
        <w:rPr>
          <w:b/>
          <w:bCs/>
          <w:vertAlign w:val="superscript"/>
        </w:rPr>
        <w:t>th</w:t>
      </w:r>
      <w:r>
        <w:rPr>
          <w:b/>
          <w:bCs/>
        </w:rPr>
        <w:t xml:space="preserve"> 2020)</w:t>
      </w:r>
    </w:p>
    <w:p w14:paraId="7A3F5D3E" w14:textId="2FED22D9" w:rsidR="00A321B1" w:rsidRDefault="00A321B1" w:rsidP="00E22AA8"/>
    <w:p w14:paraId="05762CC3" w14:textId="7ABA2E0B" w:rsidR="00A60E83" w:rsidRDefault="00A60E83" w:rsidP="00E22AA8">
      <w:pPr>
        <w:rPr>
          <w:highlight w:val="cyan"/>
        </w:rPr>
      </w:pPr>
      <w:r>
        <w:rPr>
          <w:highlight w:val="cyan"/>
        </w:rPr>
        <w:t>Number of genome (n) =</w:t>
      </w:r>
    </w:p>
    <w:p w14:paraId="375E9F32" w14:textId="58E5DDAD" w:rsidR="00A321B1" w:rsidRDefault="00A321B1" w:rsidP="00E22AA8">
      <w:r w:rsidRPr="00A60E83">
        <w:rPr>
          <w:highlight w:val="cyan"/>
        </w:rPr>
        <w:t>SNPs =</w:t>
      </w:r>
      <w:r>
        <w:t xml:space="preserve"> </w:t>
      </w:r>
    </w:p>
    <w:p w14:paraId="6F32EAE4" w14:textId="2F963146" w:rsidR="00A321B1" w:rsidRDefault="00A321B1" w:rsidP="00A321B1">
      <w:pPr>
        <w:rPr>
          <w:highlight w:val="cyan"/>
        </w:rPr>
      </w:pPr>
      <w:proofErr w:type="spellStart"/>
      <w:r>
        <w:rPr>
          <w:highlight w:val="cyan"/>
        </w:rPr>
        <w:t>ThetaW</w:t>
      </w:r>
      <w:proofErr w:type="spellEnd"/>
      <w:r>
        <w:rPr>
          <w:highlight w:val="cyan"/>
        </w:rPr>
        <w:t xml:space="preserve"> =</w:t>
      </w:r>
    </w:p>
    <w:p w14:paraId="2250BB78" w14:textId="1B1AD390" w:rsidR="00A321B1" w:rsidRPr="00750B15" w:rsidRDefault="00A321B1" w:rsidP="00A321B1">
      <w:pPr>
        <w:rPr>
          <w:highlight w:val="cyan"/>
        </w:rPr>
      </w:pPr>
      <w:r w:rsidRPr="00750B15">
        <w:rPr>
          <w:highlight w:val="cyan"/>
        </w:rPr>
        <w:t>N</w:t>
      </w:r>
      <w:r w:rsidRPr="00750B15">
        <w:rPr>
          <w:highlight w:val="cyan"/>
          <w:vertAlign w:val="subscript"/>
        </w:rPr>
        <w:t>e</w:t>
      </w:r>
      <w:r w:rsidRPr="00750B15">
        <w:rPr>
          <w:highlight w:val="cyan"/>
        </w:rPr>
        <w:t xml:space="preserve">    =</w:t>
      </w:r>
    </w:p>
    <w:p w14:paraId="0E34A74A" w14:textId="77777777" w:rsidR="00A321B1" w:rsidRPr="00750B15" w:rsidRDefault="00A321B1" w:rsidP="00A321B1">
      <w:pPr>
        <w:rPr>
          <w:rFonts w:eastAsiaTheme="minorEastAsia"/>
          <w:highlight w:val="cyan"/>
        </w:rPr>
      </w:pPr>
      <w:r w:rsidRPr="00750B15">
        <w:rPr>
          <w:highlight w:val="cyan"/>
        </w:rPr>
        <w:t>N</w:t>
      </w:r>
      <w:r w:rsidRPr="00750B15">
        <w:rPr>
          <w:highlight w:val="cyan"/>
          <w:vertAlign w:val="subscript"/>
        </w:rPr>
        <w:t>e</w:t>
      </w:r>
      <m:oMath>
        <m:r>
          <w:rPr>
            <w:rFonts w:ascii="Cambria Math" w:hAnsi="Cambria Math"/>
            <w:highlight w:val="cyan"/>
            <w:vertAlign w:val="subscript"/>
          </w:rPr>
          <m:t>τ</m:t>
        </m:r>
      </m:oMath>
      <w:r w:rsidRPr="00750B15">
        <w:rPr>
          <w:rFonts w:eastAsiaTheme="minorEastAsia"/>
          <w:highlight w:val="cyan"/>
        </w:rPr>
        <w:t xml:space="preserve">  =</w:t>
      </w:r>
    </w:p>
    <w:p w14:paraId="15027A4F" w14:textId="77777777" w:rsidR="00A321B1" w:rsidRPr="00B056CF" w:rsidRDefault="00A321B1" w:rsidP="00A321B1">
      <w:pPr>
        <w:rPr>
          <w:rFonts w:eastAsiaTheme="minorEastAsia"/>
        </w:rPr>
      </w:pPr>
      <w:r w:rsidRPr="00750B15">
        <w:rPr>
          <w:rFonts w:eastAsiaTheme="minorEastAsia"/>
          <w:highlight w:val="cyan"/>
        </w:rPr>
        <w:t>I       =</w:t>
      </w:r>
    </w:p>
    <w:p w14:paraId="02C582A0" w14:textId="53854618" w:rsidR="00704201" w:rsidRDefault="00704201" w:rsidP="00704201">
      <w:pPr>
        <w:pStyle w:val="ListParagraph"/>
      </w:pPr>
    </w:p>
    <w:p w14:paraId="3ADEE85A" w14:textId="456164D3" w:rsidR="00A60E83" w:rsidRPr="009E32C5" w:rsidRDefault="00A60E83" w:rsidP="00704201">
      <w:pPr>
        <w:pStyle w:val="ListParagraph"/>
      </w:pPr>
      <w:r>
        <w:t>How does your estimate of current cases compare to today’s estimate of 100,000 infections since the epidemic began? Given what you know about the broken assumptions</w:t>
      </w:r>
      <w:r w:rsidR="00FA216F">
        <w:t xml:space="preserve">, do you expect your estimate to be an overestimate or an underestimate? Explain your answer. </w:t>
      </w:r>
    </w:p>
    <w:sectPr w:rsidR="00A60E83" w:rsidRPr="009E32C5" w:rsidSect="00A801A0">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31B1D" w14:textId="77777777" w:rsidR="00692E9C" w:rsidRDefault="00692E9C" w:rsidP="00871EB2">
      <w:r>
        <w:separator/>
      </w:r>
    </w:p>
  </w:endnote>
  <w:endnote w:type="continuationSeparator" w:id="0">
    <w:p w14:paraId="0230D6DF" w14:textId="77777777" w:rsidR="00692E9C" w:rsidRDefault="00692E9C" w:rsidP="00871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5E284" w14:textId="77777777" w:rsidR="005F2484" w:rsidRDefault="005F2484" w:rsidP="005F24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9D7533" w14:textId="77777777" w:rsidR="005F2484" w:rsidRDefault="005F2484" w:rsidP="00871E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4EA51" w14:textId="77777777" w:rsidR="005F2484" w:rsidRDefault="005F2484" w:rsidP="005F24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7EF33D9" w14:textId="77777777" w:rsidR="005F2484" w:rsidRDefault="005F2484" w:rsidP="00871E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EE421" w14:textId="77777777" w:rsidR="00692E9C" w:rsidRDefault="00692E9C" w:rsidP="00871EB2">
      <w:r>
        <w:separator/>
      </w:r>
    </w:p>
  </w:footnote>
  <w:footnote w:type="continuationSeparator" w:id="0">
    <w:p w14:paraId="1739EDDD" w14:textId="77777777" w:rsidR="00692E9C" w:rsidRDefault="00692E9C" w:rsidP="00871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0035F"/>
    <w:multiLevelType w:val="multilevel"/>
    <w:tmpl w:val="4CCA6F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370A96"/>
    <w:multiLevelType w:val="hybridMultilevel"/>
    <w:tmpl w:val="BFA6B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2595F"/>
    <w:multiLevelType w:val="multilevel"/>
    <w:tmpl w:val="8EEC9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110CD9"/>
    <w:multiLevelType w:val="hybridMultilevel"/>
    <w:tmpl w:val="8EEC9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7408C"/>
    <w:multiLevelType w:val="hybridMultilevel"/>
    <w:tmpl w:val="B400F382"/>
    <w:lvl w:ilvl="0" w:tplc="C58292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C19CB"/>
    <w:multiLevelType w:val="hybridMultilevel"/>
    <w:tmpl w:val="331E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E41F0"/>
    <w:multiLevelType w:val="hybridMultilevel"/>
    <w:tmpl w:val="4CCA6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F6833"/>
    <w:multiLevelType w:val="hybridMultilevel"/>
    <w:tmpl w:val="9A24C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C38DC"/>
    <w:multiLevelType w:val="hybridMultilevel"/>
    <w:tmpl w:val="792A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0"/>
  </w:num>
  <w:num w:numId="5">
    <w:abstractNumId w:val="3"/>
  </w:num>
  <w:num w:numId="6">
    <w:abstractNumId w:val="2"/>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0D9"/>
    <w:rsid w:val="0000326A"/>
    <w:rsid w:val="000072DB"/>
    <w:rsid w:val="0001060C"/>
    <w:rsid w:val="000129F0"/>
    <w:rsid w:val="000164F0"/>
    <w:rsid w:val="00021903"/>
    <w:rsid w:val="00023917"/>
    <w:rsid w:val="00033720"/>
    <w:rsid w:val="0006426F"/>
    <w:rsid w:val="00093590"/>
    <w:rsid w:val="00094525"/>
    <w:rsid w:val="000B6086"/>
    <w:rsid w:val="000B7772"/>
    <w:rsid w:val="000C2FD7"/>
    <w:rsid w:val="000D3619"/>
    <w:rsid w:val="000D36EA"/>
    <w:rsid w:val="000D6223"/>
    <w:rsid w:val="00101271"/>
    <w:rsid w:val="00113B41"/>
    <w:rsid w:val="001176C8"/>
    <w:rsid w:val="00120642"/>
    <w:rsid w:val="001252ED"/>
    <w:rsid w:val="00125F0E"/>
    <w:rsid w:val="0012676B"/>
    <w:rsid w:val="00134738"/>
    <w:rsid w:val="00153048"/>
    <w:rsid w:val="0016326A"/>
    <w:rsid w:val="00173628"/>
    <w:rsid w:val="00187D79"/>
    <w:rsid w:val="00195743"/>
    <w:rsid w:val="00195CBA"/>
    <w:rsid w:val="001A3E53"/>
    <w:rsid w:val="001C52DA"/>
    <w:rsid w:val="001D5459"/>
    <w:rsid w:val="001E5C63"/>
    <w:rsid w:val="001F0AB3"/>
    <w:rsid w:val="00207FA7"/>
    <w:rsid w:val="002263F6"/>
    <w:rsid w:val="00251720"/>
    <w:rsid w:val="0025637B"/>
    <w:rsid w:val="0025788A"/>
    <w:rsid w:val="00264F3C"/>
    <w:rsid w:val="00285E82"/>
    <w:rsid w:val="002874E1"/>
    <w:rsid w:val="00295909"/>
    <w:rsid w:val="002A24DF"/>
    <w:rsid w:val="002A4B0F"/>
    <w:rsid w:val="002D26BF"/>
    <w:rsid w:val="002D4846"/>
    <w:rsid w:val="002E7FA0"/>
    <w:rsid w:val="003135CD"/>
    <w:rsid w:val="003217F6"/>
    <w:rsid w:val="0033031D"/>
    <w:rsid w:val="003358D9"/>
    <w:rsid w:val="00343A31"/>
    <w:rsid w:val="00344792"/>
    <w:rsid w:val="00354346"/>
    <w:rsid w:val="00356871"/>
    <w:rsid w:val="003626B0"/>
    <w:rsid w:val="0036572D"/>
    <w:rsid w:val="00371815"/>
    <w:rsid w:val="003741EC"/>
    <w:rsid w:val="003920F6"/>
    <w:rsid w:val="00397128"/>
    <w:rsid w:val="003A4C35"/>
    <w:rsid w:val="003A4D6E"/>
    <w:rsid w:val="003B432B"/>
    <w:rsid w:val="003D482C"/>
    <w:rsid w:val="003F58D9"/>
    <w:rsid w:val="003F68AA"/>
    <w:rsid w:val="00416B08"/>
    <w:rsid w:val="004263BD"/>
    <w:rsid w:val="00433435"/>
    <w:rsid w:val="00440C68"/>
    <w:rsid w:val="004410A3"/>
    <w:rsid w:val="0044200A"/>
    <w:rsid w:val="0045407E"/>
    <w:rsid w:val="004632B7"/>
    <w:rsid w:val="00466B7A"/>
    <w:rsid w:val="00470B3D"/>
    <w:rsid w:val="00471B97"/>
    <w:rsid w:val="0049449E"/>
    <w:rsid w:val="004A0B67"/>
    <w:rsid w:val="004A0ED9"/>
    <w:rsid w:val="004A0EEC"/>
    <w:rsid w:val="004A2196"/>
    <w:rsid w:val="004A44BD"/>
    <w:rsid w:val="004A59DA"/>
    <w:rsid w:val="004B78EB"/>
    <w:rsid w:val="004C2A7E"/>
    <w:rsid w:val="004C4AF3"/>
    <w:rsid w:val="004C68DE"/>
    <w:rsid w:val="004C7E98"/>
    <w:rsid w:val="005022B8"/>
    <w:rsid w:val="0051266E"/>
    <w:rsid w:val="00512AC8"/>
    <w:rsid w:val="0052521F"/>
    <w:rsid w:val="00525500"/>
    <w:rsid w:val="005401BE"/>
    <w:rsid w:val="00545F94"/>
    <w:rsid w:val="00547D9A"/>
    <w:rsid w:val="00575C59"/>
    <w:rsid w:val="0057731E"/>
    <w:rsid w:val="00580F07"/>
    <w:rsid w:val="0058365E"/>
    <w:rsid w:val="00596EEA"/>
    <w:rsid w:val="005B2450"/>
    <w:rsid w:val="005C7C20"/>
    <w:rsid w:val="005D20C4"/>
    <w:rsid w:val="005E0688"/>
    <w:rsid w:val="005E7970"/>
    <w:rsid w:val="005F2484"/>
    <w:rsid w:val="00600F60"/>
    <w:rsid w:val="0060754E"/>
    <w:rsid w:val="00611E94"/>
    <w:rsid w:val="006120D9"/>
    <w:rsid w:val="006155D6"/>
    <w:rsid w:val="00617F28"/>
    <w:rsid w:val="00626813"/>
    <w:rsid w:val="006301FA"/>
    <w:rsid w:val="006461A9"/>
    <w:rsid w:val="006462C8"/>
    <w:rsid w:val="0066022D"/>
    <w:rsid w:val="00674748"/>
    <w:rsid w:val="00684504"/>
    <w:rsid w:val="0069073E"/>
    <w:rsid w:val="00692E9C"/>
    <w:rsid w:val="006B181F"/>
    <w:rsid w:val="006B1C2F"/>
    <w:rsid w:val="006B43A3"/>
    <w:rsid w:val="006C5FE0"/>
    <w:rsid w:val="006C79D4"/>
    <w:rsid w:val="006D7FA0"/>
    <w:rsid w:val="006F0BD6"/>
    <w:rsid w:val="00704201"/>
    <w:rsid w:val="007053B0"/>
    <w:rsid w:val="007061DF"/>
    <w:rsid w:val="007119EF"/>
    <w:rsid w:val="00712ED6"/>
    <w:rsid w:val="007167BF"/>
    <w:rsid w:val="00724D12"/>
    <w:rsid w:val="00727F11"/>
    <w:rsid w:val="00733BD6"/>
    <w:rsid w:val="00737F81"/>
    <w:rsid w:val="00741D2E"/>
    <w:rsid w:val="00745C48"/>
    <w:rsid w:val="00750B15"/>
    <w:rsid w:val="00751876"/>
    <w:rsid w:val="00752460"/>
    <w:rsid w:val="007643B9"/>
    <w:rsid w:val="00771DC7"/>
    <w:rsid w:val="00772343"/>
    <w:rsid w:val="007726B1"/>
    <w:rsid w:val="00775CCC"/>
    <w:rsid w:val="00781E9F"/>
    <w:rsid w:val="00795BF2"/>
    <w:rsid w:val="007B2F0B"/>
    <w:rsid w:val="007B65F4"/>
    <w:rsid w:val="007C60BC"/>
    <w:rsid w:val="007C64D0"/>
    <w:rsid w:val="007C72FC"/>
    <w:rsid w:val="007D6009"/>
    <w:rsid w:val="007F052E"/>
    <w:rsid w:val="00815808"/>
    <w:rsid w:val="008175ED"/>
    <w:rsid w:val="00836C07"/>
    <w:rsid w:val="00846CFD"/>
    <w:rsid w:val="00847ED6"/>
    <w:rsid w:val="00857126"/>
    <w:rsid w:val="00864F2C"/>
    <w:rsid w:val="00867384"/>
    <w:rsid w:val="00871EB2"/>
    <w:rsid w:val="00877581"/>
    <w:rsid w:val="00895763"/>
    <w:rsid w:val="0089759F"/>
    <w:rsid w:val="00897D7C"/>
    <w:rsid w:val="008C438D"/>
    <w:rsid w:val="008D13B3"/>
    <w:rsid w:val="008D496C"/>
    <w:rsid w:val="008E38F0"/>
    <w:rsid w:val="008E749C"/>
    <w:rsid w:val="008F4C4B"/>
    <w:rsid w:val="00901D7E"/>
    <w:rsid w:val="00902580"/>
    <w:rsid w:val="00913C45"/>
    <w:rsid w:val="0091592A"/>
    <w:rsid w:val="0092494D"/>
    <w:rsid w:val="00946550"/>
    <w:rsid w:val="00962FDF"/>
    <w:rsid w:val="00964531"/>
    <w:rsid w:val="00970711"/>
    <w:rsid w:val="00990D03"/>
    <w:rsid w:val="00994745"/>
    <w:rsid w:val="009A046E"/>
    <w:rsid w:val="009C6031"/>
    <w:rsid w:val="009C6259"/>
    <w:rsid w:val="009D769D"/>
    <w:rsid w:val="009E32C5"/>
    <w:rsid w:val="009E3C24"/>
    <w:rsid w:val="009F4546"/>
    <w:rsid w:val="009F7D4F"/>
    <w:rsid w:val="00A13321"/>
    <w:rsid w:val="00A17AF2"/>
    <w:rsid w:val="00A321B1"/>
    <w:rsid w:val="00A60E83"/>
    <w:rsid w:val="00A6299C"/>
    <w:rsid w:val="00A63CA5"/>
    <w:rsid w:val="00A73082"/>
    <w:rsid w:val="00A7655F"/>
    <w:rsid w:val="00A801A0"/>
    <w:rsid w:val="00A81FAF"/>
    <w:rsid w:val="00A84E59"/>
    <w:rsid w:val="00AA2FD7"/>
    <w:rsid w:val="00AC7622"/>
    <w:rsid w:val="00AD3CC0"/>
    <w:rsid w:val="00AE1C07"/>
    <w:rsid w:val="00AF1919"/>
    <w:rsid w:val="00B01A7D"/>
    <w:rsid w:val="00B056CF"/>
    <w:rsid w:val="00B11918"/>
    <w:rsid w:val="00B1761A"/>
    <w:rsid w:val="00B34D81"/>
    <w:rsid w:val="00B53506"/>
    <w:rsid w:val="00B60C89"/>
    <w:rsid w:val="00B6175D"/>
    <w:rsid w:val="00B6744F"/>
    <w:rsid w:val="00B95384"/>
    <w:rsid w:val="00BA0C2F"/>
    <w:rsid w:val="00BB13B8"/>
    <w:rsid w:val="00BB2F17"/>
    <w:rsid w:val="00BC37FF"/>
    <w:rsid w:val="00BC6DBD"/>
    <w:rsid w:val="00BD7305"/>
    <w:rsid w:val="00BE1648"/>
    <w:rsid w:val="00BF2A82"/>
    <w:rsid w:val="00BF2F3F"/>
    <w:rsid w:val="00BF3A80"/>
    <w:rsid w:val="00C9678A"/>
    <w:rsid w:val="00CA4653"/>
    <w:rsid w:val="00CB2C1E"/>
    <w:rsid w:val="00CC23BA"/>
    <w:rsid w:val="00CC278D"/>
    <w:rsid w:val="00CD2B69"/>
    <w:rsid w:val="00CE5367"/>
    <w:rsid w:val="00CF083A"/>
    <w:rsid w:val="00CF4CE1"/>
    <w:rsid w:val="00D12457"/>
    <w:rsid w:val="00D2002A"/>
    <w:rsid w:val="00D24BBD"/>
    <w:rsid w:val="00D305EE"/>
    <w:rsid w:val="00D31BAF"/>
    <w:rsid w:val="00D34CD2"/>
    <w:rsid w:val="00D37D93"/>
    <w:rsid w:val="00D54A7F"/>
    <w:rsid w:val="00D54AE0"/>
    <w:rsid w:val="00D639E8"/>
    <w:rsid w:val="00D832E3"/>
    <w:rsid w:val="00DA0133"/>
    <w:rsid w:val="00DA727B"/>
    <w:rsid w:val="00DB2D5F"/>
    <w:rsid w:val="00DC3A91"/>
    <w:rsid w:val="00DC3C92"/>
    <w:rsid w:val="00DC5249"/>
    <w:rsid w:val="00DE2B9D"/>
    <w:rsid w:val="00DF04CD"/>
    <w:rsid w:val="00E142AF"/>
    <w:rsid w:val="00E22A05"/>
    <w:rsid w:val="00E22AA8"/>
    <w:rsid w:val="00E40AAF"/>
    <w:rsid w:val="00E52684"/>
    <w:rsid w:val="00E6538A"/>
    <w:rsid w:val="00E95BE8"/>
    <w:rsid w:val="00EA56D2"/>
    <w:rsid w:val="00EB14C1"/>
    <w:rsid w:val="00EB223A"/>
    <w:rsid w:val="00EC64B5"/>
    <w:rsid w:val="00EC6CB7"/>
    <w:rsid w:val="00ED527E"/>
    <w:rsid w:val="00ED5B64"/>
    <w:rsid w:val="00ED667D"/>
    <w:rsid w:val="00EF1525"/>
    <w:rsid w:val="00EF4D0F"/>
    <w:rsid w:val="00F0174A"/>
    <w:rsid w:val="00F05B86"/>
    <w:rsid w:val="00F102F8"/>
    <w:rsid w:val="00F10B87"/>
    <w:rsid w:val="00F2071D"/>
    <w:rsid w:val="00F26220"/>
    <w:rsid w:val="00F27387"/>
    <w:rsid w:val="00F3628D"/>
    <w:rsid w:val="00F42E49"/>
    <w:rsid w:val="00F50C2D"/>
    <w:rsid w:val="00F61FA6"/>
    <w:rsid w:val="00F64DA4"/>
    <w:rsid w:val="00FA0577"/>
    <w:rsid w:val="00FA216F"/>
    <w:rsid w:val="00FB0468"/>
    <w:rsid w:val="00FC54E8"/>
    <w:rsid w:val="00FF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8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52684"/>
    <w:rPr>
      <w:rFonts w:ascii="Helvetica" w:hAnsi="Helvetic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A82"/>
    <w:rPr>
      <w:color w:val="0563C1" w:themeColor="hyperlink"/>
      <w:u w:val="single"/>
    </w:rPr>
  </w:style>
  <w:style w:type="paragraph" w:styleId="ListParagraph">
    <w:name w:val="List Paragraph"/>
    <w:basedOn w:val="Normal"/>
    <w:uiPriority w:val="34"/>
    <w:qFormat/>
    <w:rsid w:val="00A13321"/>
    <w:pPr>
      <w:ind w:left="720"/>
      <w:contextualSpacing/>
    </w:pPr>
  </w:style>
  <w:style w:type="paragraph" w:styleId="HTMLPreformatted">
    <w:name w:val="HTML Preformatted"/>
    <w:basedOn w:val="Normal"/>
    <w:link w:val="HTMLPreformattedChar"/>
    <w:uiPriority w:val="99"/>
    <w:semiHidden/>
    <w:unhideWhenUsed/>
    <w:rsid w:val="00E95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95BE8"/>
    <w:rPr>
      <w:rFonts w:ascii="Courier New" w:hAnsi="Courier New" w:cs="Courier New"/>
      <w:sz w:val="20"/>
      <w:szCs w:val="20"/>
    </w:rPr>
  </w:style>
  <w:style w:type="character" w:styleId="HTMLCode">
    <w:name w:val="HTML Code"/>
    <w:basedOn w:val="DefaultParagraphFont"/>
    <w:uiPriority w:val="99"/>
    <w:semiHidden/>
    <w:unhideWhenUsed/>
    <w:rsid w:val="00E95BE8"/>
    <w:rPr>
      <w:rFonts w:ascii="Courier New" w:eastAsiaTheme="minorHAnsi" w:hAnsi="Courier New" w:cs="Courier New"/>
      <w:sz w:val="20"/>
      <w:szCs w:val="20"/>
    </w:rPr>
  </w:style>
  <w:style w:type="table" w:styleId="TableGrid">
    <w:name w:val="Table Grid"/>
    <w:basedOn w:val="TableNormal"/>
    <w:uiPriority w:val="39"/>
    <w:rsid w:val="00F05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7FA7"/>
    <w:pPr>
      <w:spacing w:before="100" w:beforeAutospacing="1" w:after="100" w:afterAutospacing="1"/>
    </w:pPr>
    <w:rPr>
      <w:rFonts w:ascii="Times New Roman" w:eastAsiaTheme="minorEastAsia" w:hAnsi="Times New Roman" w:cs="Times New Roman"/>
      <w:sz w:val="24"/>
    </w:rPr>
  </w:style>
  <w:style w:type="paragraph" w:styleId="Footer">
    <w:name w:val="footer"/>
    <w:basedOn w:val="Normal"/>
    <w:link w:val="FooterChar"/>
    <w:uiPriority w:val="99"/>
    <w:unhideWhenUsed/>
    <w:rsid w:val="00871EB2"/>
    <w:pPr>
      <w:tabs>
        <w:tab w:val="center" w:pos="4680"/>
        <w:tab w:val="right" w:pos="9360"/>
      </w:tabs>
    </w:pPr>
  </w:style>
  <w:style w:type="character" w:customStyle="1" w:styleId="FooterChar">
    <w:name w:val="Footer Char"/>
    <w:basedOn w:val="DefaultParagraphFont"/>
    <w:link w:val="Footer"/>
    <w:uiPriority w:val="99"/>
    <w:rsid w:val="00871EB2"/>
    <w:rPr>
      <w:rFonts w:ascii="Helvetica" w:hAnsi="Helvetica"/>
      <w:sz w:val="22"/>
    </w:rPr>
  </w:style>
  <w:style w:type="character" w:styleId="PageNumber">
    <w:name w:val="page number"/>
    <w:basedOn w:val="DefaultParagraphFont"/>
    <w:uiPriority w:val="99"/>
    <w:semiHidden/>
    <w:unhideWhenUsed/>
    <w:rsid w:val="00871EB2"/>
  </w:style>
  <w:style w:type="character" w:styleId="PlaceholderText">
    <w:name w:val="Placeholder Text"/>
    <w:basedOn w:val="DefaultParagraphFont"/>
    <w:uiPriority w:val="99"/>
    <w:semiHidden/>
    <w:rsid w:val="000D6223"/>
    <w:rPr>
      <w:color w:val="808080"/>
    </w:rPr>
  </w:style>
  <w:style w:type="character" w:styleId="FollowedHyperlink">
    <w:name w:val="FollowedHyperlink"/>
    <w:basedOn w:val="DefaultParagraphFont"/>
    <w:uiPriority w:val="99"/>
    <w:semiHidden/>
    <w:unhideWhenUsed/>
    <w:rsid w:val="00F42E49"/>
    <w:rPr>
      <w:color w:val="954F72" w:themeColor="followedHyperlink"/>
      <w:u w:val="single"/>
    </w:rPr>
  </w:style>
  <w:style w:type="character" w:styleId="UnresolvedMention">
    <w:name w:val="Unresolved Mention"/>
    <w:basedOn w:val="DefaultParagraphFont"/>
    <w:uiPriority w:val="99"/>
    <w:rsid w:val="00617F28"/>
    <w:rPr>
      <w:color w:val="605E5C"/>
      <w:shd w:val="clear" w:color="auto" w:fill="E1DFDD"/>
    </w:rPr>
  </w:style>
  <w:style w:type="character" w:customStyle="1" w:styleId="mord">
    <w:name w:val="mord"/>
    <w:basedOn w:val="DefaultParagraphFont"/>
    <w:rsid w:val="0058365E"/>
  </w:style>
  <w:style w:type="character" w:customStyle="1" w:styleId="fontsize-ensurer">
    <w:name w:val="fontsize-ensurer"/>
    <w:basedOn w:val="DefaultParagraphFont"/>
    <w:rsid w:val="0058365E"/>
  </w:style>
  <w:style w:type="character" w:customStyle="1" w:styleId="baseline-fix">
    <w:name w:val="baseline-fix"/>
    <w:basedOn w:val="DefaultParagraphFont"/>
    <w:rsid w:val="0058365E"/>
  </w:style>
  <w:style w:type="paragraph" w:styleId="Header">
    <w:name w:val="header"/>
    <w:basedOn w:val="Normal"/>
    <w:link w:val="HeaderChar"/>
    <w:uiPriority w:val="99"/>
    <w:unhideWhenUsed/>
    <w:rsid w:val="00795BF2"/>
    <w:pPr>
      <w:tabs>
        <w:tab w:val="center" w:pos="4680"/>
        <w:tab w:val="right" w:pos="9360"/>
      </w:tabs>
    </w:pPr>
  </w:style>
  <w:style w:type="character" w:customStyle="1" w:styleId="HeaderChar">
    <w:name w:val="Header Char"/>
    <w:basedOn w:val="DefaultParagraphFont"/>
    <w:link w:val="Header"/>
    <w:uiPriority w:val="99"/>
    <w:rsid w:val="00795BF2"/>
    <w:rPr>
      <w:rFonts w:ascii="Helvetica" w:hAnsi="Helvetic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6838">
      <w:bodyDiv w:val="1"/>
      <w:marLeft w:val="0"/>
      <w:marRight w:val="0"/>
      <w:marTop w:val="0"/>
      <w:marBottom w:val="0"/>
      <w:divBdr>
        <w:top w:val="none" w:sz="0" w:space="0" w:color="auto"/>
        <w:left w:val="none" w:sz="0" w:space="0" w:color="auto"/>
        <w:bottom w:val="none" w:sz="0" w:space="0" w:color="auto"/>
        <w:right w:val="none" w:sz="0" w:space="0" w:color="auto"/>
      </w:divBdr>
    </w:div>
    <w:div w:id="135294359">
      <w:bodyDiv w:val="1"/>
      <w:marLeft w:val="0"/>
      <w:marRight w:val="0"/>
      <w:marTop w:val="0"/>
      <w:marBottom w:val="0"/>
      <w:divBdr>
        <w:top w:val="none" w:sz="0" w:space="0" w:color="auto"/>
        <w:left w:val="none" w:sz="0" w:space="0" w:color="auto"/>
        <w:bottom w:val="none" w:sz="0" w:space="0" w:color="auto"/>
        <w:right w:val="none" w:sz="0" w:space="0" w:color="auto"/>
      </w:divBdr>
      <w:divsChild>
        <w:div w:id="1318460878">
          <w:marLeft w:val="480"/>
          <w:marRight w:val="0"/>
          <w:marTop w:val="0"/>
          <w:marBottom w:val="0"/>
          <w:divBdr>
            <w:top w:val="none" w:sz="0" w:space="0" w:color="auto"/>
            <w:left w:val="none" w:sz="0" w:space="0" w:color="auto"/>
            <w:bottom w:val="none" w:sz="0" w:space="0" w:color="auto"/>
            <w:right w:val="none" w:sz="0" w:space="0" w:color="auto"/>
          </w:divBdr>
          <w:divsChild>
            <w:div w:id="11590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232">
      <w:bodyDiv w:val="1"/>
      <w:marLeft w:val="0"/>
      <w:marRight w:val="0"/>
      <w:marTop w:val="0"/>
      <w:marBottom w:val="0"/>
      <w:divBdr>
        <w:top w:val="none" w:sz="0" w:space="0" w:color="auto"/>
        <w:left w:val="none" w:sz="0" w:space="0" w:color="auto"/>
        <w:bottom w:val="none" w:sz="0" w:space="0" w:color="auto"/>
        <w:right w:val="none" w:sz="0" w:space="0" w:color="auto"/>
      </w:divBdr>
      <w:divsChild>
        <w:div w:id="1444307711">
          <w:marLeft w:val="480"/>
          <w:marRight w:val="0"/>
          <w:marTop w:val="0"/>
          <w:marBottom w:val="0"/>
          <w:divBdr>
            <w:top w:val="none" w:sz="0" w:space="0" w:color="auto"/>
            <w:left w:val="none" w:sz="0" w:space="0" w:color="auto"/>
            <w:bottom w:val="none" w:sz="0" w:space="0" w:color="auto"/>
            <w:right w:val="none" w:sz="0" w:space="0" w:color="auto"/>
          </w:divBdr>
          <w:divsChild>
            <w:div w:id="7601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6836">
      <w:bodyDiv w:val="1"/>
      <w:marLeft w:val="0"/>
      <w:marRight w:val="0"/>
      <w:marTop w:val="0"/>
      <w:marBottom w:val="0"/>
      <w:divBdr>
        <w:top w:val="none" w:sz="0" w:space="0" w:color="auto"/>
        <w:left w:val="none" w:sz="0" w:space="0" w:color="auto"/>
        <w:bottom w:val="none" w:sz="0" w:space="0" w:color="auto"/>
        <w:right w:val="none" w:sz="0" w:space="0" w:color="auto"/>
      </w:divBdr>
    </w:div>
    <w:div w:id="165899857">
      <w:bodyDiv w:val="1"/>
      <w:marLeft w:val="0"/>
      <w:marRight w:val="0"/>
      <w:marTop w:val="0"/>
      <w:marBottom w:val="0"/>
      <w:divBdr>
        <w:top w:val="none" w:sz="0" w:space="0" w:color="auto"/>
        <w:left w:val="none" w:sz="0" w:space="0" w:color="auto"/>
        <w:bottom w:val="none" w:sz="0" w:space="0" w:color="auto"/>
        <w:right w:val="none" w:sz="0" w:space="0" w:color="auto"/>
      </w:divBdr>
    </w:div>
    <w:div w:id="190806629">
      <w:bodyDiv w:val="1"/>
      <w:marLeft w:val="0"/>
      <w:marRight w:val="0"/>
      <w:marTop w:val="0"/>
      <w:marBottom w:val="0"/>
      <w:divBdr>
        <w:top w:val="none" w:sz="0" w:space="0" w:color="auto"/>
        <w:left w:val="none" w:sz="0" w:space="0" w:color="auto"/>
        <w:bottom w:val="none" w:sz="0" w:space="0" w:color="auto"/>
        <w:right w:val="none" w:sz="0" w:space="0" w:color="auto"/>
      </w:divBdr>
      <w:divsChild>
        <w:div w:id="1692533153">
          <w:marLeft w:val="480"/>
          <w:marRight w:val="0"/>
          <w:marTop w:val="0"/>
          <w:marBottom w:val="0"/>
          <w:divBdr>
            <w:top w:val="none" w:sz="0" w:space="0" w:color="auto"/>
            <w:left w:val="none" w:sz="0" w:space="0" w:color="auto"/>
            <w:bottom w:val="none" w:sz="0" w:space="0" w:color="auto"/>
            <w:right w:val="none" w:sz="0" w:space="0" w:color="auto"/>
          </w:divBdr>
          <w:divsChild>
            <w:div w:id="2236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095">
      <w:bodyDiv w:val="1"/>
      <w:marLeft w:val="0"/>
      <w:marRight w:val="0"/>
      <w:marTop w:val="0"/>
      <w:marBottom w:val="0"/>
      <w:divBdr>
        <w:top w:val="none" w:sz="0" w:space="0" w:color="auto"/>
        <w:left w:val="none" w:sz="0" w:space="0" w:color="auto"/>
        <w:bottom w:val="none" w:sz="0" w:space="0" w:color="auto"/>
        <w:right w:val="none" w:sz="0" w:space="0" w:color="auto"/>
      </w:divBdr>
    </w:div>
    <w:div w:id="282807010">
      <w:bodyDiv w:val="1"/>
      <w:marLeft w:val="0"/>
      <w:marRight w:val="0"/>
      <w:marTop w:val="0"/>
      <w:marBottom w:val="0"/>
      <w:divBdr>
        <w:top w:val="none" w:sz="0" w:space="0" w:color="auto"/>
        <w:left w:val="none" w:sz="0" w:space="0" w:color="auto"/>
        <w:bottom w:val="none" w:sz="0" w:space="0" w:color="auto"/>
        <w:right w:val="none" w:sz="0" w:space="0" w:color="auto"/>
      </w:divBdr>
    </w:div>
    <w:div w:id="320275038">
      <w:bodyDiv w:val="1"/>
      <w:marLeft w:val="0"/>
      <w:marRight w:val="0"/>
      <w:marTop w:val="0"/>
      <w:marBottom w:val="0"/>
      <w:divBdr>
        <w:top w:val="none" w:sz="0" w:space="0" w:color="auto"/>
        <w:left w:val="none" w:sz="0" w:space="0" w:color="auto"/>
        <w:bottom w:val="none" w:sz="0" w:space="0" w:color="auto"/>
        <w:right w:val="none" w:sz="0" w:space="0" w:color="auto"/>
      </w:divBdr>
      <w:divsChild>
        <w:div w:id="672299250">
          <w:marLeft w:val="480"/>
          <w:marRight w:val="0"/>
          <w:marTop w:val="0"/>
          <w:marBottom w:val="0"/>
          <w:divBdr>
            <w:top w:val="none" w:sz="0" w:space="0" w:color="auto"/>
            <w:left w:val="none" w:sz="0" w:space="0" w:color="auto"/>
            <w:bottom w:val="none" w:sz="0" w:space="0" w:color="auto"/>
            <w:right w:val="none" w:sz="0" w:space="0" w:color="auto"/>
          </w:divBdr>
          <w:divsChild>
            <w:div w:id="13401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7813">
      <w:bodyDiv w:val="1"/>
      <w:marLeft w:val="0"/>
      <w:marRight w:val="0"/>
      <w:marTop w:val="0"/>
      <w:marBottom w:val="0"/>
      <w:divBdr>
        <w:top w:val="none" w:sz="0" w:space="0" w:color="auto"/>
        <w:left w:val="none" w:sz="0" w:space="0" w:color="auto"/>
        <w:bottom w:val="none" w:sz="0" w:space="0" w:color="auto"/>
        <w:right w:val="none" w:sz="0" w:space="0" w:color="auto"/>
      </w:divBdr>
      <w:divsChild>
        <w:div w:id="1788501061">
          <w:marLeft w:val="0"/>
          <w:marRight w:val="0"/>
          <w:marTop w:val="0"/>
          <w:marBottom w:val="0"/>
          <w:divBdr>
            <w:top w:val="none" w:sz="0" w:space="0" w:color="auto"/>
            <w:left w:val="none" w:sz="0" w:space="0" w:color="auto"/>
            <w:bottom w:val="none" w:sz="0" w:space="0" w:color="auto"/>
            <w:right w:val="none" w:sz="0" w:space="0" w:color="auto"/>
          </w:divBdr>
          <w:divsChild>
            <w:div w:id="1898852348">
              <w:marLeft w:val="0"/>
              <w:marRight w:val="0"/>
              <w:marTop w:val="0"/>
              <w:marBottom w:val="0"/>
              <w:divBdr>
                <w:top w:val="none" w:sz="0" w:space="0" w:color="auto"/>
                <w:left w:val="none" w:sz="0" w:space="0" w:color="auto"/>
                <w:bottom w:val="none" w:sz="0" w:space="0" w:color="auto"/>
                <w:right w:val="none" w:sz="0" w:space="0" w:color="auto"/>
              </w:divBdr>
              <w:divsChild>
                <w:div w:id="2037542492">
                  <w:marLeft w:val="0"/>
                  <w:marRight w:val="0"/>
                  <w:marTop w:val="0"/>
                  <w:marBottom w:val="0"/>
                  <w:divBdr>
                    <w:top w:val="none" w:sz="0" w:space="0" w:color="auto"/>
                    <w:left w:val="none" w:sz="0" w:space="0" w:color="auto"/>
                    <w:bottom w:val="none" w:sz="0" w:space="0" w:color="auto"/>
                    <w:right w:val="none" w:sz="0" w:space="0" w:color="auto"/>
                  </w:divBdr>
                  <w:divsChild>
                    <w:div w:id="1424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86999">
          <w:marLeft w:val="0"/>
          <w:marRight w:val="0"/>
          <w:marTop w:val="0"/>
          <w:marBottom w:val="0"/>
          <w:divBdr>
            <w:top w:val="none" w:sz="0" w:space="0" w:color="auto"/>
            <w:left w:val="none" w:sz="0" w:space="0" w:color="auto"/>
            <w:bottom w:val="none" w:sz="0" w:space="0" w:color="auto"/>
            <w:right w:val="none" w:sz="0" w:space="0" w:color="auto"/>
          </w:divBdr>
          <w:divsChild>
            <w:div w:id="1529828242">
              <w:marLeft w:val="0"/>
              <w:marRight w:val="0"/>
              <w:marTop w:val="0"/>
              <w:marBottom w:val="0"/>
              <w:divBdr>
                <w:top w:val="none" w:sz="0" w:space="0" w:color="auto"/>
                <w:left w:val="none" w:sz="0" w:space="0" w:color="auto"/>
                <w:bottom w:val="none" w:sz="0" w:space="0" w:color="auto"/>
                <w:right w:val="none" w:sz="0" w:space="0" w:color="auto"/>
              </w:divBdr>
            </w:div>
          </w:divsChild>
        </w:div>
        <w:div w:id="1751853979">
          <w:marLeft w:val="0"/>
          <w:marRight w:val="0"/>
          <w:marTop w:val="0"/>
          <w:marBottom w:val="0"/>
          <w:divBdr>
            <w:top w:val="none" w:sz="0" w:space="0" w:color="auto"/>
            <w:left w:val="none" w:sz="0" w:space="0" w:color="auto"/>
            <w:bottom w:val="none" w:sz="0" w:space="0" w:color="auto"/>
            <w:right w:val="none" w:sz="0" w:space="0" w:color="auto"/>
          </w:divBdr>
        </w:div>
        <w:div w:id="1674259600">
          <w:marLeft w:val="0"/>
          <w:marRight w:val="0"/>
          <w:marTop w:val="0"/>
          <w:marBottom w:val="0"/>
          <w:divBdr>
            <w:top w:val="none" w:sz="0" w:space="0" w:color="auto"/>
            <w:left w:val="none" w:sz="0" w:space="0" w:color="auto"/>
            <w:bottom w:val="none" w:sz="0" w:space="0" w:color="auto"/>
            <w:right w:val="none" w:sz="0" w:space="0" w:color="auto"/>
          </w:divBdr>
          <w:divsChild>
            <w:div w:id="1676377160">
              <w:marLeft w:val="0"/>
              <w:marRight w:val="0"/>
              <w:marTop w:val="0"/>
              <w:marBottom w:val="0"/>
              <w:divBdr>
                <w:top w:val="none" w:sz="0" w:space="0" w:color="auto"/>
                <w:left w:val="none" w:sz="0" w:space="0" w:color="auto"/>
                <w:bottom w:val="none" w:sz="0" w:space="0" w:color="auto"/>
                <w:right w:val="none" w:sz="0" w:space="0" w:color="auto"/>
              </w:divBdr>
            </w:div>
            <w:div w:id="19242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2873">
      <w:bodyDiv w:val="1"/>
      <w:marLeft w:val="0"/>
      <w:marRight w:val="0"/>
      <w:marTop w:val="0"/>
      <w:marBottom w:val="0"/>
      <w:divBdr>
        <w:top w:val="none" w:sz="0" w:space="0" w:color="auto"/>
        <w:left w:val="none" w:sz="0" w:space="0" w:color="auto"/>
        <w:bottom w:val="none" w:sz="0" w:space="0" w:color="auto"/>
        <w:right w:val="none" w:sz="0" w:space="0" w:color="auto"/>
      </w:divBdr>
    </w:div>
    <w:div w:id="614866485">
      <w:bodyDiv w:val="1"/>
      <w:marLeft w:val="0"/>
      <w:marRight w:val="0"/>
      <w:marTop w:val="0"/>
      <w:marBottom w:val="0"/>
      <w:divBdr>
        <w:top w:val="none" w:sz="0" w:space="0" w:color="auto"/>
        <w:left w:val="none" w:sz="0" w:space="0" w:color="auto"/>
        <w:bottom w:val="none" w:sz="0" w:space="0" w:color="auto"/>
        <w:right w:val="none" w:sz="0" w:space="0" w:color="auto"/>
      </w:divBdr>
    </w:div>
    <w:div w:id="638845387">
      <w:bodyDiv w:val="1"/>
      <w:marLeft w:val="0"/>
      <w:marRight w:val="0"/>
      <w:marTop w:val="0"/>
      <w:marBottom w:val="0"/>
      <w:divBdr>
        <w:top w:val="none" w:sz="0" w:space="0" w:color="auto"/>
        <w:left w:val="none" w:sz="0" w:space="0" w:color="auto"/>
        <w:bottom w:val="none" w:sz="0" w:space="0" w:color="auto"/>
        <w:right w:val="none" w:sz="0" w:space="0" w:color="auto"/>
      </w:divBdr>
    </w:div>
    <w:div w:id="641498867">
      <w:bodyDiv w:val="1"/>
      <w:marLeft w:val="0"/>
      <w:marRight w:val="0"/>
      <w:marTop w:val="0"/>
      <w:marBottom w:val="0"/>
      <w:divBdr>
        <w:top w:val="none" w:sz="0" w:space="0" w:color="auto"/>
        <w:left w:val="none" w:sz="0" w:space="0" w:color="auto"/>
        <w:bottom w:val="none" w:sz="0" w:space="0" w:color="auto"/>
        <w:right w:val="none" w:sz="0" w:space="0" w:color="auto"/>
      </w:divBdr>
    </w:div>
    <w:div w:id="720517324">
      <w:bodyDiv w:val="1"/>
      <w:marLeft w:val="0"/>
      <w:marRight w:val="0"/>
      <w:marTop w:val="0"/>
      <w:marBottom w:val="0"/>
      <w:divBdr>
        <w:top w:val="none" w:sz="0" w:space="0" w:color="auto"/>
        <w:left w:val="none" w:sz="0" w:space="0" w:color="auto"/>
        <w:bottom w:val="none" w:sz="0" w:space="0" w:color="auto"/>
        <w:right w:val="none" w:sz="0" w:space="0" w:color="auto"/>
      </w:divBdr>
    </w:div>
    <w:div w:id="771170300">
      <w:bodyDiv w:val="1"/>
      <w:marLeft w:val="0"/>
      <w:marRight w:val="0"/>
      <w:marTop w:val="0"/>
      <w:marBottom w:val="0"/>
      <w:divBdr>
        <w:top w:val="none" w:sz="0" w:space="0" w:color="auto"/>
        <w:left w:val="none" w:sz="0" w:space="0" w:color="auto"/>
        <w:bottom w:val="none" w:sz="0" w:space="0" w:color="auto"/>
        <w:right w:val="none" w:sz="0" w:space="0" w:color="auto"/>
      </w:divBdr>
      <w:divsChild>
        <w:div w:id="933561411">
          <w:marLeft w:val="0"/>
          <w:marRight w:val="0"/>
          <w:marTop w:val="0"/>
          <w:marBottom w:val="0"/>
          <w:divBdr>
            <w:top w:val="none" w:sz="0" w:space="0" w:color="auto"/>
            <w:left w:val="none" w:sz="0" w:space="0" w:color="auto"/>
            <w:bottom w:val="none" w:sz="0" w:space="0" w:color="auto"/>
            <w:right w:val="none" w:sz="0" w:space="0" w:color="auto"/>
          </w:divBdr>
        </w:div>
        <w:div w:id="415321221">
          <w:marLeft w:val="0"/>
          <w:marRight w:val="0"/>
          <w:marTop w:val="0"/>
          <w:marBottom w:val="0"/>
          <w:divBdr>
            <w:top w:val="none" w:sz="0" w:space="0" w:color="auto"/>
            <w:left w:val="none" w:sz="0" w:space="0" w:color="auto"/>
            <w:bottom w:val="none" w:sz="0" w:space="0" w:color="auto"/>
            <w:right w:val="none" w:sz="0" w:space="0" w:color="auto"/>
          </w:divBdr>
        </w:div>
      </w:divsChild>
    </w:div>
    <w:div w:id="786897477">
      <w:bodyDiv w:val="1"/>
      <w:marLeft w:val="0"/>
      <w:marRight w:val="0"/>
      <w:marTop w:val="0"/>
      <w:marBottom w:val="0"/>
      <w:divBdr>
        <w:top w:val="none" w:sz="0" w:space="0" w:color="auto"/>
        <w:left w:val="none" w:sz="0" w:space="0" w:color="auto"/>
        <w:bottom w:val="none" w:sz="0" w:space="0" w:color="auto"/>
        <w:right w:val="none" w:sz="0" w:space="0" w:color="auto"/>
      </w:divBdr>
    </w:div>
    <w:div w:id="792211764">
      <w:bodyDiv w:val="1"/>
      <w:marLeft w:val="0"/>
      <w:marRight w:val="0"/>
      <w:marTop w:val="0"/>
      <w:marBottom w:val="0"/>
      <w:divBdr>
        <w:top w:val="none" w:sz="0" w:space="0" w:color="auto"/>
        <w:left w:val="none" w:sz="0" w:space="0" w:color="auto"/>
        <w:bottom w:val="none" w:sz="0" w:space="0" w:color="auto"/>
        <w:right w:val="none" w:sz="0" w:space="0" w:color="auto"/>
      </w:divBdr>
      <w:divsChild>
        <w:div w:id="210925124">
          <w:marLeft w:val="480"/>
          <w:marRight w:val="0"/>
          <w:marTop w:val="0"/>
          <w:marBottom w:val="0"/>
          <w:divBdr>
            <w:top w:val="none" w:sz="0" w:space="0" w:color="auto"/>
            <w:left w:val="none" w:sz="0" w:space="0" w:color="auto"/>
            <w:bottom w:val="none" w:sz="0" w:space="0" w:color="auto"/>
            <w:right w:val="none" w:sz="0" w:space="0" w:color="auto"/>
          </w:divBdr>
          <w:divsChild>
            <w:div w:id="17601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1788">
      <w:bodyDiv w:val="1"/>
      <w:marLeft w:val="0"/>
      <w:marRight w:val="0"/>
      <w:marTop w:val="0"/>
      <w:marBottom w:val="0"/>
      <w:divBdr>
        <w:top w:val="none" w:sz="0" w:space="0" w:color="auto"/>
        <w:left w:val="none" w:sz="0" w:space="0" w:color="auto"/>
        <w:bottom w:val="none" w:sz="0" w:space="0" w:color="auto"/>
        <w:right w:val="none" w:sz="0" w:space="0" w:color="auto"/>
      </w:divBdr>
      <w:divsChild>
        <w:div w:id="1032919444">
          <w:marLeft w:val="0"/>
          <w:marRight w:val="0"/>
          <w:marTop w:val="0"/>
          <w:marBottom w:val="0"/>
          <w:divBdr>
            <w:top w:val="none" w:sz="0" w:space="0" w:color="auto"/>
            <w:left w:val="none" w:sz="0" w:space="0" w:color="auto"/>
            <w:bottom w:val="none" w:sz="0" w:space="0" w:color="auto"/>
            <w:right w:val="none" w:sz="0" w:space="0" w:color="auto"/>
          </w:divBdr>
          <w:divsChild>
            <w:div w:id="830029079">
              <w:marLeft w:val="0"/>
              <w:marRight w:val="0"/>
              <w:marTop w:val="0"/>
              <w:marBottom w:val="0"/>
              <w:divBdr>
                <w:top w:val="none" w:sz="0" w:space="0" w:color="auto"/>
                <w:left w:val="none" w:sz="0" w:space="0" w:color="auto"/>
                <w:bottom w:val="none" w:sz="0" w:space="0" w:color="auto"/>
                <w:right w:val="none" w:sz="0" w:space="0" w:color="auto"/>
              </w:divBdr>
              <w:divsChild>
                <w:div w:id="1496803323">
                  <w:marLeft w:val="0"/>
                  <w:marRight w:val="0"/>
                  <w:marTop w:val="0"/>
                  <w:marBottom w:val="0"/>
                  <w:divBdr>
                    <w:top w:val="none" w:sz="0" w:space="0" w:color="auto"/>
                    <w:left w:val="none" w:sz="0" w:space="0" w:color="auto"/>
                    <w:bottom w:val="none" w:sz="0" w:space="0" w:color="auto"/>
                    <w:right w:val="none" w:sz="0" w:space="0" w:color="auto"/>
                  </w:divBdr>
                  <w:divsChild>
                    <w:div w:id="5461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5103">
          <w:marLeft w:val="0"/>
          <w:marRight w:val="0"/>
          <w:marTop w:val="0"/>
          <w:marBottom w:val="0"/>
          <w:divBdr>
            <w:top w:val="none" w:sz="0" w:space="0" w:color="auto"/>
            <w:left w:val="none" w:sz="0" w:space="0" w:color="auto"/>
            <w:bottom w:val="none" w:sz="0" w:space="0" w:color="auto"/>
            <w:right w:val="none" w:sz="0" w:space="0" w:color="auto"/>
          </w:divBdr>
          <w:divsChild>
            <w:div w:id="1271739970">
              <w:marLeft w:val="0"/>
              <w:marRight w:val="0"/>
              <w:marTop w:val="0"/>
              <w:marBottom w:val="0"/>
              <w:divBdr>
                <w:top w:val="none" w:sz="0" w:space="0" w:color="auto"/>
                <w:left w:val="none" w:sz="0" w:space="0" w:color="auto"/>
                <w:bottom w:val="none" w:sz="0" w:space="0" w:color="auto"/>
                <w:right w:val="none" w:sz="0" w:space="0" w:color="auto"/>
              </w:divBdr>
            </w:div>
          </w:divsChild>
        </w:div>
        <w:div w:id="434835259">
          <w:marLeft w:val="0"/>
          <w:marRight w:val="0"/>
          <w:marTop w:val="0"/>
          <w:marBottom w:val="0"/>
          <w:divBdr>
            <w:top w:val="none" w:sz="0" w:space="0" w:color="auto"/>
            <w:left w:val="none" w:sz="0" w:space="0" w:color="auto"/>
            <w:bottom w:val="none" w:sz="0" w:space="0" w:color="auto"/>
            <w:right w:val="none" w:sz="0" w:space="0" w:color="auto"/>
          </w:divBdr>
        </w:div>
        <w:div w:id="235240448">
          <w:marLeft w:val="0"/>
          <w:marRight w:val="0"/>
          <w:marTop w:val="0"/>
          <w:marBottom w:val="0"/>
          <w:divBdr>
            <w:top w:val="none" w:sz="0" w:space="0" w:color="auto"/>
            <w:left w:val="none" w:sz="0" w:space="0" w:color="auto"/>
            <w:bottom w:val="none" w:sz="0" w:space="0" w:color="auto"/>
            <w:right w:val="none" w:sz="0" w:space="0" w:color="auto"/>
          </w:divBdr>
          <w:divsChild>
            <w:div w:id="1309673643">
              <w:marLeft w:val="0"/>
              <w:marRight w:val="0"/>
              <w:marTop w:val="0"/>
              <w:marBottom w:val="0"/>
              <w:divBdr>
                <w:top w:val="none" w:sz="0" w:space="0" w:color="auto"/>
                <w:left w:val="none" w:sz="0" w:space="0" w:color="auto"/>
                <w:bottom w:val="none" w:sz="0" w:space="0" w:color="auto"/>
                <w:right w:val="none" w:sz="0" w:space="0" w:color="auto"/>
              </w:divBdr>
            </w:div>
            <w:div w:id="1492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5744">
      <w:bodyDiv w:val="1"/>
      <w:marLeft w:val="0"/>
      <w:marRight w:val="0"/>
      <w:marTop w:val="0"/>
      <w:marBottom w:val="0"/>
      <w:divBdr>
        <w:top w:val="none" w:sz="0" w:space="0" w:color="auto"/>
        <w:left w:val="none" w:sz="0" w:space="0" w:color="auto"/>
        <w:bottom w:val="none" w:sz="0" w:space="0" w:color="auto"/>
        <w:right w:val="none" w:sz="0" w:space="0" w:color="auto"/>
      </w:divBdr>
    </w:div>
    <w:div w:id="902184030">
      <w:bodyDiv w:val="1"/>
      <w:marLeft w:val="0"/>
      <w:marRight w:val="0"/>
      <w:marTop w:val="0"/>
      <w:marBottom w:val="0"/>
      <w:divBdr>
        <w:top w:val="none" w:sz="0" w:space="0" w:color="auto"/>
        <w:left w:val="none" w:sz="0" w:space="0" w:color="auto"/>
        <w:bottom w:val="none" w:sz="0" w:space="0" w:color="auto"/>
        <w:right w:val="none" w:sz="0" w:space="0" w:color="auto"/>
      </w:divBdr>
    </w:div>
    <w:div w:id="920530236">
      <w:bodyDiv w:val="1"/>
      <w:marLeft w:val="0"/>
      <w:marRight w:val="0"/>
      <w:marTop w:val="0"/>
      <w:marBottom w:val="0"/>
      <w:divBdr>
        <w:top w:val="none" w:sz="0" w:space="0" w:color="auto"/>
        <w:left w:val="none" w:sz="0" w:space="0" w:color="auto"/>
        <w:bottom w:val="none" w:sz="0" w:space="0" w:color="auto"/>
        <w:right w:val="none" w:sz="0" w:space="0" w:color="auto"/>
      </w:divBdr>
    </w:div>
    <w:div w:id="926305513">
      <w:bodyDiv w:val="1"/>
      <w:marLeft w:val="0"/>
      <w:marRight w:val="0"/>
      <w:marTop w:val="0"/>
      <w:marBottom w:val="0"/>
      <w:divBdr>
        <w:top w:val="none" w:sz="0" w:space="0" w:color="auto"/>
        <w:left w:val="none" w:sz="0" w:space="0" w:color="auto"/>
        <w:bottom w:val="none" w:sz="0" w:space="0" w:color="auto"/>
        <w:right w:val="none" w:sz="0" w:space="0" w:color="auto"/>
      </w:divBdr>
      <w:divsChild>
        <w:div w:id="1024939886">
          <w:marLeft w:val="480"/>
          <w:marRight w:val="0"/>
          <w:marTop w:val="0"/>
          <w:marBottom w:val="0"/>
          <w:divBdr>
            <w:top w:val="none" w:sz="0" w:space="0" w:color="auto"/>
            <w:left w:val="none" w:sz="0" w:space="0" w:color="auto"/>
            <w:bottom w:val="none" w:sz="0" w:space="0" w:color="auto"/>
            <w:right w:val="none" w:sz="0" w:space="0" w:color="auto"/>
          </w:divBdr>
          <w:divsChild>
            <w:div w:id="3400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9472">
      <w:bodyDiv w:val="1"/>
      <w:marLeft w:val="0"/>
      <w:marRight w:val="0"/>
      <w:marTop w:val="0"/>
      <w:marBottom w:val="0"/>
      <w:divBdr>
        <w:top w:val="none" w:sz="0" w:space="0" w:color="auto"/>
        <w:left w:val="none" w:sz="0" w:space="0" w:color="auto"/>
        <w:bottom w:val="none" w:sz="0" w:space="0" w:color="auto"/>
        <w:right w:val="none" w:sz="0" w:space="0" w:color="auto"/>
      </w:divBdr>
      <w:divsChild>
        <w:div w:id="278999635">
          <w:marLeft w:val="480"/>
          <w:marRight w:val="0"/>
          <w:marTop w:val="0"/>
          <w:marBottom w:val="0"/>
          <w:divBdr>
            <w:top w:val="none" w:sz="0" w:space="0" w:color="auto"/>
            <w:left w:val="none" w:sz="0" w:space="0" w:color="auto"/>
            <w:bottom w:val="none" w:sz="0" w:space="0" w:color="auto"/>
            <w:right w:val="none" w:sz="0" w:space="0" w:color="auto"/>
          </w:divBdr>
          <w:divsChild>
            <w:div w:id="8980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6077">
      <w:bodyDiv w:val="1"/>
      <w:marLeft w:val="0"/>
      <w:marRight w:val="0"/>
      <w:marTop w:val="0"/>
      <w:marBottom w:val="0"/>
      <w:divBdr>
        <w:top w:val="none" w:sz="0" w:space="0" w:color="auto"/>
        <w:left w:val="none" w:sz="0" w:space="0" w:color="auto"/>
        <w:bottom w:val="none" w:sz="0" w:space="0" w:color="auto"/>
        <w:right w:val="none" w:sz="0" w:space="0" w:color="auto"/>
      </w:divBdr>
      <w:divsChild>
        <w:div w:id="1968192995">
          <w:marLeft w:val="0"/>
          <w:marRight w:val="0"/>
          <w:marTop w:val="0"/>
          <w:marBottom w:val="0"/>
          <w:divBdr>
            <w:top w:val="none" w:sz="0" w:space="0" w:color="auto"/>
            <w:left w:val="none" w:sz="0" w:space="0" w:color="auto"/>
            <w:bottom w:val="none" w:sz="0" w:space="0" w:color="auto"/>
            <w:right w:val="none" w:sz="0" w:space="0" w:color="auto"/>
          </w:divBdr>
        </w:div>
        <w:div w:id="1194341720">
          <w:marLeft w:val="0"/>
          <w:marRight w:val="0"/>
          <w:marTop w:val="0"/>
          <w:marBottom w:val="0"/>
          <w:divBdr>
            <w:top w:val="none" w:sz="0" w:space="0" w:color="auto"/>
            <w:left w:val="none" w:sz="0" w:space="0" w:color="auto"/>
            <w:bottom w:val="none" w:sz="0" w:space="0" w:color="auto"/>
            <w:right w:val="none" w:sz="0" w:space="0" w:color="auto"/>
          </w:divBdr>
        </w:div>
        <w:div w:id="2096825049">
          <w:marLeft w:val="0"/>
          <w:marRight w:val="0"/>
          <w:marTop w:val="0"/>
          <w:marBottom w:val="0"/>
          <w:divBdr>
            <w:top w:val="none" w:sz="0" w:space="0" w:color="auto"/>
            <w:left w:val="none" w:sz="0" w:space="0" w:color="auto"/>
            <w:bottom w:val="none" w:sz="0" w:space="0" w:color="auto"/>
            <w:right w:val="none" w:sz="0" w:space="0" w:color="auto"/>
          </w:divBdr>
        </w:div>
      </w:divsChild>
    </w:div>
    <w:div w:id="1027868798">
      <w:bodyDiv w:val="1"/>
      <w:marLeft w:val="0"/>
      <w:marRight w:val="0"/>
      <w:marTop w:val="0"/>
      <w:marBottom w:val="0"/>
      <w:divBdr>
        <w:top w:val="none" w:sz="0" w:space="0" w:color="auto"/>
        <w:left w:val="none" w:sz="0" w:space="0" w:color="auto"/>
        <w:bottom w:val="none" w:sz="0" w:space="0" w:color="auto"/>
        <w:right w:val="none" w:sz="0" w:space="0" w:color="auto"/>
      </w:divBdr>
    </w:div>
    <w:div w:id="1054355780">
      <w:bodyDiv w:val="1"/>
      <w:marLeft w:val="0"/>
      <w:marRight w:val="0"/>
      <w:marTop w:val="0"/>
      <w:marBottom w:val="0"/>
      <w:divBdr>
        <w:top w:val="none" w:sz="0" w:space="0" w:color="auto"/>
        <w:left w:val="none" w:sz="0" w:space="0" w:color="auto"/>
        <w:bottom w:val="none" w:sz="0" w:space="0" w:color="auto"/>
        <w:right w:val="none" w:sz="0" w:space="0" w:color="auto"/>
      </w:divBdr>
    </w:div>
    <w:div w:id="1077483879">
      <w:bodyDiv w:val="1"/>
      <w:marLeft w:val="0"/>
      <w:marRight w:val="0"/>
      <w:marTop w:val="0"/>
      <w:marBottom w:val="0"/>
      <w:divBdr>
        <w:top w:val="none" w:sz="0" w:space="0" w:color="auto"/>
        <w:left w:val="none" w:sz="0" w:space="0" w:color="auto"/>
        <w:bottom w:val="none" w:sz="0" w:space="0" w:color="auto"/>
        <w:right w:val="none" w:sz="0" w:space="0" w:color="auto"/>
      </w:divBdr>
    </w:div>
    <w:div w:id="1087649520">
      <w:bodyDiv w:val="1"/>
      <w:marLeft w:val="0"/>
      <w:marRight w:val="0"/>
      <w:marTop w:val="0"/>
      <w:marBottom w:val="0"/>
      <w:divBdr>
        <w:top w:val="none" w:sz="0" w:space="0" w:color="auto"/>
        <w:left w:val="none" w:sz="0" w:space="0" w:color="auto"/>
        <w:bottom w:val="none" w:sz="0" w:space="0" w:color="auto"/>
        <w:right w:val="none" w:sz="0" w:space="0" w:color="auto"/>
      </w:divBdr>
    </w:div>
    <w:div w:id="1149245640">
      <w:bodyDiv w:val="1"/>
      <w:marLeft w:val="0"/>
      <w:marRight w:val="0"/>
      <w:marTop w:val="0"/>
      <w:marBottom w:val="0"/>
      <w:divBdr>
        <w:top w:val="none" w:sz="0" w:space="0" w:color="auto"/>
        <w:left w:val="none" w:sz="0" w:space="0" w:color="auto"/>
        <w:bottom w:val="none" w:sz="0" w:space="0" w:color="auto"/>
        <w:right w:val="none" w:sz="0" w:space="0" w:color="auto"/>
      </w:divBdr>
      <w:divsChild>
        <w:div w:id="727385150">
          <w:marLeft w:val="480"/>
          <w:marRight w:val="0"/>
          <w:marTop w:val="0"/>
          <w:marBottom w:val="0"/>
          <w:divBdr>
            <w:top w:val="none" w:sz="0" w:space="0" w:color="auto"/>
            <w:left w:val="none" w:sz="0" w:space="0" w:color="auto"/>
            <w:bottom w:val="none" w:sz="0" w:space="0" w:color="auto"/>
            <w:right w:val="none" w:sz="0" w:space="0" w:color="auto"/>
          </w:divBdr>
          <w:divsChild>
            <w:div w:id="21398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146">
      <w:bodyDiv w:val="1"/>
      <w:marLeft w:val="0"/>
      <w:marRight w:val="0"/>
      <w:marTop w:val="0"/>
      <w:marBottom w:val="0"/>
      <w:divBdr>
        <w:top w:val="none" w:sz="0" w:space="0" w:color="auto"/>
        <w:left w:val="none" w:sz="0" w:space="0" w:color="auto"/>
        <w:bottom w:val="none" w:sz="0" w:space="0" w:color="auto"/>
        <w:right w:val="none" w:sz="0" w:space="0" w:color="auto"/>
      </w:divBdr>
    </w:div>
    <w:div w:id="1328629632">
      <w:bodyDiv w:val="1"/>
      <w:marLeft w:val="0"/>
      <w:marRight w:val="0"/>
      <w:marTop w:val="0"/>
      <w:marBottom w:val="0"/>
      <w:divBdr>
        <w:top w:val="none" w:sz="0" w:space="0" w:color="auto"/>
        <w:left w:val="none" w:sz="0" w:space="0" w:color="auto"/>
        <w:bottom w:val="none" w:sz="0" w:space="0" w:color="auto"/>
        <w:right w:val="none" w:sz="0" w:space="0" w:color="auto"/>
      </w:divBdr>
    </w:div>
    <w:div w:id="1360160626">
      <w:bodyDiv w:val="1"/>
      <w:marLeft w:val="0"/>
      <w:marRight w:val="0"/>
      <w:marTop w:val="0"/>
      <w:marBottom w:val="0"/>
      <w:divBdr>
        <w:top w:val="none" w:sz="0" w:space="0" w:color="auto"/>
        <w:left w:val="none" w:sz="0" w:space="0" w:color="auto"/>
        <w:bottom w:val="none" w:sz="0" w:space="0" w:color="auto"/>
        <w:right w:val="none" w:sz="0" w:space="0" w:color="auto"/>
      </w:divBdr>
      <w:divsChild>
        <w:div w:id="666053487">
          <w:marLeft w:val="480"/>
          <w:marRight w:val="0"/>
          <w:marTop w:val="0"/>
          <w:marBottom w:val="0"/>
          <w:divBdr>
            <w:top w:val="none" w:sz="0" w:space="0" w:color="auto"/>
            <w:left w:val="none" w:sz="0" w:space="0" w:color="auto"/>
            <w:bottom w:val="none" w:sz="0" w:space="0" w:color="auto"/>
            <w:right w:val="none" w:sz="0" w:space="0" w:color="auto"/>
          </w:divBdr>
          <w:divsChild>
            <w:div w:id="10696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8632">
      <w:bodyDiv w:val="1"/>
      <w:marLeft w:val="0"/>
      <w:marRight w:val="0"/>
      <w:marTop w:val="0"/>
      <w:marBottom w:val="0"/>
      <w:divBdr>
        <w:top w:val="none" w:sz="0" w:space="0" w:color="auto"/>
        <w:left w:val="none" w:sz="0" w:space="0" w:color="auto"/>
        <w:bottom w:val="none" w:sz="0" w:space="0" w:color="auto"/>
        <w:right w:val="none" w:sz="0" w:space="0" w:color="auto"/>
      </w:divBdr>
    </w:div>
    <w:div w:id="1416396611">
      <w:bodyDiv w:val="1"/>
      <w:marLeft w:val="0"/>
      <w:marRight w:val="0"/>
      <w:marTop w:val="0"/>
      <w:marBottom w:val="0"/>
      <w:divBdr>
        <w:top w:val="none" w:sz="0" w:space="0" w:color="auto"/>
        <w:left w:val="none" w:sz="0" w:space="0" w:color="auto"/>
        <w:bottom w:val="none" w:sz="0" w:space="0" w:color="auto"/>
        <w:right w:val="none" w:sz="0" w:space="0" w:color="auto"/>
      </w:divBdr>
      <w:divsChild>
        <w:div w:id="624971507">
          <w:marLeft w:val="480"/>
          <w:marRight w:val="0"/>
          <w:marTop w:val="0"/>
          <w:marBottom w:val="0"/>
          <w:divBdr>
            <w:top w:val="none" w:sz="0" w:space="0" w:color="auto"/>
            <w:left w:val="none" w:sz="0" w:space="0" w:color="auto"/>
            <w:bottom w:val="none" w:sz="0" w:space="0" w:color="auto"/>
            <w:right w:val="none" w:sz="0" w:space="0" w:color="auto"/>
          </w:divBdr>
          <w:divsChild>
            <w:div w:id="12173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0959">
      <w:bodyDiv w:val="1"/>
      <w:marLeft w:val="0"/>
      <w:marRight w:val="0"/>
      <w:marTop w:val="0"/>
      <w:marBottom w:val="0"/>
      <w:divBdr>
        <w:top w:val="none" w:sz="0" w:space="0" w:color="auto"/>
        <w:left w:val="none" w:sz="0" w:space="0" w:color="auto"/>
        <w:bottom w:val="none" w:sz="0" w:space="0" w:color="auto"/>
        <w:right w:val="none" w:sz="0" w:space="0" w:color="auto"/>
      </w:divBdr>
      <w:divsChild>
        <w:div w:id="516504297">
          <w:marLeft w:val="0"/>
          <w:marRight w:val="0"/>
          <w:marTop w:val="0"/>
          <w:marBottom w:val="0"/>
          <w:divBdr>
            <w:top w:val="none" w:sz="0" w:space="0" w:color="auto"/>
            <w:left w:val="none" w:sz="0" w:space="0" w:color="auto"/>
            <w:bottom w:val="none" w:sz="0" w:space="0" w:color="auto"/>
            <w:right w:val="none" w:sz="0" w:space="0" w:color="auto"/>
          </w:divBdr>
        </w:div>
        <w:div w:id="428160275">
          <w:marLeft w:val="0"/>
          <w:marRight w:val="0"/>
          <w:marTop w:val="0"/>
          <w:marBottom w:val="0"/>
          <w:divBdr>
            <w:top w:val="none" w:sz="0" w:space="0" w:color="auto"/>
            <w:left w:val="none" w:sz="0" w:space="0" w:color="auto"/>
            <w:bottom w:val="none" w:sz="0" w:space="0" w:color="auto"/>
            <w:right w:val="none" w:sz="0" w:space="0" w:color="auto"/>
          </w:divBdr>
        </w:div>
        <w:div w:id="921521654">
          <w:marLeft w:val="0"/>
          <w:marRight w:val="0"/>
          <w:marTop w:val="0"/>
          <w:marBottom w:val="0"/>
          <w:divBdr>
            <w:top w:val="none" w:sz="0" w:space="0" w:color="auto"/>
            <w:left w:val="none" w:sz="0" w:space="0" w:color="auto"/>
            <w:bottom w:val="none" w:sz="0" w:space="0" w:color="auto"/>
            <w:right w:val="none" w:sz="0" w:space="0" w:color="auto"/>
          </w:divBdr>
        </w:div>
        <w:div w:id="63459383">
          <w:marLeft w:val="0"/>
          <w:marRight w:val="0"/>
          <w:marTop w:val="0"/>
          <w:marBottom w:val="0"/>
          <w:divBdr>
            <w:top w:val="none" w:sz="0" w:space="0" w:color="auto"/>
            <w:left w:val="none" w:sz="0" w:space="0" w:color="auto"/>
            <w:bottom w:val="none" w:sz="0" w:space="0" w:color="auto"/>
            <w:right w:val="none" w:sz="0" w:space="0" w:color="auto"/>
          </w:divBdr>
        </w:div>
        <w:div w:id="1775858351">
          <w:marLeft w:val="0"/>
          <w:marRight w:val="0"/>
          <w:marTop w:val="0"/>
          <w:marBottom w:val="0"/>
          <w:divBdr>
            <w:top w:val="none" w:sz="0" w:space="0" w:color="auto"/>
            <w:left w:val="none" w:sz="0" w:space="0" w:color="auto"/>
            <w:bottom w:val="none" w:sz="0" w:space="0" w:color="auto"/>
            <w:right w:val="none" w:sz="0" w:space="0" w:color="auto"/>
          </w:divBdr>
        </w:div>
      </w:divsChild>
    </w:div>
    <w:div w:id="1423644378">
      <w:bodyDiv w:val="1"/>
      <w:marLeft w:val="0"/>
      <w:marRight w:val="0"/>
      <w:marTop w:val="0"/>
      <w:marBottom w:val="0"/>
      <w:divBdr>
        <w:top w:val="none" w:sz="0" w:space="0" w:color="auto"/>
        <w:left w:val="none" w:sz="0" w:space="0" w:color="auto"/>
        <w:bottom w:val="none" w:sz="0" w:space="0" w:color="auto"/>
        <w:right w:val="none" w:sz="0" w:space="0" w:color="auto"/>
      </w:divBdr>
      <w:divsChild>
        <w:div w:id="2012637974">
          <w:marLeft w:val="0"/>
          <w:marRight w:val="0"/>
          <w:marTop w:val="0"/>
          <w:marBottom w:val="0"/>
          <w:divBdr>
            <w:top w:val="none" w:sz="0" w:space="0" w:color="auto"/>
            <w:left w:val="none" w:sz="0" w:space="0" w:color="auto"/>
            <w:bottom w:val="none" w:sz="0" w:space="0" w:color="auto"/>
            <w:right w:val="none" w:sz="0" w:space="0" w:color="auto"/>
          </w:divBdr>
        </w:div>
        <w:div w:id="1109545967">
          <w:marLeft w:val="0"/>
          <w:marRight w:val="0"/>
          <w:marTop w:val="0"/>
          <w:marBottom w:val="0"/>
          <w:divBdr>
            <w:top w:val="none" w:sz="0" w:space="0" w:color="auto"/>
            <w:left w:val="none" w:sz="0" w:space="0" w:color="auto"/>
            <w:bottom w:val="none" w:sz="0" w:space="0" w:color="auto"/>
            <w:right w:val="none" w:sz="0" w:space="0" w:color="auto"/>
          </w:divBdr>
        </w:div>
        <w:div w:id="381632745">
          <w:marLeft w:val="0"/>
          <w:marRight w:val="0"/>
          <w:marTop w:val="0"/>
          <w:marBottom w:val="0"/>
          <w:divBdr>
            <w:top w:val="none" w:sz="0" w:space="0" w:color="auto"/>
            <w:left w:val="none" w:sz="0" w:space="0" w:color="auto"/>
            <w:bottom w:val="none" w:sz="0" w:space="0" w:color="auto"/>
            <w:right w:val="none" w:sz="0" w:space="0" w:color="auto"/>
          </w:divBdr>
        </w:div>
      </w:divsChild>
    </w:div>
    <w:div w:id="1440904764">
      <w:bodyDiv w:val="1"/>
      <w:marLeft w:val="0"/>
      <w:marRight w:val="0"/>
      <w:marTop w:val="0"/>
      <w:marBottom w:val="0"/>
      <w:divBdr>
        <w:top w:val="none" w:sz="0" w:space="0" w:color="auto"/>
        <w:left w:val="none" w:sz="0" w:space="0" w:color="auto"/>
        <w:bottom w:val="none" w:sz="0" w:space="0" w:color="auto"/>
        <w:right w:val="none" w:sz="0" w:space="0" w:color="auto"/>
      </w:divBdr>
      <w:divsChild>
        <w:div w:id="1291666454">
          <w:marLeft w:val="0"/>
          <w:marRight w:val="0"/>
          <w:marTop w:val="0"/>
          <w:marBottom w:val="0"/>
          <w:divBdr>
            <w:top w:val="none" w:sz="0" w:space="0" w:color="auto"/>
            <w:left w:val="none" w:sz="0" w:space="0" w:color="auto"/>
            <w:bottom w:val="none" w:sz="0" w:space="0" w:color="auto"/>
            <w:right w:val="none" w:sz="0" w:space="0" w:color="auto"/>
          </w:divBdr>
        </w:div>
        <w:div w:id="337730445">
          <w:marLeft w:val="0"/>
          <w:marRight w:val="0"/>
          <w:marTop w:val="0"/>
          <w:marBottom w:val="0"/>
          <w:divBdr>
            <w:top w:val="none" w:sz="0" w:space="0" w:color="auto"/>
            <w:left w:val="none" w:sz="0" w:space="0" w:color="auto"/>
            <w:bottom w:val="none" w:sz="0" w:space="0" w:color="auto"/>
            <w:right w:val="none" w:sz="0" w:space="0" w:color="auto"/>
          </w:divBdr>
        </w:div>
      </w:divsChild>
    </w:div>
    <w:div w:id="1448428178">
      <w:bodyDiv w:val="1"/>
      <w:marLeft w:val="0"/>
      <w:marRight w:val="0"/>
      <w:marTop w:val="0"/>
      <w:marBottom w:val="0"/>
      <w:divBdr>
        <w:top w:val="none" w:sz="0" w:space="0" w:color="auto"/>
        <w:left w:val="none" w:sz="0" w:space="0" w:color="auto"/>
        <w:bottom w:val="none" w:sz="0" w:space="0" w:color="auto"/>
        <w:right w:val="none" w:sz="0" w:space="0" w:color="auto"/>
      </w:divBdr>
      <w:divsChild>
        <w:div w:id="32048567">
          <w:marLeft w:val="480"/>
          <w:marRight w:val="0"/>
          <w:marTop w:val="0"/>
          <w:marBottom w:val="0"/>
          <w:divBdr>
            <w:top w:val="none" w:sz="0" w:space="0" w:color="auto"/>
            <w:left w:val="none" w:sz="0" w:space="0" w:color="auto"/>
            <w:bottom w:val="none" w:sz="0" w:space="0" w:color="auto"/>
            <w:right w:val="none" w:sz="0" w:space="0" w:color="auto"/>
          </w:divBdr>
          <w:divsChild>
            <w:div w:id="1593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6987">
      <w:bodyDiv w:val="1"/>
      <w:marLeft w:val="0"/>
      <w:marRight w:val="0"/>
      <w:marTop w:val="0"/>
      <w:marBottom w:val="0"/>
      <w:divBdr>
        <w:top w:val="none" w:sz="0" w:space="0" w:color="auto"/>
        <w:left w:val="none" w:sz="0" w:space="0" w:color="auto"/>
        <w:bottom w:val="none" w:sz="0" w:space="0" w:color="auto"/>
        <w:right w:val="none" w:sz="0" w:space="0" w:color="auto"/>
      </w:divBdr>
    </w:div>
    <w:div w:id="1721050491">
      <w:bodyDiv w:val="1"/>
      <w:marLeft w:val="0"/>
      <w:marRight w:val="0"/>
      <w:marTop w:val="0"/>
      <w:marBottom w:val="0"/>
      <w:divBdr>
        <w:top w:val="none" w:sz="0" w:space="0" w:color="auto"/>
        <w:left w:val="none" w:sz="0" w:space="0" w:color="auto"/>
        <w:bottom w:val="none" w:sz="0" w:space="0" w:color="auto"/>
        <w:right w:val="none" w:sz="0" w:space="0" w:color="auto"/>
      </w:divBdr>
    </w:div>
    <w:div w:id="1740713730">
      <w:bodyDiv w:val="1"/>
      <w:marLeft w:val="0"/>
      <w:marRight w:val="0"/>
      <w:marTop w:val="0"/>
      <w:marBottom w:val="0"/>
      <w:divBdr>
        <w:top w:val="none" w:sz="0" w:space="0" w:color="auto"/>
        <w:left w:val="none" w:sz="0" w:space="0" w:color="auto"/>
        <w:bottom w:val="none" w:sz="0" w:space="0" w:color="auto"/>
        <w:right w:val="none" w:sz="0" w:space="0" w:color="auto"/>
      </w:divBdr>
    </w:div>
    <w:div w:id="1893341679">
      <w:bodyDiv w:val="1"/>
      <w:marLeft w:val="0"/>
      <w:marRight w:val="0"/>
      <w:marTop w:val="0"/>
      <w:marBottom w:val="0"/>
      <w:divBdr>
        <w:top w:val="none" w:sz="0" w:space="0" w:color="auto"/>
        <w:left w:val="none" w:sz="0" w:space="0" w:color="auto"/>
        <w:bottom w:val="none" w:sz="0" w:space="0" w:color="auto"/>
        <w:right w:val="none" w:sz="0" w:space="0" w:color="auto"/>
      </w:divBdr>
    </w:div>
    <w:div w:id="1913001521">
      <w:bodyDiv w:val="1"/>
      <w:marLeft w:val="0"/>
      <w:marRight w:val="0"/>
      <w:marTop w:val="0"/>
      <w:marBottom w:val="0"/>
      <w:divBdr>
        <w:top w:val="none" w:sz="0" w:space="0" w:color="auto"/>
        <w:left w:val="none" w:sz="0" w:space="0" w:color="auto"/>
        <w:bottom w:val="none" w:sz="0" w:space="0" w:color="auto"/>
        <w:right w:val="none" w:sz="0" w:space="0" w:color="auto"/>
      </w:divBdr>
      <w:divsChild>
        <w:div w:id="1768648755">
          <w:marLeft w:val="480"/>
          <w:marRight w:val="0"/>
          <w:marTop w:val="0"/>
          <w:marBottom w:val="0"/>
          <w:divBdr>
            <w:top w:val="none" w:sz="0" w:space="0" w:color="auto"/>
            <w:left w:val="none" w:sz="0" w:space="0" w:color="auto"/>
            <w:bottom w:val="none" w:sz="0" w:space="0" w:color="auto"/>
            <w:right w:val="none" w:sz="0" w:space="0" w:color="auto"/>
          </w:divBdr>
          <w:divsChild>
            <w:div w:id="6460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1247">
      <w:bodyDiv w:val="1"/>
      <w:marLeft w:val="0"/>
      <w:marRight w:val="0"/>
      <w:marTop w:val="0"/>
      <w:marBottom w:val="0"/>
      <w:divBdr>
        <w:top w:val="none" w:sz="0" w:space="0" w:color="auto"/>
        <w:left w:val="none" w:sz="0" w:space="0" w:color="auto"/>
        <w:bottom w:val="none" w:sz="0" w:space="0" w:color="auto"/>
        <w:right w:val="none" w:sz="0" w:space="0" w:color="auto"/>
      </w:divBdr>
    </w:div>
    <w:div w:id="1985624155">
      <w:bodyDiv w:val="1"/>
      <w:marLeft w:val="0"/>
      <w:marRight w:val="0"/>
      <w:marTop w:val="0"/>
      <w:marBottom w:val="0"/>
      <w:divBdr>
        <w:top w:val="none" w:sz="0" w:space="0" w:color="auto"/>
        <w:left w:val="none" w:sz="0" w:space="0" w:color="auto"/>
        <w:bottom w:val="none" w:sz="0" w:space="0" w:color="auto"/>
        <w:right w:val="none" w:sz="0" w:space="0" w:color="auto"/>
      </w:divBdr>
    </w:div>
    <w:div w:id="2009559254">
      <w:bodyDiv w:val="1"/>
      <w:marLeft w:val="0"/>
      <w:marRight w:val="0"/>
      <w:marTop w:val="0"/>
      <w:marBottom w:val="0"/>
      <w:divBdr>
        <w:top w:val="none" w:sz="0" w:space="0" w:color="auto"/>
        <w:left w:val="none" w:sz="0" w:space="0" w:color="auto"/>
        <w:bottom w:val="none" w:sz="0" w:space="0" w:color="auto"/>
        <w:right w:val="none" w:sz="0" w:space="0" w:color="auto"/>
      </w:divBdr>
      <w:divsChild>
        <w:div w:id="916130953">
          <w:marLeft w:val="480"/>
          <w:marRight w:val="0"/>
          <w:marTop w:val="0"/>
          <w:marBottom w:val="0"/>
          <w:divBdr>
            <w:top w:val="none" w:sz="0" w:space="0" w:color="auto"/>
            <w:left w:val="none" w:sz="0" w:space="0" w:color="auto"/>
            <w:bottom w:val="none" w:sz="0" w:space="0" w:color="auto"/>
            <w:right w:val="none" w:sz="0" w:space="0" w:color="auto"/>
          </w:divBdr>
          <w:divsChild>
            <w:div w:id="15020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2051">
      <w:bodyDiv w:val="1"/>
      <w:marLeft w:val="0"/>
      <w:marRight w:val="0"/>
      <w:marTop w:val="0"/>
      <w:marBottom w:val="0"/>
      <w:divBdr>
        <w:top w:val="none" w:sz="0" w:space="0" w:color="auto"/>
        <w:left w:val="none" w:sz="0" w:space="0" w:color="auto"/>
        <w:bottom w:val="none" w:sz="0" w:space="0" w:color="auto"/>
        <w:right w:val="none" w:sz="0" w:space="0" w:color="auto"/>
      </w:divBdr>
    </w:div>
    <w:div w:id="2073846969">
      <w:bodyDiv w:val="1"/>
      <w:marLeft w:val="0"/>
      <w:marRight w:val="0"/>
      <w:marTop w:val="0"/>
      <w:marBottom w:val="0"/>
      <w:divBdr>
        <w:top w:val="none" w:sz="0" w:space="0" w:color="auto"/>
        <w:left w:val="none" w:sz="0" w:space="0" w:color="auto"/>
        <w:bottom w:val="none" w:sz="0" w:space="0" w:color="auto"/>
        <w:right w:val="none" w:sz="0" w:space="0" w:color="auto"/>
      </w:divBdr>
    </w:div>
    <w:div w:id="2097824371">
      <w:bodyDiv w:val="1"/>
      <w:marLeft w:val="0"/>
      <w:marRight w:val="0"/>
      <w:marTop w:val="0"/>
      <w:marBottom w:val="0"/>
      <w:divBdr>
        <w:top w:val="none" w:sz="0" w:space="0" w:color="auto"/>
        <w:left w:val="none" w:sz="0" w:space="0" w:color="auto"/>
        <w:bottom w:val="none" w:sz="0" w:space="0" w:color="auto"/>
        <w:right w:val="none" w:sz="0" w:space="0" w:color="auto"/>
      </w:divBdr>
    </w:div>
    <w:div w:id="2106076750">
      <w:bodyDiv w:val="1"/>
      <w:marLeft w:val="0"/>
      <w:marRight w:val="0"/>
      <w:marTop w:val="0"/>
      <w:marBottom w:val="0"/>
      <w:divBdr>
        <w:top w:val="none" w:sz="0" w:space="0" w:color="auto"/>
        <w:left w:val="none" w:sz="0" w:space="0" w:color="auto"/>
        <w:bottom w:val="none" w:sz="0" w:space="0" w:color="auto"/>
        <w:right w:val="none" w:sz="0" w:space="0" w:color="auto"/>
      </w:divBdr>
    </w:div>
    <w:div w:id="2115788450">
      <w:bodyDiv w:val="1"/>
      <w:marLeft w:val="0"/>
      <w:marRight w:val="0"/>
      <w:marTop w:val="0"/>
      <w:marBottom w:val="0"/>
      <w:divBdr>
        <w:top w:val="none" w:sz="0" w:space="0" w:color="auto"/>
        <w:left w:val="none" w:sz="0" w:space="0" w:color="auto"/>
        <w:bottom w:val="none" w:sz="0" w:space="0" w:color="auto"/>
        <w:right w:val="none" w:sz="0" w:space="0" w:color="auto"/>
      </w:divBdr>
    </w:div>
    <w:div w:id="2132898899">
      <w:bodyDiv w:val="1"/>
      <w:marLeft w:val="0"/>
      <w:marRight w:val="0"/>
      <w:marTop w:val="0"/>
      <w:marBottom w:val="0"/>
      <w:divBdr>
        <w:top w:val="none" w:sz="0" w:space="0" w:color="auto"/>
        <w:left w:val="none" w:sz="0" w:space="0" w:color="auto"/>
        <w:bottom w:val="none" w:sz="0" w:space="0" w:color="auto"/>
        <w:right w:val="none" w:sz="0" w:space="0" w:color="auto"/>
      </w:divBdr>
      <w:divsChild>
        <w:div w:id="2631793">
          <w:marLeft w:val="480"/>
          <w:marRight w:val="0"/>
          <w:marTop w:val="0"/>
          <w:marBottom w:val="0"/>
          <w:divBdr>
            <w:top w:val="none" w:sz="0" w:space="0" w:color="auto"/>
            <w:left w:val="none" w:sz="0" w:space="0" w:color="auto"/>
            <w:bottom w:val="none" w:sz="0" w:space="0" w:color="auto"/>
            <w:right w:val="none" w:sz="0" w:space="0" w:color="auto"/>
          </w:divBdr>
          <w:divsChild>
            <w:div w:id="20596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virological.org/t/phylodynamic-estimation-of-incidence-and-prevalence-of-novel-coronavirus-ncov-infections-through-time/391/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xtstrain.org/ncov/2020-02-10?gmax=551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lab/ncov-phylodynam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ytimes.com/2020/03/06/world/coronavirus-news.html" TargetMode="External"/><Relationship Id="rId4" Type="http://schemas.openxmlformats.org/officeDocument/2006/relationships/settings" Target="settings.xml"/><Relationship Id="rId9" Type="http://schemas.openxmlformats.org/officeDocument/2006/relationships/hyperlink" Target="http://virological.org/t/phylodynamic-analysis-129-genomes-24-feb-2020/356"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4516EC-AA3D-444F-8B11-473A6C683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Douda Bensasson</dc:creator>
  <cp:keywords/>
  <dc:description/>
  <cp:lastModifiedBy>Douda Bensasson</cp:lastModifiedBy>
  <cp:revision>11</cp:revision>
  <cp:lastPrinted>2020-02-28T18:11:00Z</cp:lastPrinted>
  <dcterms:created xsi:type="dcterms:W3CDTF">2020-03-06T16:26:00Z</dcterms:created>
  <dcterms:modified xsi:type="dcterms:W3CDTF">2020-03-11T20:43:00Z</dcterms:modified>
</cp:coreProperties>
</file>