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A4BF20">
      <w:pPr>
        <w:spacing w:before="320" w:after="120" w:line="288" w:lineRule="auto"/>
        <w:ind w:left="0"/>
        <w:jc w:val="left"/>
        <w:outlineLvl w:val="1"/>
        <w:rPr>
          <w:rFonts w:hint="eastAsia" w:ascii="Arial" w:hAnsi="Arial" w:eastAsia="等线" w:cs="Arial"/>
          <w:b/>
          <w:sz w:val="32"/>
          <w:lang w:val="en-US" w:eastAsia="zh-CN"/>
        </w:rPr>
      </w:pPr>
      <w:r>
        <w:rPr>
          <w:rFonts w:hint="eastAsia" w:ascii="Arial" w:hAnsi="Arial" w:eastAsia="等线" w:cs="Arial"/>
          <w:b/>
          <w:sz w:val="32"/>
          <w:lang w:val="en-US" w:eastAsia="zh-CN"/>
        </w:rPr>
        <w:t>请打开“导航窗格”以更清晰地查看文件结构</w:t>
      </w:r>
    </w:p>
    <w:p w14:paraId="7FDD55D5"/>
    <w:p w14:paraId="75A7E187">
      <w:pPr>
        <w:spacing w:before="320" w:after="120" w:line="288" w:lineRule="auto"/>
        <w:ind w:left="0"/>
        <w:jc w:val="left"/>
        <w:outlineLvl w:val="1"/>
      </w:pPr>
      <w:bookmarkStart w:id="0" w:name="heading_123"/>
      <w:r>
        <w:rPr>
          <w:rFonts w:ascii="Arial" w:hAnsi="Arial" w:eastAsia="等线" w:cs="Arial"/>
          <w:b/>
          <w:sz w:val="32"/>
        </w:rPr>
        <w:t>07EEPROM</w:t>
      </w:r>
      <w:bookmarkEnd w:id="0"/>
    </w:p>
    <w:p w14:paraId="5AD174F1">
      <w:pPr>
        <w:spacing w:before="300" w:after="120" w:line="288" w:lineRule="auto"/>
        <w:ind w:left="0"/>
        <w:jc w:val="left"/>
        <w:outlineLvl w:val="2"/>
      </w:pPr>
      <w:bookmarkStart w:id="1" w:name="heading_124"/>
      <w:r>
        <w:rPr>
          <w:rFonts w:hint="eastAsia" w:ascii="Arial" w:hAnsi="Arial" w:eastAsia="等线" w:cs="Arial"/>
          <w:b/>
          <w:sz w:val="30"/>
          <w:lang w:val="en-US" w:eastAsia="zh-CN"/>
        </w:rPr>
        <w:t>1.</w:t>
      </w:r>
      <w:r>
        <w:rPr>
          <w:rFonts w:ascii="Arial" w:hAnsi="Arial" w:eastAsia="等线" w:cs="Arial"/>
          <w:b/>
          <w:sz w:val="30"/>
        </w:rPr>
        <w:t>配置</w:t>
      </w:r>
      <w:bookmarkEnd w:id="1"/>
    </w:p>
    <w:p w14:paraId="0C6BEB4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无需cubemx配置</w:t>
      </w:r>
    </w:p>
    <w:p w14:paraId="41C7986F">
      <w:pPr>
        <w:spacing w:before="300" w:after="120" w:line="288" w:lineRule="auto"/>
        <w:ind w:left="0"/>
        <w:jc w:val="left"/>
        <w:outlineLvl w:val="2"/>
      </w:pPr>
      <w:bookmarkStart w:id="2" w:name="heading_125"/>
      <w:r>
        <w:rPr>
          <w:rFonts w:hint="eastAsia" w:ascii="Arial" w:hAnsi="Arial" w:eastAsia="等线" w:cs="Arial"/>
          <w:b/>
          <w:sz w:val="30"/>
          <w:lang w:val="en-US" w:eastAsia="zh-CN"/>
        </w:rPr>
        <w:t>2.</w:t>
      </w:r>
      <w:r>
        <w:rPr>
          <w:rFonts w:ascii="Arial" w:hAnsi="Arial" w:eastAsia="等线" w:cs="Arial"/>
          <w:b/>
          <w:sz w:val="30"/>
        </w:rPr>
        <w:t>函数</w:t>
      </w:r>
      <w:bookmarkEnd w:id="2"/>
    </w:p>
    <w:p w14:paraId="5A488001">
      <w:pPr>
        <w:spacing w:before="260" w:after="120" w:line="288" w:lineRule="auto"/>
        <w:ind w:left="0"/>
        <w:jc w:val="left"/>
        <w:outlineLvl w:val="3"/>
      </w:pPr>
      <w:bookmarkStart w:id="3" w:name="heading_126"/>
      <w:r>
        <w:rPr>
          <w:rFonts w:ascii="Arial" w:hAnsi="Arial" w:eastAsia="等线" w:cs="Arial"/>
          <w:b/>
          <w:sz w:val="28"/>
        </w:rPr>
        <w:t>第一种连续写入方式</w:t>
      </w:r>
      <w:bookmarkEnd w:id="3"/>
    </w:p>
    <w:p w14:paraId="1D358CA0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4314825"/>
            <wp:effectExtent l="0" t="0" r="0" b="3175"/>
            <wp:docPr id="110" name="Draw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Drawing 1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43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324225"/>
            <wp:effectExtent l="0" t="0" r="0" b="3175"/>
            <wp:docPr id="111" name="Drawing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Drawing 1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9599">
      <w:pPr>
        <w:spacing w:before="120" w:after="120" w:line="288" w:lineRule="auto"/>
        <w:ind w:left="0"/>
        <w:jc w:val="left"/>
      </w:pPr>
    </w:p>
    <w:p w14:paraId="7FF4AC50">
      <w:pPr>
        <w:spacing w:before="260" w:after="120" w:line="288" w:lineRule="auto"/>
        <w:ind w:left="0"/>
        <w:jc w:val="left"/>
        <w:outlineLvl w:val="3"/>
      </w:pPr>
      <w:bookmarkStart w:id="4" w:name="heading_127"/>
      <w:r>
        <w:rPr>
          <w:rFonts w:ascii="Arial" w:hAnsi="Arial" w:eastAsia="等线" w:cs="Arial"/>
          <w:b/>
          <w:sz w:val="28"/>
        </w:rPr>
        <w:t>第二种连续读写方式（兼容单个字节和多个字节）</w:t>
      </w:r>
      <w:bookmarkEnd w:id="4"/>
    </w:p>
    <w:p w14:paraId="4AAD9978"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写入</w:t>
      </w:r>
    </w:p>
    <w:p w14:paraId="50763B74">
      <w:pPr>
        <w:numPr>
          <w:ilvl w:val="0"/>
          <w:numId w:val="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开启通信</w:t>
      </w:r>
    </w:p>
    <w:p w14:paraId="07B38FEF">
      <w:pPr>
        <w:numPr>
          <w:ilvl w:val="0"/>
          <w:numId w:val="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发送从机地址，最后一位为写入位（置0）</w:t>
      </w:r>
    </w:p>
    <w:p w14:paraId="13D57331">
      <w:pPr>
        <w:numPr>
          <w:ilvl w:val="0"/>
          <w:numId w:val="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等待从机回应</w:t>
      </w:r>
    </w:p>
    <w:p w14:paraId="3060D49F">
      <w:pPr>
        <w:numPr>
          <w:ilvl w:val="0"/>
          <w:numId w:val="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发送数据（8位）</w:t>
      </w:r>
    </w:p>
    <w:p w14:paraId="5F312954">
      <w:pPr>
        <w:numPr>
          <w:ilvl w:val="0"/>
          <w:numId w:val="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等待从机回应</w:t>
      </w:r>
    </w:p>
    <w:p w14:paraId="58625721">
      <w:pPr>
        <w:numPr>
          <w:ilvl w:val="0"/>
          <w:numId w:val="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重复以上两个步骤，直到写入的块数达到需求</w:t>
      </w:r>
    </w:p>
    <w:p w14:paraId="5C1B4D27">
      <w:pPr>
        <w:numPr>
          <w:ilvl w:val="0"/>
          <w:numId w:val="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停止通信</w:t>
      </w:r>
    </w:p>
    <w:p w14:paraId="000BD35B">
      <w:pPr>
        <w:numPr>
          <w:ilvl w:val="0"/>
          <w:numId w:val="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进行10ms延时（根据实际情况而定，不能阻塞到其他功能，比如按键读取）</w:t>
      </w:r>
    </w:p>
    <w:p w14:paraId="25975A7D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2733675"/>
            <wp:effectExtent l="0" t="0" r="0" b="9525"/>
            <wp:docPr id="112" name="Drawing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Drawing 1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D25D">
      <w:pPr>
        <w:numPr>
          <w:ilvl w:val="0"/>
          <w:numId w:val="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读出</w:t>
      </w:r>
    </w:p>
    <w:p w14:paraId="68DA0872">
      <w:pPr>
        <w:numPr>
          <w:ilvl w:val="0"/>
          <w:numId w:val="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开启通信</w:t>
      </w:r>
    </w:p>
    <w:p w14:paraId="4403A78F">
      <w:pPr>
        <w:numPr>
          <w:ilvl w:val="0"/>
          <w:numId w:val="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发送从机地址，最后一位为写入位（置0）（此步骤为确定EEPROM的读取地址，如果不需要指定也可以直接跳转到读取）</w:t>
      </w:r>
    </w:p>
    <w:p w14:paraId="0F68C140">
      <w:pPr>
        <w:numPr>
          <w:ilvl w:val="0"/>
          <w:numId w:val="1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等待从机回应</w:t>
      </w:r>
    </w:p>
    <w:p w14:paraId="03F93AE9">
      <w:pPr>
        <w:numPr>
          <w:ilvl w:val="0"/>
          <w:numId w:val="1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发送要读取数据的地址</w:t>
      </w:r>
    </w:p>
    <w:p w14:paraId="6AF49BD8">
      <w:pPr>
        <w:numPr>
          <w:ilvl w:val="0"/>
          <w:numId w:val="1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等待从机回应</w:t>
      </w:r>
    </w:p>
    <w:p w14:paraId="700C23C4">
      <w:pPr>
        <w:numPr>
          <w:ilvl w:val="0"/>
          <w:numId w:val="1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停止通信</w:t>
      </w:r>
    </w:p>
    <w:p w14:paraId="53B9FF50">
      <w:pPr>
        <w:numPr>
          <w:ilvl w:val="0"/>
          <w:numId w:val="1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开启通信</w:t>
      </w:r>
    </w:p>
    <w:p w14:paraId="25104B04">
      <w:pPr>
        <w:numPr>
          <w:ilvl w:val="0"/>
          <w:numId w:val="1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发送从机地址，最后一位为读取位（置1）</w:t>
      </w:r>
    </w:p>
    <w:p w14:paraId="0EEC1A94">
      <w:pPr>
        <w:numPr>
          <w:ilvl w:val="0"/>
          <w:numId w:val="1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等待从机回应</w:t>
      </w:r>
    </w:p>
    <w:p w14:paraId="7AF41D59">
      <w:pPr>
        <w:numPr>
          <w:ilvl w:val="0"/>
          <w:numId w:val="2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接收数据（注意要用变量接收）</w:t>
      </w:r>
    </w:p>
    <w:p w14:paraId="205DEE08">
      <w:pPr>
        <w:numPr>
          <w:ilvl w:val="0"/>
          <w:numId w:val="2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如果还要接收数据，则发送应答，否则发送非应答</w:t>
      </w:r>
    </w:p>
    <w:p w14:paraId="68A52E3C">
      <w:pPr>
        <w:numPr>
          <w:ilvl w:val="0"/>
          <w:numId w:val="2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接收完毕，停止通信</w:t>
      </w:r>
    </w:p>
    <w:p w14:paraId="10CA4FD4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2933700"/>
            <wp:effectExtent l="0" t="0" r="0" b="0"/>
            <wp:docPr id="113" name="Draw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Drawing 1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4855">
      <w:pPr>
        <w:spacing w:before="300" w:after="120" w:line="288" w:lineRule="auto"/>
        <w:ind w:left="0"/>
        <w:jc w:val="left"/>
        <w:outlineLvl w:val="2"/>
      </w:pPr>
      <w:bookmarkStart w:id="5" w:name="heading_128"/>
      <w:r>
        <w:rPr>
          <w:rFonts w:hint="eastAsia" w:ascii="Arial" w:hAnsi="Arial" w:eastAsia="等线" w:cs="Arial"/>
          <w:b/>
          <w:sz w:val="30"/>
          <w:lang w:val="en-US" w:eastAsia="zh-CN"/>
        </w:rPr>
        <w:t>3.</w:t>
      </w:r>
      <w:r>
        <w:rPr>
          <w:rFonts w:ascii="Arial" w:hAnsi="Arial" w:eastAsia="等线" w:cs="Arial"/>
          <w:b/>
          <w:sz w:val="30"/>
        </w:rPr>
        <w:t>相关文件</w:t>
      </w:r>
      <w:bookmarkEnd w:id="5"/>
    </w:p>
    <w:p w14:paraId="517D17C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i2c_hal.h</w:t>
      </w:r>
    </w:p>
    <w:p w14:paraId="6C425646">
      <w:pPr>
        <w:spacing w:before="300" w:after="120" w:line="288" w:lineRule="auto"/>
        <w:ind w:left="0"/>
        <w:jc w:val="left"/>
        <w:outlineLvl w:val="2"/>
      </w:pPr>
      <w:bookmarkStart w:id="6" w:name="heading_129"/>
      <w:r>
        <w:rPr>
          <w:rFonts w:hint="eastAsia" w:ascii="Arial" w:hAnsi="Arial" w:eastAsia="等线" w:cs="Arial"/>
          <w:b/>
          <w:sz w:val="30"/>
          <w:lang w:val="en-US" w:eastAsia="zh-CN"/>
        </w:rPr>
        <w:t>4.</w:t>
      </w:r>
      <w:r>
        <w:rPr>
          <w:rFonts w:ascii="Arial" w:hAnsi="Arial" w:eastAsia="等线" w:cs="Arial"/>
          <w:b/>
          <w:sz w:val="30"/>
        </w:rPr>
        <w:t>注意事项</w:t>
      </w:r>
      <w:bookmarkEnd w:id="6"/>
    </w:p>
    <w:p w14:paraId="66209D5F">
      <w:pPr>
        <w:numPr>
          <w:ilvl w:val="0"/>
          <w:numId w:val="2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使用前，需要将I2C初始化</w:t>
      </w:r>
    </w:p>
    <w:p w14:paraId="0C3691C8">
      <w:pPr>
        <w:numPr>
          <w:ilvl w:val="0"/>
          <w:numId w:val="2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写延时需要根据实际情况而定，不能干扰到其他模块的运行（比如按键）</w:t>
      </w:r>
    </w:p>
    <w:p w14:paraId="1CCC8B61">
      <w:pPr>
        <w:numPr>
          <w:ilvl w:val="0"/>
          <w:numId w:val="2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读取和写入注意指针的移动，data++可独立写为一行</w:t>
      </w:r>
    </w:p>
    <w:p w14:paraId="3389E9F8">
      <w:pPr>
        <w:numPr>
          <w:ilvl w:val="0"/>
          <w:numId w:val="2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兼容版的</w:t>
      </w:r>
      <w:r>
        <w:rPr>
          <w:rFonts w:ascii="Arial" w:hAnsi="Arial" w:eastAsia="等线" w:cs="Arial"/>
          <w:color w:val="D83931"/>
          <w:sz w:val="22"/>
        </w:rPr>
        <w:t>参数num为字节数</w:t>
      </w:r>
    </w:p>
    <w:p w14:paraId="4F1AB3BA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2116CBEF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61F1E629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0653DB9D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18CDF92A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42B33140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37C6A8B5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7C5C4123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10744D75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color w:val="D83931"/>
          <w:sz w:val="22"/>
        </w:rPr>
      </w:pPr>
    </w:p>
    <w:p w14:paraId="6A528DC4">
      <w:pPr>
        <w:spacing w:before="320" w:after="120" w:line="288" w:lineRule="auto"/>
        <w:ind w:left="0"/>
        <w:jc w:val="left"/>
        <w:outlineLvl w:val="1"/>
      </w:pPr>
      <w:bookmarkStart w:id="7" w:name="heading_130"/>
      <w:r>
        <w:rPr>
          <w:rFonts w:ascii="Arial" w:hAnsi="Arial" w:eastAsia="等线" w:cs="Arial"/>
          <w:b/>
          <w:sz w:val="32"/>
        </w:rPr>
        <w:t>0801RTC</w:t>
      </w:r>
      <w:bookmarkEnd w:id="7"/>
    </w:p>
    <w:p w14:paraId="77055712">
      <w:pPr>
        <w:spacing w:before="300" w:after="120" w:line="288" w:lineRule="auto"/>
        <w:ind w:left="0"/>
        <w:jc w:val="left"/>
        <w:outlineLvl w:val="2"/>
      </w:pPr>
      <w:bookmarkStart w:id="8" w:name="heading_131"/>
      <w:r>
        <w:rPr>
          <w:rFonts w:hint="eastAsia" w:ascii="Arial" w:hAnsi="Arial" w:eastAsia="等线" w:cs="Arial"/>
          <w:b/>
          <w:sz w:val="30"/>
          <w:lang w:val="en-US" w:eastAsia="zh-CN"/>
        </w:rPr>
        <w:t>1.</w:t>
      </w:r>
      <w:r>
        <w:rPr>
          <w:rFonts w:ascii="Arial" w:hAnsi="Arial" w:eastAsia="等线" w:cs="Arial"/>
          <w:b/>
          <w:sz w:val="30"/>
        </w:rPr>
        <w:t>配置</w:t>
      </w:r>
      <w:bookmarkEnd w:id="8"/>
    </w:p>
    <w:p w14:paraId="0EBD3CC3">
      <w:pPr>
        <w:numPr>
          <w:ilvl w:val="0"/>
          <w:numId w:val="2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RTC的时钟改为</w:t>
      </w:r>
      <w:r>
        <w:rPr>
          <w:rFonts w:ascii="Arial" w:hAnsi="Arial" w:eastAsia="等线" w:cs="Arial"/>
          <w:color w:val="D83931"/>
          <w:sz w:val="22"/>
        </w:rPr>
        <w:t>HSE</w:t>
      </w:r>
      <w:r>
        <w:rPr>
          <w:rFonts w:ascii="Arial" w:hAnsi="Arial" w:eastAsia="等线" w:cs="Arial"/>
          <w:sz w:val="22"/>
        </w:rPr>
        <w:t>，24M/32=750KHz</w:t>
      </w:r>
    </w:p>
    <w:p w14:paraId="7CDB07F5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1828800"/>
            <wp:effectExtent l="0" t="0" r="0" b="0"/>
            <wp:docPr id="114" name="Drawing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Drawing 1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5F41">
      <w:pPr>
        <w:numPr>
          <w:ilvl w:val="0"/>
          <w:numId w:val="2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通过同步分频和异步分频将频率设置为</w:t>
      </w:r>
      <w:r>
        <w:rPr>
          <w:rFonts w:ascii="Arial" w:hAnsi="Arial" w:eastAsia="等线" w:cs="Arial"/>
          <w:color w:val="D83931"/>
          <w:sz w:val="22"/>
        </w:rPr>
        <w:t>1Hz</w:t>
      </w:r>
    </w:p>
    <w:p w14:paraId="6B1193B4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1323975"/>
            <wp:effectExtent l="0" t="0" r="0" b="9525"/>
            <wp:docPr id="115" name="Drawing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Drawing 1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93A6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4295775"/>
            <wp:effectExtent l="0" t="0" r="0" b="9525"/>
            <wp:docPr id="116" name="Draw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Drawing 1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57D8">
      <w:pPr>
        <w:numPr>
          <w:ilvl w:val="0"/>
          <w:numId w:val="2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开启中断</w:t>
      </w:r>
    </w:p>
    <w:p w14:paraId="6C17CDE2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1819275"/>
            <wp:effectExtent l="0" t="0" r="0" b="9525"/>
            <wp:docPr id="117" name="Draw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Drawing 1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179B">
      <w:pPr>
        <w:spacing w:before="300" w:after="120" w:line="288" w:lineRule="auto"/>
        <w:ind w:left="0"/>
        <w:jc w:val="left"/>
        <w:outlineLvl w:val="2"/>
      </w:pPr>
      <w:bookmarkStart w:id="9" w:name="heading_132"/>
      <w:r>
        <w:rPr>
          <w:rFonts w:hint="eastAsia" w:ascii="Arial" w:hAnsi="Arial" w:eastAsia="等线" w:cs="Arial"/>
          <w:b/>
          <w:sz w:val="30"/>
          <w:lang w:val="en-US" w:eastAsia="zh-CN"/>
        </w:rPr>
        <w:t>2.</w:t>
      </w:r>
      <w:r>
        <w:rPr>
          <w:rFonts w:ascii="Arial" w:hAnsi="Arial" w:eastAsia="等线" w:cs="Arial"/>
          <w:b/>
          <w:sz w:val="30"/>
        </w:rPr>
        <w:t>函数</w:t>
      </w:r>
      <w:bookmarkEnd w:id="9"/>
    </w:p>
    <w:p w14:paraId="4B3D12CC">
      <w:pPr>
        <w:spacing w:before="260" w:after="120" w:line="288" w:lineRule="auto"/>
        <w:ind w:left="0"/>
        <w:jc w:val="left"/>
        <w:outlineLvl w:val="3"/>
      </w:pPr>
      <w:bookmarkStart w:id="10" w:name="heading_133"/>
      <w:r>
        <w:rPr>
          <w:rFonts w:ascii="Arial" w:hAnsi="Arial" w:eastAsia="等线" w:cs="Arial"/>
          <w:b/>
          <w:sz w:val="28"/>
        </w:rPr>
        <w:t>HAL_RTC_SetTime(&amp;hrtc,&amp;rtc_time,RTC_FORMAT_BIN);</w:t>
      </w:r>
      <w:bookmarkEnd w:id="10"/>
    </w:p>
    <w:p w14:paraId="5929A34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866900"/>
            <wp:effectExtent l="0" t="0" r="0" b="0"/>
            <wp:docPr id="118" name="Draw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Drawing 1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775">
      <w:pPr>
        <w:spacing w:before="260" w:after="120" w:line="288" w:lineRule="auto"/>
        <w:ind w:left="0"/>
        <w:jc w:val="left"/>
        <w:outlineLvl w:val="3"/>
      </w:pPr>
      <w:bookmarkStart w:id="11" w:name="heading_134"/>
      <w:r>
        <w:rPr>
          <w:rFonts w:ascii="Arial" w:hAnsi="Arial" w:eastAsia="等线" w:cs="Arial"/>
          <w:b/>
          <w:sz w:val="28"/>
        </w:rPr>
        <w:t>HAL_RTC_SetDate(&amp;hrtc,&amp;rtc_date,RTC_FORMAT_BIN);</w:t>
      </w:r>
      <w:bookmarkEnd w:id="11"/>
    </w:p>
    <w:p w14:paraId="1C6F7B6C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495425"/>
            <wp:effectExtent l="0" t="0" r="0" b="3175"/>
            <wp:docPr id="119" name="Drawing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Drawing 1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6284">
      <w:pPr>
        <w:spacing w:before="260" w:after="120" w:line="288" w:lineRule="auto"/>
        <w:ind w:left="0"/>
        <w:jc w:val="left"/>
        <w:outlineLvl w:val="3"/>
      </w:pPr>
      <w:bookmarkStart w:id="12" w:name="heading_135"/>
      <w:r>
        <w:rPr>
          <w:rFonts w:ascii="Arial" w:hAnsi="Arial" w:eastAsia="等线" w:cs="Arial"/>
          <w:b/>
          <w:sz w:val="28"/>
        </w:rPr>
        <w:t>HAL_RTC_GetTime(&amp;hrtc,&amp;rtc_time,RTC_FORMAT_BIN);</w:t>
      </w:r>
      <w:bookmarkEnd w:id="12"/>
    </w:p>
    <w:p w14:paraId="5B98659A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933575"/>
            <wp:effectExtent l="0" t="0" r="0" b="9525"/>
            <wp:docPr id="120" name="Drawing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Drawing 1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4DC6">
      <w:pPr>
        <w:spacing w:before="260" w:after="120" w:line="288" w:lineRule="auto"/>
        <w:ind w:left="0"/>
        <w:jc w:val="left"/>
        <w:outlineLvl w:val="3"/>
      </w:pPr>
      <w:bookmarkStart w:id="13" w:name="heading_136"/>
      <w:r>
        <w:rPr>
          <w:rFonts w:ascii="Arial" w:hAnsi="Arial" w:eastAsia="等线" w:cs="Arial"/>
          <w:b/>
          <w:sz w:val="28"/>
        </w:rPr>
        <w:t>HAL_RTC_GetDate(&amp;hrtc,&amp;rtc_date,RTC_FORMAT_BIN);</w:t>
      </w:r>
      <w:bookmarkEnd w:id="13"/>
    </w:p>
    <w:p w14:paraId="259EC17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219325"/>
            <wp:effectExtent l="0" t="0" r="0" b="3175"/>
            <wp:docPr id="121" name="Drawing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Drawing 1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34B">
      <w:pPr>
        <w:spacing w:before="260" w:after="120" w:line="288" w:lineRule="auto"/>
        <w:ind w:left="0"/>
        <w:jc w:val="left"/>
        <w:outlineLvl w:val="3"/>
      </w:pPr>
      <w:bookmarkStart w:id="14" w:name="heading_137"/>
      <w:r>
        <w:rPr>
          <w:rFonts w:ascii="Arial" w:hAnsi="Arial" w:eastAsia="等线" w:cs="Arial"/>
          <w:b/>
          <w:sz w:val="28"/>
        </w:rPr>
        <w:t>RTC_TimeTypeDef</w:t>
      </w:r>
      <w:bookmarkEnd w:id="14"/>
    </w:p>
    <w:p w14:paraId="4FBAC08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371725"/>
            <wp:effectExtent l="0" t="0" r="0" b="3175"/>
            <wp:docPr id="122" name="Drawing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Drawing 1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01F6">
      <w:pPr>
        <w:spacing w:before="260" w:after="120" w:line="288" w:lineRule="auto"/>
        <w:ind w:left="0"/>
        <w:jc w:val="left"/>
        <w:outlineLvl w:val="3"/>
      </w:pPr>
      <w:bookmarkStart w:id="15" w:name="heading_138"/>
      <w:r>
        <w:rPr>
          <w:rFonts w:ascii="Arial" w:hAnsi="Arial" w:eastAsia="等线" w:cs="Arial"/>
          <w:b/>
          <w:sz w:val="28"/>
        </w:rPr>
        <w:t>RTC_DateTypeDef</w:t>
      </w:r>
      <w:bookmarkEnd w:id="15"/>
    </w:p>
    <w:p w14:paraId="4FB2B51E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705100"/>
            <wp:effectExtent l="0" t="0" r="0" b="0"/>
            <wp:docPr id="123" name="Drawing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Drawing 1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A405">
      <w:pPr>
        <w:spacing w:before="260" w:after="120" w:line="288" w:lineRule="auto"/>
        <w:ind w:left="0"/>
        <w:jc w:val="left"/>
        <w:outlineLvl w:val="3"/>
      </w:pPr>
      <w:bookmarkStart w:id="16" w:name="heading_139"/>
      <w:r>
        <w:rPr>
          <w:rFonts w:ascii="Arial" w:hAnsi="Arial" w:eastAsia="等线" w:cs="Arial"/>
          <w:b/>
          <w:sz w:val="28"/>
        </w:rPr>
        <w:t>唤醒回调函数</w:t>
      </w:r>
      <w:bookmarkEnd w:id="16"/>
    </w:p>
    <w:p w14:paraId="175673A8">
      <w:pPr>
        <w:numPr>
          <w:ilvl w:val="0"/>
          <w:numId w:val="3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可在stm32g4xx_it.c中找到RTC唤醒中断函数，进而找到回调函数</w:t>
      </w:r>
    </w:p>
    <w:p w14:paraId="7608C2D2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1343025"/>
            <wp:effectExtent l="0" t="0" r="0" b="3175"/>
            <wp:docPr id="124" name="Drawing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Drawing 1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2912">
      <w:pPr>
        <w:spacing w:before="260" w:after="120" w:line="288" w:lineRule="auto"/>
        <w:ind w:left="0"/>
        <w:jc w:val="left"/>
        <w:outlineLvl w:val="3"/>
      </w:pPr>
      <w:bookmarkStart w:id="17" w:name="heading_140"/>
      <w:r>
        <w:rPr>
          <w:rFonts w:ascii="Arial" w:hAnsi="Arial" w:eastAsia="等线" w:cs="Arial"/>
          <w:b/>
          <w:sz w:val="28"/>
        </w:rPr>
        <w:t>设置与显示时间</w:t>
      </w:r>
      <w:bookmarkEnd w:id="17"/>
    </w:p>
    <w:p w14:paraId="312E0635">
      <w:pPr>
        <w:numPr>
          <w:ilvl w:val="0"/>
          <w:numId w:val="3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用其他日期和时间变量进行设置，不能使用 用于接收的两个变量，显示时也使用其他两个变量进行显示</w:t>
      </w:r>
    </w:p>
    <w:p w14:paraId="26000125">
      <w:pPr>
        <w:numPr>
          <w:ilvl w:val="0"/>
          <w:numId w:val="3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在唤醒中断中置标志位，显示函数中检测到该标志位后再进行显示</w:t>
      </w:r>
    </w:p>
    <w:p w14:paraId="38FE32D9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629025"/>
            <wp:effectExtent l="0" t="0" r="0" b="3175"/>
            <wp:docPr id="125" name="Drawing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rawing 1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F497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019425"/>
            <wp:effectExtent l="0" t="0" r="0" b="3175"/>
            <wp:docPr id="126" name="Drawing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Drawing 1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DFF6">
      <w:pPr>
        <w:spacing w:before="300" w:after="120" w:line="288" w:lineRule="auto"/>
        <w:ind w:left="0"/>
        <w:jc w:val="left"/>
        <w:outlineLvl w:val="2"/>
      </w:pPr>
      <w:bookmarkStart w:id="18" w:name="heading_141"/>
      <w:r>
        <w:rPr>
          <w:rFonts w:hint="eastAsia" w:ascii="Arial" w:hAnsi="Arial" w:eastAsia="等线" w:cs="Arial"/>
          <w:b/>
          <w:sz w:val="30"/>
          <w:lang w:val="en-US" w:eastAsia="zh-CN"/>
        </w:rPr>
        <w:t>3.</w:t>
      </w:r>
      <w:r>
        <w:rPr>
          <w:rFonts w:ascii="Arial" w:hAnsi="Arial" w:eastAsia="等线" w:cs="Arial"/>
          <w:b/>
          <w:sz w:val="30"/>
        </w:rPr>
        <w:t>相关文件</w:t>
      </w:r>
      <w:bookmarkEnd w:id="18"/>
    </w:p>
    <w:p w14:paraId="4A8F88F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stm32g4xx_hal_rtc.h</w:t>
      </w:r>
    </w:p>
    <w:p w14:paraId="361C04D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stm32g4xx_hal_rtc.c</w:t>
      </w:r>
    </w:p>
    <w:p w14:paraId="65459062">
      <w:pPr>
        <w:spacing w:before="300" w:after="120" w:line="288" w:lineRule="auto"/>
        <w:ind w:left="0"/>
        <w:jc w:val="left"/>
        <w:outlineLvl w:val="2"/>
      </w:pPr>
      <w:bookmarkStart w:id="19" w:name="heading_142"/>
      <w:r>
        <w:rPr>
          <w:rFonts w:hint="eastAsia" w:ascii="Arial" w:hAnsi="Arial" w:eastAsia="等线" w:cs="Arial"/>
          <w:b/>
          <w:sz w:val="30"/>
          <w:lang w:val="en-US" w:eastAsia="zh-CN"/>
        </w:rPr>
        <w:t>4.</w:t>
      </w:r>
      <w:r>
        <w:rPr>
          <w:rFonts w:ascii="Arial" w:hAnsi="Arial" w:eastAsia="等线" w:cs="Arial"/>
          <w:b/>
          <w:sz w:val="30"/>
        </w:rPr>
        <w:t>注意事项</w:t>
      </w:r>
      <w:bookmarkEnd w:id="19"/>
    </w:p>
    <w:p w14:paraId="18B0C116">
      <w:pPr>
        <w:numPr>
          <w:ilvl w:val="0"/>
          <w:numId w:val="3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记录RTC时间数据（即日期、小时等）的操作需要放在LCD显示之前，否则数据会出错</w:t>
      </w:r>
    </w:p>
    <w:p w14:paraId="4E099420">
      <w:pPr>
        <w:numPr>
          <w:ilvl w:val="0"/>
          <w:numId w:val="3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在唤醒回调函数中设置标志位，外部检测到标志位后再进行显示，然后将标志位清空，等待下一次中断置位</w:t>
      </w:r>
    </w:p>
    <w:p w14:paraId="3B850AA4">
      <w:pPr>
        <w:numPr>
          <w:ilvl w:val="0"/>
          <w:numId w:val="3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Wake Up Counter设置为</w:t>
      </w:r>
      <w:r>
        <w:rPr>
          <w:rFonts w:ascii="Arial" w:hAnsi="Arial" w:eastAsia="等线" w:cs="Arial"/>
          <w:b/>
          <w:sz w:val="22"/>
        </w:rPr>
        <w:t>0</w:t>
      </w:r>
    </w:p>
    <w:p w14:paraId="41AF52FD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sz w:val="22"/>
        </w:rPr>
      </w:pPr>
    </w:p>
    <w:p w14:paraId="2C9793AB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sz w:val="22"/>
        </w:rPr>
      </w:pPr>
    </w:p>
    <w:p w14:paraId="7F7EBFEB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sz w:val="22"/>
        </w:rPr>
      </w:pPr>
    </w:p>
    <w:p w14:paraId="4B3CC43A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sz w:val="22"/>
        </w:rPr>
      </w:pPr>
    </w:p>
    <w:p w14:paraId="498CA153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sz w:val="22"/>
        </w:rPr>
      </w:pPr>
    </w:p>
    <w:p w14:paraId="77763F62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sz w:val="22"/>
        </w:rPr>
      </w:pPr>
    </w:p>
    <w:p w14:paraId="08DCEE9D">
      <w:pPr>
        <w:widowControl w:val="0"/>
        <w:numPr>
          <w:numId w:val="0"/>
        </w:numPr>
        <w:spacing w:before="120" w:after="120" w:line="288" w:lineRule="auto"/>
        <w:jc w:val="left"/>
        <w:rPr>
          <w:rFonts w:ascii="Arial" w:hAnsi="Arial" w:eastAsia="等线" w:cs="Arial"/>
          <w:b/>
          <w:sz w:val="22"/>
        </w:rPr>
      </w:pPr>
      <w:bookmarkStart w:id="25" w:name="_GoBack"/>
      <w:bookmarkEnd w:id="25"/>
    </w:p>
    <w:p w14:paraId="0F4EEB6D">
      <w:pPr>
        <w:spacing w:before="320" w:after="120" w:line="288" w:lineRule="auto"/>
        <w:ind w:left="0"/>
        <w:jc w:val="left"/>
        <w:outlineLvl w:val="1"/>
      </w:pPr>
      <w:bookmarkStart w:id="20" w:name="heading_143"/>
      <w:r>
        <w:rPr>
          <w:rFonts w:ascii="Arial" w:hAnsi="Arial" w:eastAsia="等线" w:cs="Arial"/>
          <w:b/>
          <w:sz w:val="32"/>
        </w:rPr>
        <w:t>0802RTC+Alarm</w:t>
      </w:r>
      <w:bookmarkEnd w:id="20"/>
    </w:p>
    <w:p w14:paraId="1589D59A">
      <w:pPr>
        <w:spacing w:before="300" w:after="120" w:line="288" w:lineRule="auto"/>
        <w:ind w:left="0"/>
        <w:jc w:val="left"/>
        <w:outlineLvl w:val="2"/>
      </w:pPr>
      <w:bookmarkStart w:id="21" w:name="heading_144"/>
      <w:r>
        <w:rPr>
          <w:rFonts w:hint="eastAsia" w:ascii="Arial" w:hAnsi="Arial" w:eastAsia="等线" w:cs="Arial"/>
          <w:b/>
          <w:sz w:val="30"/>
          <w:lang w:val="en-US" w:eastAsia="zh-CN"/>
        </w:rPr>
        <w:t>1.</w:t>
      </w:r>
      <w:r>
        <w:rPr>
          <w:rFonts w:ascii="Arial" w:hAnsi="Arial" w:eastAsia="等线" w:cs="Arial"/>
          <w:b/>
          <w:sz w:val="30"/>
        </w:rPr>
        <w:t>配置</w:t>
      </w:r>
      <w:bookmarkEnd w:id="21"/>
    </w:p>
    <w:p w14:paraId="516FFA8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在RTC的基础配置上添加如下配置：</w:t>
      </w:r>
    </w:p>
    <w:p w14:paraId="60676871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4210050"/>
            <wp:effectExtent l="0" t="0" r="0" b="6350"/>
            <wp:docPr id="127" name="Drawing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Drawing 1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F745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4752975"/>
            <wp:effectExtent l="0" t="0" r="0" b="9525"/>
            <wp:docPr id="128" name="Drawing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rawing 1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5699">
      <w:pPr>
        <w:spacing w:before="300" w:after="120" w:line="288" w:lineRule="auto"/>
        <w:ind w:left="0"/>
        <w:jc w:val="left"/>
        <w:outlineLvl w:val="2"/>
      </w:pPr>
      <w:bookmarkStart w:id="22" w:name="heading_145"/>
      <w:r>
        <w:rPr>
          <w:rFonts w:hint="eastAsia" w:ascii="Arial" w:hAnsi="Arial" w:eastAsia="等线" w:cs="Arial"/>
          <w:b/>
          <w:sz w:val="30"/>
          <w:lang w:val="en-US" w:eastAsia="zh-CN"/>
        </w:rPr>
        <w:t>2.</w:t>
      </w:r>
      <w:r>
        <w:rPr>
          <w:rFonts w:ascii="Arial" w:hAnsi="Arial" w:eastAsia="等线" w:cs="Arial"/>
          <w:b/>
          <w:sz w:val="30"/>
        </w:rPr>
        <w:t>函数</w:t>
      </w:r>
      <w:bookmarkEnd w:id="22"/>
    </w:p>
    <w:p w14:paraId="48BEB214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1704975"/>
            <wp:effectExtent l="0" t="0" r="0" b="9525"/>
            <wp:docPr id="129" name="Drawing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Drawing 1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249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838325"/>
            <wp:effectExtent l="0" t="0" r="0" b="3175"/>
            <wp:docPr id="130" name="Drawing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rawing 1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1485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943100"/>
            <wp:effectExtent l="0" t="0" r="0" b="0"/>
            <wp:docPr id="131" name="Drawing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Drawing 1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064A">
      <w:pPr>
        <w:spacing w:before="300" w:after="120" w:line="288" w:lineRule="auto"/>
        <w:ind w:left="0"/>
        <w:jc w:val="left"/>
        <w:outlineLvl w:val="2"/>
      </w:pPr>
      <w:bookmarkStart w:id="23" w:name="heading_146"/>
      <w:r>
        <w:rPr>
          <w:rFonts w:hint="eastAsia" w:ascii="Arial" w:hAnsi="Arial" w:eastAsia="等线" w:cs="Arial"/>
          <w:b/>
          <w:sz w:val="30"/>
          <w:lang w:val="en-US" w:eastAsia="zh-CN"/>
        </w:rPr>
        <w:t>3.</w:t>
      </w:r>
      <w:r>
        <w:rPr>
          <w:rFonts w:ascii="Arial" w:hAnsi="Arial" w:eastAsia="等线" w:cs="Arial"/>
          <w:b/>
          <w:sz w:val="30"/>
        </w:rPr>
        <w:t>相关文件</w:t>
      </w:r>
      <w:bookmarkEnd w:id="23"/>
    </w:p>
    <w:p w14:paraId="2F9C36C3">
      <w:pPr>
        <w:spacing w:before="120" w:after="120" w:line="288" w:lineRule="auto"/>
        <w:ind w:left="0"/>
        <w:jc w:val="left"/>
      </w:pPr>
    </w:p>
    <w:p w14:paraId="42A11C45">
      <w:pPr>
        <w:spacing w:before="300" w:after="120" w:line="288" w:lineRule="auto"/>
        <w:ind w:left="0"/>
        <w:jc w:val="left"/>
        <w:outlineLvl w:val="2"/>
      </w:pPr>
      <w:bookmarkStart w:id="24" w:name="heading_147"/>
      <w:r>
        <w:rPr>
          <w:rFonts w:hint="eastAsia" w:ascii="Arial" w:hAnsi="Arial" w:eastAsia="等线" w:cs="Arial"/>
          <w:b/>
          <w:sz w:val="30"/>
          <w:lang w:val="en-US" w:eastAsia="zh-CN"/>
        </w:rPr>
        <w:t>4.</w:t>
      </w:r>
      <w:r>
        <w:rPr>
          <w:rFonts w:ascii="Arial" w:hAnsi="Arial" w:eastAsia="等线" w:cs="Arial"/>
          <w:b/>
          <w:sz w:val="30"/>
        </w:rPr>
        <w:t>注意事项</w:t>
      </w:r>
      <w:bookmarkEnd w:id="24"/>
    </w:p>
    <w:p w14:paraId="4052FF79">
      <w:pPr>
        <w:numPr>
          <w:ilvl w:val="0"/>
          <w:numId w:val="3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不同闹钟的回调函数名称的差别可能不止一个字母，需要根据闹钟中断所调用的回调函数为准</w:t>
      </w:r>
    </w:p>
    <w:p w14:paraId="25A57D38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4324350" cy="3676650"/>
            <wp:effectExtent l="0" t="0" r="6350" b="6350"/>
            <wp:docPr id="132" name="Drawing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Drawing 1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E305">
      <w:pPr>
        <w:numPr>
          <w:ilvl w:val="0"/>
          <w:numId w:val="3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以xx:aa:00为闹钟时，</w:t>
      </w:r>
      <w:r>
        <w:rPr>
          <w:rFonts w:ascii="Arial" w:hAnsi="Arial" w:eastAsia="等线" w:cs="Arial"/>
          <w:color w:val="D83931"/>
          <w:sz w:val="22"/>
        </w:rPr>
        <w:t>需要将秒的Mask也设置为Disable（</w:t>
      </w:r>
      <w:r>
        <w:rPr>
          <w:rFonts w:hint="eastAsia" w:ascii="Arial" w:hAnsi="Arial" w:eastAsia="等线" w:cs="Arial"/>
          <w:color w:val="D83931"/>
          <w:sz w:val="22"/>
          <w:lang w:val="en-US" w:eastAsia="zh-CN"/>
        </w:rPr>
        <w:t>即</w:t>
      </w:r>
      <w:r>
        <w:rPr>
          <w:rFonts w:ascii="Arial" w:hAnsi="Arial" w:eastAsia="等线" w:cs="Arial"/>
          <w:color w:val="D83931"/>
          <w:sz w:val="22"/>
        </w:rPr>
        <w:t>不能掩盖）</w:t>
      </w:r>
      <w:r>
        <w:rPr>
          <w:rFonts w:ascii="Arial" w:hAnsi="Arial" w:eastAsia="等线" w:cs="Arial"/>
          <w:sz w:val="22"/>
        </w:rPr>
        <w:t>，否则当时钟走到xx:aa:xx时会重复触发（每秒触发一次，直到</w:t>
      </w:r>
      <w:r>
        <w:rPr>
          <w:rFonts w:hint="eastAsia" w:ascii="Arial" w:hAnsi="Arial" w:eastAsia="等线" w:cs="Arial"/>
          <w:sz w:val="22"/>
          <w:lang w:val="en-US" w:eastAsia="zh-CN"/>
        </w:rPr>
        <w:t>时间</w:t>
      </w:r>
      <w:r>
        <w:rPr>
          <w:rFonts w:ascii="Arial" w:hAnsi="Arial" w:eastAsia="等线" w:cs="Arial"/>
          <w:sz w:val="22"/>
        </w:rPr>
        <w:t>走过aa）</w:t>
      </w:r>
    </w:p>
    <w:p w14:paraId="32171271">
      <w:pPr>
        <w:numPr>
          <w:ilvl w:val="0"/>
          <w:numId w:val="3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b/>
          <w:sz w:val="22"/>
        </w:rPr>
        <w:t>如果需要在中断函数中调用HAL_Delay，则需要将Time Base:System tick timer的优先级设为0，否则可能会卡死主程序</w:t>
      </w:r>
    </w:p>
    <w:p w14:paraId="40DDC7E4">
      <w:pPr>
        <w:numPr>
          <w:ilvl w:val="0"/>
          <w:numId w:val="3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需要cubemx中开启对应的中断</w:t>
      </w:r>
    </w:p>
    <w:p w14:paraId="157A7C7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B75F0A"/>
    <w:multiLevelType w:val="singleLevel"/>
    <w:tmpl w:val="87B75F0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">
    <w:nsid w:val="95E682A1"/>
    <w:multiLevelType w:val="singleLevel"/>
    <w:tmpl w:val="95E682A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">
    <w:nsid w:val="A5435042"/>
    <w:multiLevelType w:val="singleLevel"/>
    <w:tmpl w:val="A5435042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">
    <w:nsid w:val="A97D620A"/>
    <w:multiLevelType w:val="singleLevel"/>
    <w:tmpl w:val="A97D620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4">
    <w:nsid w:val="B08374AC"/>
    <w:multiLevelType w:val="singleLevel"/>
    <w:tmpl w:val="B08374A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5">
    <w:nsid w:val="B1CC6FF1"/>
    <w:multiLevelType w:val="singleLevel"/>
    <w:tmpl w:val="B1CC6FF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6">
    <w:nsid w:val="B4E02BC3"/>
    <w:multiLevelType w:val="singleLevel"/>
    <w:tmpl w:val="B4E02BC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7">
    <w:nsid w:val="C0283A65"/>
    <w:multiLevelType w:val="singleLevel"/>
    <w:tmpl w:val="C0283A6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8">
    <w:nsid w:val="C9412743"/>
    <w:multiLevelType w:val="singleLevel"/>
    <w:tmpl w:val="C941274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9">
    <w:nsid w:val="D7936317"/>
    <w:multiLevelType w:val="singleLevel"/>
    <w:tmpl w:val="D793631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0">
    <w:nsid w:val="DAE62134"/>
    <w:multiLevelType w:val="singleLevel"/>
    <w:tmpl w:val="DAE6213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1">
    <w:nsid w:val="E43A772E"/>
    <w:multiLevelType w:val="singleLevel"/>
    <w:tmpl w:val="E43A772E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2">
    <w:nsid w:val="EA28CC15"/>
    <w:multiLevelType w:val="singleLevel"/>
    <w:tmpl w:val="EA28CC15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3">
    <w:nsid w:val="F066642F"/>
    <w:multiLevelType w:val="singleLevel"/>
    <w:tmpl w:val="F066642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4">
    <w:nsid w:val="F1FCDEFA"/>
    <w:multiLevelType w:val="singleLevel"/>
    <w:tmpl w:val="F1FCDEF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5">
    <w:nsid w:val="F237ACA1"/>
    <w:multiLevelType w:val="singleLevel"/>
    <w:tmpl w:val="F237ACA1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6">
    <w:nsid w:val="F2A81E1A"/>
    <w:multiLevelType w:val="singleLevel"/>
    <w:tmpl w:val="F2A81E1A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7">
    <w:nsid w:val="F46CCC20"/>
    <w:multiLevelType w:val="singleLevel"/>
    <w:tmpl w:val="F46CCC2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8">
    <w:nsid w:val="F9718D3C"/>
    <w:multiLevelType w:val="singleLevel"/>
    <w:tmpl w:val="F9718D3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19">
    <w:nsid w:val="01D7E1C7"/>
    <w:multiLevelType w:val="singleLevel"/>
    <w:tmpl w:val="01D7E1C7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0">
    <w:nsid w:val="07F5BCC3"/>
    <w:multiLevelType w:val="singleLevel"/>
    <w:tmpl w:val="07F5BCC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1">
    <w:nsid w:val="0C0E1E13"/>
    <w:multiLevelType w:val="singleLevel"/>
    <w:tmpl w:val="0C0E1E13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2">
    <w:nsid w:val="0DC629B0"/>
    <w:multiLevelType w:val="singleLevel"/>
    <w:tmpl w:val="0DC629B0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3">
    <w:nsid w:val="1483906D"/>
    <w:multiLevelType w:val="singleLevel"/>
    <w:tmpl w:val="1483906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4">
    <w:nsid w:val="1B3FCE26"/>
    <w:multiLevelType w:val="singleLevel"/>
    <w:tmpl w:val="1B3FCE26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5">
    <w:nsid w:val="2007DCFD"/>
    <w:multiLevelType w:val="singleLevel"/>
    <w:tmpl w:val="2007DCFD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6">
    <w:nsid w:val="252BF6AB"/>
    <w:multiLevelType w:val="singleLevel"/>
    <w:tmpl w:val="252BF6A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7">
    <w:nsid w:val="274D3D9B"/>
    <w:multiLevelType w:val="singleLevel"/>
    <w:tmpl w:val="274D3D9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8">
    <w:nsid w:val="35ECE9CB"/>
    <w:multiLevelType w:val="singleLevel"/>
    <w:tmpl w:val="35ECE9CB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29">
    <w:nsid w:val="38EAC418"/>
    <w:multiLevelType w:val="singleLevel"/>
    <w:tmpl w:val="38EAC41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0">
    <w:nsid w:val="3D950AF9"/>
    <w:multiLevelType w:val="singleLevel"/>
    <w:tmpl w:val="3D950AF9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1">
    <w:nsid w:val="3FE315B6"/>
    <w:multiLevelType w:val="singleLevel"/>
    <w:tmpl w:val="3FE315B6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32">
    <w:nsid w:val="408860E8"/>
    <w:multiLevelType w:val="singleLevel"/>
    <w:tmpl w:val="408860E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3">
    <w:nsid w:val="4258023A"/>
    <w:multiLevelType w:val="singleLevel"/>
    <w:tmpl w:val="4258023A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34">
    <w:nsid w:val="4AD1D84F"/>
    <w:multiLevelType w:val="singleLevel"/>
    <w:tmpl w:val="4AD1D84F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5">
    <w:nsid w:val="4FA7FC34"/>
    <w:multiLevelType w:val="singleLevel"/>
    <w:tmpl w:val="4FA7FC34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6">
    <w:nsid w:val="6AFC2A1C"/>
    <w:multiLevelType w:val="singleLevel"/>
    <w:tmpl w:val="6AFC2A1C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7">
    <w:nsid w:val="6D423078"/>
    <w:multiLevelType w:val="singleLevel"/>
    <w:tmpl w:val="6D423078"/>
    <w:lvl w:ilvl="0" w:tentative="0">
      <w:start w:val="0"/>
      <w:numFmt w:val="bullet"/>
      <w:lvlText w:val="•"/>
      <w:lvlJc w:val="left"/>
      <w:rPr>
        <w:color w:val="3370FF"/>
      </w:rPr>
    </w:lvl>
  </w:abstractNum>
  <w:abstractNum w:abstractNumId="38">
    <w:nsid w:val="7499D7B3"/>
    <w:multiLevelType w:val="singleLevel"/>
    <w:tmpl w:val="7499D7B3"/>
    <w:lvl w:ilvl="0" w:tentative="0">
      <w:start w:val="0"/>
      <w:numFmt w:val="bullet"/>
      <w:lvlText w:val="•"/>
      <w:lvlJc w:val="left"/>
      <w:rPr>
        <w:color w:val="3370FF"/>
      </w:rPr>
    </w:lvl>
  </w:abstractNum>
  <w:num w:numId="1">
    <w:abstractNumId w:val="31"/>
  </w:num>
  <w:num w:numId="2">
    <w:abstractNumId w:val="22"/>
  </w:num>
  <w:num w:numId="3">
    <w:abstractNumId w:val="37"/>
  </w:num>
  <w:num w:numId="4">
    <w:abstractNumId w:val="11"/>
  </w:num>
  <w:num w:numId="5">
    <w:abstractNumId w:val="25"/>
  </w:num>
  <w:num w:numId="6">
    <w:abstractNumId w:val="21"/>
  </w:num>
  <w:num w:numId="7">
    <w:abstractNumId w:val="12"/>
  </w:num>
  <w:num w:numId="8">
    <w:abstractNumId w:val="15"/>
  </w:num>
  <w:num w:numId="9">
    <w:abstractNumId w:val="9"/>
  </w:num>
  <w:num w:numId="10">
    <w:abstractNumId w:val="33"/>
  </w:num>
  <w:num w:numId="11">
    <w:abstractNumId w:val="17"/>
  </w:num>
  <w:num w:numId="12">
    <w:abstractNumId w:val="1"/>
  </w:num>
  <w:num w:numId="13">
    <w:abstractNumId w:val="14"/>
  </w:num>
  <w:num w:numId="14">
    <w:abstractNumId w:val="19"/>
  </w:num>
  <w:num w:numId="15">
    <w:abstractNumId w:val="8"/>
  </w:num>
  <w:num w:numId="16">
    <w:abstractNumId w:val="29"/>
  </w:num>
  <w:num w:numId="17">
    <w:abstractNumId w:val="36"/>
  </w:num>
  <w:num w:numId="18">
    <w:abstractNumId w:val="10"/>
  </w:num>
  <w:num w:numId="19">
    <w:abstractNumId w:val="3"/>
  </w:num>
  <w:num w:numId="20">
    <w:abstractNumId w:val="0"/>
  </w:num>
  <w:num w:numId="21">
    <w:abstractNumId w:val="4"/>
  </w:num>
  <w:num w:numId="22">
    <w:abstractNumId w:val="20"/>
  </w:num>
  <w:num w:numId="23">
    <w:abstractNumId w:val="6"/>
  </w:num>
  <w:num w:numId="24">
    <w:abstractNumId w:val="16"/>
  </w:num>
  <w:num w:numId="25">
    <w:abstractNumId w:val="26"/>
  </w:num>
  <w:num w:numId="26">
    <w:abstractNumId w:val="34"/>
  </w:num>
  <w:num w:numId="27">
    <w:abstractNumId w:val="5"/>
  </w:num>
  <w:num w:numId="28">
    <w:abstractNumId w:val="30"/>
  </w:num>
  <w:num w:numId="29">
    <w:abstractNumId w:val="24"/>
  </w:num>
  <w:num w:numId="30">
    <w:abstractNumId w:val="23"/>
  </w:num>
  <w:num w:numId="31">
    <w:abstractNumId w:val="18"/>
  </w:num>
  <w:num w:numId="32">
    <w:abstractNumId w:val="28"/>
  </w:num>
  <w:num w:numId="33">
    <w:abstractNumId w:val="7"/>
  </w:num>
  <w:num w:numId="34">
    <w:abstractNumId w:val="35"/>
  </w:num>
  <w:num w:numId="35">
    <w:abstractNumId w:val="32"/>
  </w:num>
  <w:num w:numId="36">
    <w:abstractNumId w:val="27"/>
  </w:num>
  <w:num w:numId="37">
    <w:abstractNumId w:val="13"/>
  </w:num>
  <w:num w:numId="38">
    <w:abstractNumId w:val="2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0C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2025-08-16T03:23:56Z</dcterms:created>
  <dc:creator>13434</dc:creator>
  <cp:lastModifiedBy>殇雨轩.</cp:lastModifiedBy>
  <dcterms:modified xsi:type="dcterms:W3CDTF">2025-08-16T03:25:46Z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eyJoZGlkIjoiOTFiZmQwODdmMmZjMWRhOGY1YmI4MWUyNjliN2Y5ODIiLCJ1c2VySWQiOiI5NzkwNzY0MzEifQ==</vt:lpwstr>
  </property>
  <property fmtid="{D5CDD505-2E9C-101B-9397-08002B2CF9AE}" pid="4" name="ICV">
    <vt:lpwstr>C95D3B9B8F8C452DB13B4AA11B97473D_12</vt:lpwstr>
  </property>
</Properties>
</file>