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Signal Certification in Digital Humanities:</w:t>
      </w:r>
    </w:p>
    <w:p>
      <w:pPr>
        <w:spacing w:after="100"/>
        <w:jc w:val="center"/>
      </w:pPr>
      <w:r>
        <w:rPr>
          <w:rFonts w:ascii="Calibri" w:cs="Calibri" w:eastAsia="Calibri" w:hAnsi="Calibri"/>
          <w:b/>
          <w:bCs/>
          <w:sz w:val="26"/>
          <w:szCs w:val="26"/>
        </w:rPr>
        <w:t xml:space="preserve">An Empirically Calibrated Framework for Distinguishing Statistical Signal from Methodological Artifact</w:t>
      </w:r>
    </w:p>
    <w:p>
      <w:pPr>
        <w:spacing w:after="400"/>
        <w:jc w:val="center"/>
      </w:pPr>
      <w:r>
        <w:rPr>
          <w:rFonts w:ascii="Calibri" w:cs="Calibri" w:eastAsia="Calibri" w:hAnsi="Calibri"/>
          <w:i/>
          <w:iCs/>
          <w:sz w:val="20"/>
          <w:szCs w:val="20"/>
        </w:rPr>
        <w:t xml:space="preserve">[Working draft — assembled from §8 of the Voynich manuscript-auditing study]</w:t>
      </w:r>
    </w:p>
    <w:p>
      <w:pPr>
        <w:pStyle w:val="Heading1"/>
        <w:spacing w:after="200" w:before="400"/>
      </w:pPr>
      <w:r>
        <w:t xml:space="preserve">1. Introduction</w:t>
      </w:r>
    </w:p>
    <w:p>
      <w:pPr>
        <w:spacing w:after="200" w:line="276"/>
        <w:jc w:val="both"/>
      </w:pPr>
      <w:r>
        <w:rPr>
          <w:rFonts w:ascii="Calibri" w:cs="Calibri" w:eastAsia="Calibri" w:hAnsi="Calibri"/>
          <w:b w:val="false"/>
          <w:bCs w:val="false"/>
          <w:i w:val="false"/>
          <w:iCs w:val="false"/>
          <w:sz w:val="22"/>
          <w:szCs w:val="22"/>
        </w:rPr>
        <w:t xml:space="preserve">The volume of statistical “signals” reported in digital humanities has grown sharply with the availability of large language models, off-the-shelf text-mining pipelines, and computationally cheap pattern search over digitized corpora. A pattern — a correlation, an enrichment, a recurring motif — can now be produced, tested, and reported in an afternoon. The methodological apparatus for deciding whether such a pattern reflects a genuine property of the corpus, rather than an artifact of the many analytic choices made in producing it, has not kept pace.</w:t>
      </w:r>
    </w:p>
    <w:p>
      <w:pPr>
        <w:spacing w:after="200" w:line="276"/>
        <w:jc w:val="both"/>
      </w:pPr>
      <w:r>
        <w:rPr>
          <w:rFonts w:ascii="Calibri" w:cs="Calibri" w:eastAsia="Calibri" w:hAnsi="Calibri"/>
          <w:b w:val="false"/>
          <w:bCs w:val="false"/>
          <w:i w:val="false"/>
          <w:iCs w:val="false"/>
          <w:sz w:val="22"/>
          <w:szCs w:val="22"/>
        </w:rPr>
        <w:t xml:space="preserve">This shift is not only a matter of volume. Agentic research pipelines increasingly automate not just the search for a pattern but the generation of a candidate hypothesis around it — a large language model can now propose, over a single session, dozens of thematic or structural readings of a corpus that a human researcher would once have taken months to formulate. The bottleneck this creates is no longer at the stage of hypothesis generation but at the stage of hypothesis certification: deciding which of many automatically produced candidates reflects a property of the corpus rather than an artifact of how the candidate was produced. The methodological literature reviewed below addresses the underlying statistical problem but not this specific consequence of its acceleration.</w:t>
      </w:r>
    </w:p>
    <w:p>
      <w:pPr>
        <w:spacing w:after="200" w:line="276"/>
        <w:jc w:val="both"/>
      </w:pPr>
      <w:r>
        <w:rPr>
          <w:rFonts w:ascii="Calibri" w:cs="Calibri" w:eastAsia="Calibri" w:hAnsi="Calibri"/>
          <w:b w:val="false"/>
          <w:bCs w:val="false"/>
          <w:i w:val="false"/>
          <w:iCs w:val="false"/>
          <w:sz w:val="22"/>
          <w:szCs w:val="22"/>
        </w:rPr>
        <w:t xml:space="preserve">This is not a new problem in the abstract. Ioannidis (2005) showed that a research claim is less likely to be true when a field permits greater flexibility in designs, definitions, outcomes, and analytical modes, and when more research teams pursue statistical significance in the same space of possible findings. Gelman and Loken (2013) sharpened this into the “garden of forking paths”: a plethora of statistically “significant” results can emerge from data-contingent analytic choices even when no conscious p-hacking or fishing expedition occurs and the hypothesis was specified in advance — because the researcher’s true reference class of comparisons is every analysis they would have run under different data, not only the one they happened to run. Neither paper offers an instrument for evaluating a specific, already-reported signal; both diagnose the problem at the level of research culture and incentive.</w:t>
      </w:r>
    </w:p>
    <w:p>
      <w:pPr>
        <w:spacing w:after="200" w:line="276"/>
        <w:jc w:val="both"/>
      </w:pPr>
      <w:r>
        <w:rPr>
          <w:rFonts w:ascii="Calibri" w:cs="Calibri" w:eastAsia="Calibri" w:hAnsi="Calibri"/>
          <w:b w:val="false"/>
          <w:bCs w:val="false"/>
          <w:i w:val="false"/>
          <w:iCs w:val="false"/>
          <w:sz w:val="22"/>
          <w:szCs w:val="22"/>
        </w:rPr>
        <w:t xml:space="preserve">The domain of numerically encoded text offers a specific, well-documented precedent for what happens when this diagnosis is ignored. Witztum, Rips, and Rosenberg’s 1994 claim that the Hebrew text of Genesis encodes events that occurred millennia after it was written was, after several years of scrutiny, shown by McKay, Bar-Natan, Bar-Hillel, and Kalai (1999) to rest on choices made in designing the experiment and selecting the data, not on a property of the text itself; their extensive independent replications, using the same class of methods without those specific choices, failed to reproduce the effect. The episode is instructive beyond its notoriety: it shows that a numerically encoded-text signal can survive a first round of peer review, attract substantial expert attention, and still be, on protracted forensic reanalysis, an artifact of researcher degrees of freedom rather than a property of the corpus — precisely the failure mode the present framework is built to detect before publication rather than after.</w:t>
      </w:r>
    </w:p>
    <w:p>
      <w:pPr>
        <w:spacing w:after="200" w:line="276"/>
        <w:jc w:val="both"/>
      </w:pPr>
      <w:r>
        <w:rPr>
          <w:rFonts w:ascii="Calibri" w:cs="Calibri" w:eastAsia="Calibri" w:hAnsi="Calibri"/>
          <w:b w:val="false"/>
          <w:bCs w:val="false"/>
          <w:i w:val="false"/>
          <w:iCs w:val="false"/>
          <w:sz w:val="22"/>
          <w:szCs w:val="22"/>
        </w:rPr>
        <w:t xml:space="preserve">A parallel, more recent, and still unsettled debate has played out within computational literary studies specifically. Da (2019) argued that a substantial portion of published computational literary scholarship divides into results that are not statistically demonstrated and results that are demonstrated but incorrect, attributing this to the nature of literary data and the statistical tools applied to it. Da’s critique has the merit of recalling that quantitative methods never dispense with rigorous theoretical and hermeneutic reflection. Its argument, however, rests on an overgeneralization of methodological weaknesses observed in only part of the literature it surveys — which accounts for the considerable, and in several respects sharply critical, response it drew from within the digital humanities community. This paper takes no further position on that exchange, citing it only to establish that the discipline itself recognizes an unresolved standards problem, not to adjudicate it.</w:t>
      </w:r>
    </w:p>
    <w:p>
      <w:pPr>
        <w:spacing w:after="200" w:line="276"/>
        <w:jc w:val="both"/>
      </w:pPr>
      <w:r>
        <w:rPr>
          <w:rFonts w:ascii="Calibri" w:cs="Calibri" w:eastAsia="Calibri" w:hAnsi="Calibri"/>
          <w:b w:val="false"/>
          <w:bCs w:val="false"/>
          <w:i w:val="false"/>
          <w:iCs w:val="false"/>
          <w:sz w:val="22"/>
          <w:szCs w:val="22"/>
        </w:rPr>
        <w:t xml:space="preserve">What is missing from this literature — the forking-paths diagnosis, the Bible-code precedent, and the computational-literary-studies debate alike — is a standardized, empirically calibrated instrument that a researcher can apply to one specific signal they have found, to obtain a certification of how much of that signal’s apparent strength survives explicit testing against the five most common sources of false positive documented in this literature: sensitivity to an arbitrary specification, compositional (Simpson-type) confounding, resampling instability, failure to survive correction for the comparisons actually run, and non-replication across the corpus’s natural subgroups. This paper proposes such an instrument — the Artifact Probability Score (APS) — defines it in domain-general terms (§2), reports its empirical calibration against fourteen reference corpora spanning eight languages and four script families (§3–§5), demonstrates the robustness of the resulting classification scale to the instrument’s own internal weighting choices (§6), and discusses the conditions under which it can be expected to generalize beyond the signal that motivated its construction (§7).</w:t>
      </w:r>
    </w:p>
    <w:p>
      <w:pPr>
        <w:pStyle w:val="Heading1"/>
        <w:spacing w:after="200" w:before="400"/>
      </w:pPr>
      <w:r>
        <w:t xml:space="preserve">2. The APS Framework: A Domain-General Definition</w:t>
      </w:r>
    </w:p>
    <w:p>
      <w:pPr>
        <w:pStyle w:val="Heading2"/>
        <w:spacing w:after="150" w:before="300"/>
      </w:pPr>
      <w:r>
        <w:t xml:space="preserve">2.1 From a single encoding to a general certification problem</w:t>
      </w:r>
    </w:p>
    <w:p>
      <w:pPr>
        <w:spacing w:after="200" w:line="276"/>
        <w:jc w:val="both"/>
      </w:pPr>
      <w:r>
        <w:rPr>
          <w:rFonts w:ascii="Calibri" w:cs="Calibri" w:eastAsia="Calibri" w:hAnsi="Calibri"/>
          <w:b w:val="false"/>
          <w:bCs w:val="false"/>
          <w:i w:val="false"/>
          <w:iCs w:val="false"/>
          <w:sz w:val="22"/>
          <w:szCs w:val="22"/>
        </w:rPr>
        <w:t xml:space="preserve">The Artifact Probability Score was developed to adjudicate a single question: is an observed anticorrelation between two derived quantities in a disputed manuscript a genuine structural property of the text, or an artifact of an arbitrary encoding choice compounded with an arbitrary corpus split? Answering that question required distinguishing five independent sources of false positive — none of which is specific to gematria, to any particular script, or even to text. Table 8′ restates the five components without reference to any particular encoding, corpus, or discipline.</w:t>
      </w:r>
    </w:p>
    <w:p>
      <w:pPr>
        <w:spacing w:after="200"/>
      </w:pPr>
      <w:r>
        <w:rPr>
          <w:rFonts w:ascii="Calibri" w:cs="Calibri" w:eastAsia="Calibri" w:hAnsi="Calibri"/>
          <w:i/>
          <w:iCs/>
          <w:sz w:val="20"/>
          <w:szCs w:val="20"/>
        </w:rPr>
        <w:t xml:space="preserve">Table 8′. Domain-general APS component definitions.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200"/>
        <w:gridCol w:w="3200"/>
        <w:gridCol w:w="800"/>
      </w:tblGrid>
      <w:tr>
        <w:trPr>
          <w:tblHeader/>
        </w:trPr>
        <w:tc>
          <w:tcPr>
            <w:tcW w:type="dxa" w:w="500"/>
            <w:shd w:fill="D9D9D9" w:val="clear"/>
          </w:tcPr>
          <w:p>
            <w:r>
              <w:rPr>
                <w:rFonts w:ascii="Calibri" w:cs="Calibri" w:eastAsia="Calibri" w:hAnsi="Calibri"/>
                <w:b/>
                <w:bCs/>
                <w:sz w:val="18"/>
                <w:szCs w:val="18"/>
              </w:rPr>
              <w:t xml:space="preserve">#</w:t>
            </w:r>
          </w:p>
        </w:tc>
        <w:tc>
          <w:tcPr>
            <w:tcW w:type="dxa" w:w="2200"/>
            <w:shd w:fill="D9D9D9" w:val="clear"/>
          </w:tcPr>
          <w:p>
            <w:r>
              <w:rPr>
                <w:rFonts w:ascii="Calibri" w:cs="Calibri" w:eastAsia="Calibri" w:hAnsi="Calibri"/>
                <w:b/>
                <w:bCs/>
                <w:sz w:val="18"/>
                <w:szCs w:val="18"/>
              </w:rPr>
              <w:t xml:space="preserve">Component</w:t>
            </w:r>
          </w:p>
        </w:tc>
        <w:tc>
          <w:tcPr>
            <w:tcW w:type="dxa" w:w="4200"/>
            <w:shd w:fill="D9D9D9" w:val="clear"/>
          </w:tcPr>
          <w:p>
            <w:r>
              <w:rPr>
                <w:rFonts w:ascii="Calibri" w:cs="Calibri" w:eastAsia="Calibri" w:hAnsi="Calibri"/>
                <w:b/>
                <w:bCs/>
                <w:sz w:val="18"/>
                <w:szCs w:val="18"/>
              </w:rPr>
              <w:t xml:space="preserve">Generic definition</w:t>
            </w:r>
          </w:p>
        </w:tc>
        <w:tc>
          <w:tcPr>
            <w:tcW w:type="dxa" w:w="3200"/>
            <w:shd w:fill="D9D9D9" w:val="clear"/>
          </w:tcPr>
          <w:p>
            <w:r>
              <w:rPr>
                <w:rFonts w:ascii="Calibri" w:cs="Calibri" w:eastAsia="Calibri" w:hAnsi="Calibri"/>
                <w:b/>
                <w:bCs/>
                <w:sz w:val="18"/>
                <w:szCs w:val="18"/>
              </w:rPr>
              <w:t xml:space="preserve">What it detects</w:t>
            </w:r>
          </w:p>
        </w:tc>
        <w:tc>
          <w:tcPr>
            <w:tcW w:type="dxa" w:w="800"/>
            <w:shd w:fill="D9D9D9" w:val="clear"/>
          </w:tcPr>
          <w:p>
            <w:r>
              <w:rPr>
                <w:rFonts w:ascii="Calibri" w:cs="Calibri" w:eastAsia="Calibri" w:hAnsi="Calibri"/>
                <w:b/>
                <w:bCs/>
                <w:sz w:val="18"/>
                <w:szCs w:val="18"/>
              </w:rPr>
              <w:t xml:space="preserve">w</w:t>
            </w:r>
          </w:p>
        </w:tc>
      </w:tr>
      <w:tr>
        <w:tc>
          <w:tcPr>
            <w:tcW w:type="dxa" w:w="500"/>
          </w:tcPr>
          <w:p>
            <w:r>
              <w:rPr>
                <w:rFonts w:ascii="Calibri" w:cs="Calibri" w:eastAsia="Calibri" w:hAnsi="Calibri"/>
                <w:b w:val="false"/>
                <w:bCs w:val="false"/>
                <w:sz w:val="18"/>
                <w:szCs w:val="18"/>
              </w:rPr>
              <w:t xml:space="preserve">1</w:t>
            </w:r>
          </w:p>
        </w:tc>
        <w:tc>
          <w:tcPr>
            <w:tcW w:type="dxa" w:w="2200"/>
          </w:tcPr>
          <w:p>
            <w:r>
              <w:rPr>
                <w:rFonts w:ascii="Calibri" w:cs="Calibri" w:eastAsia="Calibri" w:hAnsi="Calibri"/>
                <w:b w:val="false"/>
                <w:bCs w:val="false"/>
                <w:sz w:val="18"/>
                <w:szCs w:val="18"/>
              </w:rPr>
              <w:t xml:space="preserve">Specification robustness</w:t>
            </w:r>
          </w:p>
        </w:tc>
        <w:tc>
          <w:tcPr>
            <w:tcW w:type="dxa" w:w="4200"/>
          </w:tcPr>
          <w:p>
            <w:r>
              <w:rPr>
                <w:rFonts w:ascii="Calibri" w:cs="Calibri" w:eastAsia="Calibri" w:hAnsi="Calibri"/>
                <w:b w:val="false"/>
                <w:bCs w:val="false"/>
                <w:sz w:val="18"/>
                <w:szCs w:val="18"/>
              </w:rPr>
              <w:t xml:space="preserve">1 − (n_confirmed / n_alt): n_alt = number of alternative, equally defensible operationalizations tested; n_confirmed = number reproducing the effect in the same direction</w:t>
            </w:r>
          </w:p>
        </w:tc>
        <w:tc>
          <w:tcPr>
            <w:tcW w:type="dxa" w:w="3200"/>
          </w:tcPr>
          <w:p>
            <w:r>
              <w:rPr>
                <w:rFonts w:ascii="Calibri" w:cs="Calibri" w:eastAsia="Calibri" w:hAnsi="Calibri"/>
                <w:b w:val="false"/>
                <w:bCs w:val="false"/>
                <w:sz w:val="18"/>
                <w:szCs w:val="18"/>
              </w:rPr>
              <w:t xml:space="preserve">Effect depends on one arbitrary encoding/tokenization/metric choice rather than on the data</w:t>
            </w:r>
          </w:p>
        </w:tc>
        <w:tc>
          <w:tcPr>
            <w:tcW w:type="dxa" w:w="800"/>
          </w:tcPr>
          <w:p>
            <w:r>
              <w:rPr>
                <w:rFonts w:ascii="Calibri" w:cs="Calibri" w:eastAsia="Calibri" w:hAnsi="Calibri"/>
                <w:b w:val="false"/>
                <w:bCs w:val="false"/>
                <w:sz w:val="18"/>
                <w:szCs w:val="18"/>
              </w:rPr>
              <w:t xml:space="preserve">0.30</w:t>
            </w:r>
          </w:p>
        </w:tc>
      </w:tr>
      <w:tr>
        <w:tc>
          <w:tcPr>
            <w:tcW w:type="dxa" w:w="500"/>
          </w:tcPr>
          <w:p>
            <w:r>
              <w:rPr>
                <w:rFonts w:ascii="Calibri" w:cs="Calibri" w:eastAsia="Calibri" w:hAnsi="Calibri"/>
                <w:b w:val="false"/>
                <w:bCs w:val="false"/>
                <w:sz w:val="18"/>
                <w:szCs w:val="18"/>
              </w:rPr>
              <w:t xml:space="preserve">2</w:t>
            </w:r>
          </w:p>
        </w:tc>
        <w:tc>
          <w:tcPr>
            <w:tcW w:type="dxa" w:w="2200"/>
          </w:tcPr>
          <w:p>
            <w:r>
              <w:rPr>
                <w:rFonts w:ascii="Calibri" w:cs="Calibri" w:eastAsia="Calibri" w:hAnsi="Calibri"/>
                <w:b w:val="false"/>
                <w:bCs w:val="false"/>
                <w:sz w:val="18"/>
                <w:szCs w:val="18"/>
              </w:rPr>
              <w:t xml:space="preserve">Compositional confound</w:t>
            </w:r>
          </w:p>
        </w:tc>
        <w:tc>
          <w:tcPr>
            <w:tcW w:type="dxa" w:w="4200"/>
          </w:tcPr>
          <w:p>
            <w:r>
              <w:rPr>
                <w:rFonts w:ascii="Calibri" w:cs="Calibri" w:eastAsia="Calibri" w:hAnsi="Calibri"/>
                <w:b w:val="false"/>
                <w:bCs w:val="false"/>
                <w:sz w:val="18"/>
                <w:szCs w:val="18"/>
              </w:rPr>
              <w:t xml:space="preserve">n_diagnostic / 5, from a five-test Simpson’s-paradox battery</w:t>
            </w:r>
          </w:p>
        </w:tc>
        <w:tc>
          <w:tcPr>
            <w:tcW w:type="dxa" w:w="3200"/>
          </w:tcPr>
          <w:p>
            <w:r>
              <w:rPr>
                <w:rFonts w:ascii="Calibri" w:cs="Calibri" w:eastAsia="Calibri" w:hAnsi="Calibri"/>
                <w:b w:val="false"/>
                <w:bCs w:val="false"/>
                <w:sz w:val="18"/>
                <w:szCs w:val="18"/>
              </w:rPr>
              <w:t xml:space="preserve">An aggregate correlation is generated or reversed by pooling across natural partitions (hands, registers, strata)</w:t>
            </w:r>
          </w:p>
        </w:tc>
        <w:tc>
          <w:tcPr>
            <w:tcW w:type="dxa" w:w="800"/>
          </w:tcPr>
          <w:p>
            <w:r>
              <w:rPr>
                <w:rFonts w:ascii="Calibri" w:cs="Calibri" w:eastAsia="Calibri" w:hAnsi="Calibri"/>
                <w:b w:val="false"/>
                <w:bCs w:val="false"/>
                <w:sz w:val="18"/>
                <w:szCs w:val="18"/>
              </w:rPr>
              <w:t xml:space="preserve">0.25</w:t>
            </w:r>
          </w:p>
        </w:tc>
      </w:tr>
      <w:tr>
        <w:tc>
          <w:tcPr>
            <w:tcW w:type="dxa" w:w="500"/>
          </w:tcPr>
          <w:p>
            <w:r>
              <w:rPr>
                <w:rFonts w:ascii="Calibri" w:cs="Calibri" w:eastAsia="Calibri" w:hAnsi="Calibri"/>
                <w:b w:val="false"/>
                <w:bCs w:val="false"/>
                <w:sz w:val="18"/>
                <w:szCs w:val="18"/>
              </w:rPr>
              <w:t xml:space="preserve">3</w:t>
            </w:r>
          </w:p>
        </w:tc>
        <w:tc>
          <w:tcPr>
            <w:tcW w:type="dxa" w:w="2200"/>
          </w:tcPr>
          <w:p>
            <w:r>
              <w:rPr>
                <w:rFonts w:ascii="Calibri" w:cs="Calibri" w:eastAsia="Calibri" w:hAnsi="Calibri"/>
                <w:b w:val="false"/>
                <w:bCs w:val="false"/>
                <w:sz w:val="18"/>
                <w:szCs w:val="18"/>
              </w:rPr>
              <w:t xml:space="preserve">Resampling instability</w:t>
            </w:r>
          </w:p>
        </w:tc>
        <w:tc>
          <w:tcPr>
            <w:tcW w:type="dxa" w:w="4200"/>
          </w:tcPr>
          <w:p>
            <w:r>
              <w:rPr>
                <w:rFonts w:ascii="Calibri" w:cs="Calibri" w:eastAsia="Calibri" w:hAnsi="Calibri"/>
                <w:b w:val="false"/>
                <w:bCs w:val="false"/>
                <w:sz w:val="18"/>
                <w:szCs w:val="18"/>
              </w:rPr>
              <w:t xml:space="preserve">min(1, |effect_obs − effect_resampled| / effect_obs)</w:t>
            </w:r>
          </w:p>
        </w:tc>
        <w:tc>
          <w:tcPr>
            <w:tcW w:type="dxa" w:w="3200"/>
          </w:tcPr>
          <w:p>
            <w:r>
              <w:rPr>
                <w:rFonts w:ascii="Calibri" w:cs="Calibri" w:eastAsia="Calibri" w:hAnsi="Calibri"/>
                <w:b w:val="false"/>
                <w:bCs w:val="false"/>
                <w:sz w:val="18"/>
                <w:szCs w:val="18"/>
              </w:rPr>
              <w:t xml:space="preserve">Effect size shifts when subgroup sizes are rebalanced or bootstrapped</w:t>
            </w:r>
          </w:p>
        </w:tc>
        <w:tc>
          <w:tcPr>
            <w:tcW w:type="dxa" w:w="800"/>
          </w:tcPr>
          <w:p>
            <w:r>
              <w:rPr>
                <w:rFonts w:ascii="Calibri" w:cs="Calibri" w:eastAsia="Calibri" w:hAnsi="Calibri"/>
                <w:b w:val="false"/>
                <w:bCs w:val="false"/>
                <w:sz w:val="18"/>
                <w:szCs w:val="18"/>
              </w:rPr>
              <w:t xml:space="preserve">0.20</w:t>
            </w:r>
          </w:p>
        </w:tc>
      </w:tr>
      <w:tr>
        <w:tc>
          <w:tcPr>
            <w:tcW w:type="dxa" w:w="500"/>
          </w:tcPr>
          <w:p>
            <w:r>
              <w:rPr>
                <w:rFonts w:ascii="Calibri" w:cs="Calibri" w:eastAsia="Calibri" w:hAnsi="Calibri"/>
                <w:b w:val="false"/>
                <w:bCs w:val="false"/>
                <w:sz w:val="18"/>
                <w:szCs w:val="18"/>
              </w:rPr>
              <w:t xml:space="preserve">4</w:t>
            </w:r>
          </w:p>
        </w:tc>
        <w:tc>
          <w:tcPr>
            <w:tcW w:type="dxa" w:w="2200"/>
          </w:tcPr>
          <w:p>
            <w:r>
              <w:rPr>
                <w:rFonts w:ascii="Calibri" w:cs="Calibri" w:eastAsia="Calibri" w:hAnsi="Calibri"/>
                <w:b w:val="false"/>
                <w:bCs w:val="false"/>
                <w:sz w:val="18"/>
                <w:szCs w:val="18"/>
              </w:rPr>
              <w:t xml:space="preserve">Multiple-comparison fragility</w:t>
            </w:r>
          </w:p>
        </w:tc>
        <w:tc>
          <w:tcPr>
            <w:tcW w:type="dxa" w:w="4200"/>
          </w:tcPr>
          <w:p>
            <w:r>
              <w:rPr>
                <w:rFonts w:ascii="Calibri" w:cs="Calibri" w:eastAsia="Calibri" w:hAnsi="Calibri"/>
                <w:b w:val="false"/>
                <w:bCs w:val="false"/>
                <w:sz w:val="18"/>
                <w:szCs w:val="18"/>
              </w:rPr>
              <w:t xml:space="preserve">1 if p (corrected for k comparisons actually run) &gt; 0.05, else 0</w:t>
            </w:r>
          </w:p>
        </w:tc>
        <w:tc>
          <w:tcPr>
            <w:tcW w:type="dxa" w:w="3200"/>
          </w:tcPr>
          <w:p>
            <w:r>
              <w:rPr>
                <w:rFonts w:ascii="Calibri" w:cs="Calibri" w:eastAsia="Calibri" w:hAnsi="Calibri"/>
                <w:b w:val="false"/>
                <w:bCs w:val="false"/>
                <w:sz w:val="18"/>
                <w:szCs w:val="18"/>
              </w:rPr>
              <w:t xml:space="preserve">Nominal p-value does not survive correction for tests actually performed</w:t>
            </w:r>
          </w:p>
        </w:tc>
        <w:tc>
          <w:tcPr>
            <w:tcW w:type="dxa" w:w="800"/>
          </w:tcPr>
          <w:p>
            <w:r>
              <w:rPr>
                <w:rFonts w:ascii="Calibri" w:cs="Calibri" w:eastAsia="Calibri" w:hAnsi="Calibri"/>
                <w:b w:val="false"/>
                <w:bCs w:val="false"/>
                <w:sz w:val="18"/>
                <w:szCs w:val="18"/>
              </w:rPr>
              <w:t xml:space="preserve">0.15</w:t>
            </w:r>
          </w:p>
        </w:tc>
      </w:tr>
      <w:tr>
        <w:tc>
          <w:tcPr>
            <w:tcW w:type="dxa" w:w="500"/>
          </w:tcPr>
          <w:p>
            <w:r>
              <w:rPr>
                <w:rFonts w:ascii="Calibri" w:cs="Calibri" w:eastAsia="Calibri" w:hAnsi="Calibri"/>
                <w:b w:val="false"/>
                <w:bCs w:val="false"/>
                <w:sz w:val="18"/>
                <w:szCs w:val="18"/>
              </w:rPr>
              <w:t xml:space="preserve">5</w:t>
            </w:r>
          </w:p>
        </w:tc>
        <w:tc>
          <w:tcPr>
            <w:tcW w:type="dxa" w:w="2200"/>
          </w:tcPr>
          <w:p>
            <w:r>
              <w:rPr>
                <w:rFonts w:ascii="Calibri" w:cs="Calibri" w:eastAsia="Calibri" w:hAnsi="Calibri"/>
                <w:b w:val="false"/>
                <w:bCs w:val="false"/>
                <w:sz w:val="18"/>
                <w:szCs w:val="18"/>
              </w:rPr>
              <w:t xml:space="preserve">Subgroup non-replication</w:t>
            </w:r>
          </w:p>
        </w:tc>
        <w:tc>
          <w:tcPr>
            <w:tcW w:type="dxa" w:w="4200"/>
          </w:tcPr>
          <w:p>
            <w:r>
              <w:rPr>
                <w:rFonts w:ascii="Calibri" w:cs="Calibri" w:eastAsia="Calibri" w:hAnsi="Calibri"/>
                <w:b w:val="false"/>
                <w:bCs w:val="false"/>
                <w:sz w:val="18"/>
                <w:szCs w:val="18"/>
              </w:rPr>
              <w:t xml:space="preserve">n_nonsig / n_subgroups</w:t>
            </w:r>
          </w:p>
        </w:tc>
        <w:tc>
          <w:tcPr>
            <w:tcW w:type="dxa" w:w="3200"/>
          </w:tcPr>
          <w:p>
            <w:r>
              <w:rPr>
                <w:rFonts w:ascii="Calibri" w:cs="Calibri" w:eastAsia="Calibri" w:hAnsi="Calibri"/>
                <w:b w:val="false"/>
                <w:bCs w:val="false"/>
                <w:sz w:val="18"/>
                <w:szCs w:val="18"/>
              </w:rPr>
              <w:t xml:space="preserve">Effect fails to reach significance within one or more natural subgroups</w:t>
            </w:r>
          </w:p>
        </w:tc>
        <w:tc>
          <w:tcPr>
            <w:tcW w:type="dxa" w:w="800"/>
          </w:tcPr>
          <w:p>
            <w:r>
              <w:rPr>
                <w:rFonts w:ascii="Calibri" w:cs="Calibri" w:eastAsia="Calibri" w:hAnsi="Calibri"/>
                <w:b w:val="false"/>
                <w:bCs w:val="false"/>
                <w:sz w:val="18"/>
                <w:szCs w:val="18"/>
              </w:rPr>
              <w:t xml:space="preserve">0.10</w:t>
            </w:r>
          </w:p>
        </w:tc>
      </w:tr>
    </w:tbl>
    <w:p>
      <w:pPr>
        <w:spacing w:after="200"/>
      </w:pPr>
      <w:r>
        <w:rPr>
          <w:rFonts w:ascii="Calibri" w:cs="Calibri" w:eastAsia="Calibri" w:hAnsi="Calibri"/>
          <w:i/>
          <w:iCs/>
          <w:sz w:val="20"/>
          <w:szCs w:val="20"/>
        </w:rPr>
        <w:t xml:space="preserve">Note. Weights sum to 1.00. Scale (revised, §5): 0–20 Robust; 21–75 Uncertain; 76–100 Near-certain artifact.</w:t>
      </w:r>
    </w:p>
    <w:p>
      <w:pPr>
        <w:pStyle w:val="Heading2"/>
        <w:spacing w:after="150" w:before="300"/>
      </w:pPr>
      <w:r>
        <w:t xml:space="preserve">2.2 What stays domain-specific</w:t>
      </w:r>
    </w:p>
    <w:p>
      <w:pPr>
        <w:spacing w:after="200" w:line="276"/>
        <w:jc w:val="both"/>
      </w:pPr>
      <w:r>
        <w:rPr>
          <w:rFonts w:ascii="Calibri" w:cs="Calibri" w:eastAsia="Calibri" w:hAnsi="Calibri"/>
          <w:b w:val="false"/>
          <w:bCs w:val="false"/>
          <w:i w:val="false"/>
          <w:iCs w:val="false"/>
          <w:sz w:val="22"/>
          <w:szCs w:val="22"/>
        </w:rPr>
        <w:t xml:space="preserve">Only two things must be re-specified for each new application, both external to the APS pipeline itself: the encoder — the mapping from raw material to the quantity being tested (gematria value, n-gram frequency, pitch interval, nucleotide k-mer); and the corpus’s natural partition — the subgrouping used for components 2 and 5 (scribal hand, dating, candidate author, movement or key). Everything downstream of these two choices — the five-component battery, the weighting, the empirical calibration, and the zone thresholds validated in §6 — is unchanged.</w:t>
      </w:r>
    </w:p>
    <w:p>
      <w:pPr>
        <w:pStyle w:val="Heading1"/>
        <w:spacing w:after="200" w:before="400"/>
      </w:pPr>
      <w:r>
        <w:t xml:space="preserve">3. Empirical Calibration Methodology</w:t>
      </w:r>
    </w:p>
    <w:p>
      <w:pPr>
        <w:spacing w:after="200" w:line="276"/>
        <w:jc w:val="both"/>
      </w:pPr>
      <w:r>
        <w:rPr>
          <w:rFonts w:ascii="Calibri" w:cs="Calibri" w:eastAsia="Calibri" w:hAnsi="Calibri"/>
          <w:b w:val="false"/>
          <w:bCs w:val="false"/>
          <w:i w:val="false"/>
          <w:iCs w:val="false"/>
          <w:sz w:val="22"/>
          <w:szCs w:val="22"/>
        </w:rPr>
        <w:t xml:space="preserve">The APS thresholds were, until this analysis, theoretically motivated rather than empirically anchored. We address this by running the complete, five-component pipeline — unmodified code and weights — on fourteen external anchors spanning eight languages, four script families, one constructed language, one historical cipher, and two synthetic controls: Shakespeare (English, real thematic split), the decrypted Copiale cipher (German plaintext recovered from a genuine eighteenth-century enciphered manuscript), the Coptic Gospel of Mark (Sahidic vs. Bohairic dialects), Lojban, Pride and Prejudice and Moby Dick (English), an excerpt of the Patrologia Latina (Latin), the Hebrew Torah and the Quran, two independent Byzantine Greek authors (Anna Komnene’s Alexiad and John Zonaras’s Epitome Historiarum), a Markov-generated corpus with a deliberately injected but untuned positional rule, and a fully permuted version of the signal-bearing corpus (pure noise). Non-fixed splits were run on eight independent replicates (five for the generated-hoax control).</w:t>
      </w:r>
    </w:p>
    <w:p>
      <w:pPr>
        <w:spacing w:after="200" w:line="276"/>
        <w:jc w:val="both"/>
      </w:pPr>
      <w:r>
        <w:rPr>
          <w:rFonts w:ascii="Calibri" w:cs="Calibri" w:eastAsia="Calibri" w:hAnsi="Calibri"/>
          <w:b w:val="false"/>
          <w:bCs w:val="false"/>
          <w:i w:val="false"/>
          <w:iCs w:val="false"/>
          <w:sz w:val="22"/>
          <w:szCs w:val="22"/>
        </w:rPr>
        <w:t xml:space="preserve">Every anchor was tested for the same signal family that motivated this instrument — a pairwise correlation between two derived numerical quantities across a corpus’s natural two-way partition — with each anchor’s own group split standing in for the original study’s partition. This choice is deliberate and consequential for how the calibration should be read (§7.2): it establishes that the instrument is not specific to one corpus, but it calibrates one specific signal family, not signal detection in general.</w:t>
      </w:r>
    </w:p>
    <w:p>
      <w:pPr>
        <w:spacing w:after="200"/>
      </w:pPr>
      <w:r>
        <w:rPr>
          <w:rFonts w:ascii="Calibri" w:cs="Calibri" w:eastAsia="Calibri" w:hAnsi="Calibri"/>
          <w:i/>
          <w:iCs/>
          <w:sz w:val="20"/>
          <w:szCs w:val="20"/>
        </w:rPr>
        <w:t xml:space="preserve">Table 10. Empirical calibration across fourteen external anchors (mean ± SD across replicates where applicable; original three-band scale).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2600"/>
        <w:gridCol w:w="2000"/>
      </w:tblGrid>
      <w:tr>
        <w:trPr>
          <w:tblHeader/>
        </w:trPr>
        <w:tc>
          <w:tcPr>
            <w:tcW w:type="dxa" w:w="2400"/>
            <w:shd w:fill="D9D9D9" w:val="clear"/>
          </w:tcPr>
          <w:p>
            <w:r>
              <w:rPr>
                <w:rFonts w:ascii="Calibri" w:cs="Calibri" w:eastAsia="Calibri" w:hAnsi="Calibri"/>
                <w:b/>
                <w:bCs/>
                <w:sz w:val="18"/>
                <w:szCs w:val="18"/>
              </w:rPr>
              <w:t xml:space="preserve">Corpus / control</w:t>
            </w:r>
          </w:p>
        </w:tc>
        <w:tc>
          <w:tcPr>
            <w:tcW w:type="dxa" w:w="2000"/>
            <w:shd w:fill="D9D9D9" w:val="clear"/>
          </w:tcPr>
          <w:p>
            <w:r>
              <w:rPr>
                <w:rFonts w:ascii="Calibri" w:cs="Calibri" w:eastAsia="Calibri" w:hAnsi="Calibri"/>
                <w:b/>
                <w:bCs/>
                <w:sz w:val="18"/>
                <w:szCs w:val="18"/>
              </w:rPr>
              <w:t xml:space="preserve">Group split</w:t>
            </w:r>
          </w:p>
        </w:tc>
        <w:tc>
          <w:tcPr>
            <w:tcW w:type="dxa" w:w="900"/>
            <w:shd w:fill="D9D9D9" w:val="clear"/>
          </w:tcPr>
          <w:p>
            <w:r>
              <w:rPr>
                <w:rFonts w:ascii="Calibri" w:cs="Calibri" w:eastAsia="Calibri" w:hAnsi="Calibri"/>
                <w:b/>
                <w:bCs/>
                <w:sz w:val="18"/>
                <w:szCs w:val="18"/>
              </w:rPr>
              <w:t xml:space="preserve">n (reps)</w:t>
            </w:r>
          </w:p>
        </w:tc>
        <w:tc>
          <w:tcPr>
            <w:tcW w:type="dxa" w:w="2600"/>
            <w:shd w:fill="D9D9D9" w:val="clear"/>
          </w:tcPr>
          <w:p>
            <w:r>
              <w:rPr>
                <w:rFonts w:ascii="Calibri" w:cs="Calibri" w:eastAsia="Calibri" w:hAnsi="Calibri"/>
                <w:b/>
                <w:bCs/>
                <w:sz w:val="18"/>
                <w:szCs w:val="18"/>
              </w:rPr>
              <w:t xml:space="preserve">APS (mean±SD, range)</w:t>
            </w:r>
          </w:p>
        </w:tc>
        <w:tc>
          <w:tcPr>
            <w:tcW w:type="dxa" w:w="2000"/>
            <w:shd w:fill="D9D9D9" w:val="clear"/>
          </w:tcPr>
          <w:p>
            <w:r>
              <w:rPr>
                <w:rFonts w:ascii="Calibri" w:cs="Calibri" w:eastAsia="Calibri" w:hAnsi="Calibri"/>
                <w:b/>
                <w:bCs/>
                <w:sz w:val="18"/>
                <w:szCs w:val="18"/>
              </w:rPr>
              <w:t xml:space="preserve">Zone (original)</w:t>
            </w:r>
          </w:p>
        </w:tc>
      </w:tr>
      <w:tr>
        <w:tc>
          <w:tcPr>
            <w:tcW w:type="dxa" w:w="2400"/>
          </w:tcPr>
          <w:p>
            <w:r>
              <w:rPr>
                <w:rFonts w:ascii="Calibri" w:cs="Calibri" w:eastAsia="Calibri" w:hAnsi="Calibri"/>
                <w:b w:val="false"/>
                <w:bCs w:val="false"/>
                <w:sz w:val="18"/>
                <w:szCs w:val="18"/>
              </w:rPr>
              <w:t xml:space="preserve">Shakespeare</w:t>
            </w:r>
          </w:p>
        </w:tc>
        <w:tc>
          <w:tcPr>
            <w:tcW w:type="dxa" w:w="2000"/>
          </w:tcPr>
          <w:p>
            <w:r>
              <w:rPr>
                <w:rFonts w:ascii="Calibri" w:cs="Calibri" w:eastAsia="Calibri" w:hAnsi="Calibri"/>
                <w:b w:val="false"/>
                <w:bCs w:val="false"/>
                <w:sz w:val="18"/>
                <w:szCs w:val="18"/>
              </w:rPr>
              <w:t xml:space="preserve">Thematic (fixed)</w:t>
            </w:r>
          </w:p>
        </w:tc>
        <w:tc>
          <w:tcPr>
            <w:tcW w:type="dxa" w:w="900"/>
          </w:tcPr>
          <w:p>
            <w:r>
              <w:rPr>
                <w:rFonts w:ascii="Calibri" w:cs="Calibri" w:eastAsia="Calibri" w:hAnsi="Calibri"/>
                <w:b w:val="false"/>
                <w:bCs w:val="false"/>
                <w:sz w:val="18"/>
                <w:szCs w:val="18"/>
              </w:rPr>
              <w:t xml:space="preserve">1</w:t>
            </w:r>
          </w:p>
        </w:tc>
        <w:tc>
          <w:tcPr>
            <w:tcW w:type="dxa" w:w="2600"/>
          </w:tcPr>
          <w:p>
            <w:r>
              <w:rPr>
                <w:rFonts w:ascii="Calibri" w:cs="Calibri" w:eastAsia="Calibri" w:hAnsi="Calibri"/>
                <w:b w:val="false"/>
                <w:bCs w:val="false"/>
                <w:sz w:val="18"/>
                <w:szCs w:val="18"/>
              </w:rPr>
              <w:t xml:space="preserve">10.1</w:t>
            </w:r>
          </w:p>
        </w:tc>
        <w:tc>
          <w:tcPr>
            <w:tcW w:type="dxa" w:w="2000"/>
          </w:tcPr>
          <w:p>
            <w:r>
              <w:rPr>
                <w:rFonts w:ascii="Calibri" w:cs="Calibri" w:eastAsia="Calibri" w:hAnsi="Calibri"/>
                <w:b w:val="false"/>
                <w:bCs w:val="false"/>
                <w:sz w:val="18"/>
                <w:szCs w:val="18"/>
              </w:rPr>
              <w:t xml:space="preserve">Robust</w:t>
            </w:r>
          </w:p>
        </w:tc>
      </w:tr>
      <w:tr>
        <w:tc>
          <w:tcPr>
            <w:tcW w:type="dxa" w:w="2400"/>
          </w:tcPr>
          <w:p>
            <w:r>
              <w:rPr>
                <w:rFonts w:ascii="Calibri" w:cs="Calibri" w:eastAsia="Calibri" w:hAnsi="Calibri"/>
                <w:b w:val="false"/>
                <w:bCs w:val="false"/>
                <w:sz w:val="18"/>
                <w:szCs w:val="18"/>
              </w:rPr>
              <w:t xml:space="preserve">Copiale cipher, decrypted</w:t>
            </w:r>
          </w:p>
        </w:tc>
        <w:tc>
          <w:tcPr>
            <w:tcW w:type="dxa" w:w="2000"/>
          </w:tcPr>
          <w:p>
            <w:r>
              <w:rPr>
                <w:rFonts w:ascii="Calibri" w:cs="Calibri" w:eastAsia="Calibri" w:hAnsi="Calibri"/>
                <w:b w:val="false"/>
                <w:bCs w:val="false"/>
                <w:sz w:val="18"/>
                <w:szCs w:val="18"/>
              </w:rPr>
              <w:t xml:space="preserve">Random line-level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5.6 ± 1.6 [5.0, 10.0]</w:t>
            </w:r>
          </w:p>
        </w:tc>
        <w:tc>
          <w:tcPr>
            <w:tcW w:type="dxa" w:w="2000"/>
          </w:tcPr>
          <w:p>
            <w:r>
              <w:rPr>
                <w:rFonts w:ascii="Calibri" w:cs="Calibri" w:eastAsia="Calibri" w:hAnsi="Calibri"/>
                <w:b w:val="false"/>
                <w:bCs w:val="false"/>
                <w:sz w:val="18"/>
                <w:szCs w:val="18"/>
              </w:rPr>
              <w:t xml:space="preserve">Robust</w:t>
            </w:r>
          </w:p>
        </w:tc>
      </w:tr>
      <w:tr>
        <w:tc>
          <w:tcPr>
            <w:tcW w:type="dxa" w:w="2400"/>
          </w:tcPr>
          <w:p>
            <w:r>
              <w:rPr>
                <w:rFonts w:ascii="Calibri" w:cs="Calibri" w:eastAsia="Calibri" w:hAnsi="Calibri"/>
                <w:b w:val="false"/>
                <w:bCs w:val="false"/>
                <w:sz w:val="18"/>
                <w:szCs w:val="18"/>
              </w:rPr>
              <w:t xml:space="preserve">Lojban</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41.4 ± 4.1 [36.2, 50.4]</w:t>
            </w:r>
          </w:p>
        </w:tc>
        <w:tc>
          <w:tcPr>
            <w:tcW w:type="dxa" w:w="2000"/>
          </w:tcPr>
          <w:p>
            <w:r>
              <w:rPr>
                <w:rFonts w:ascii="Calibri" w:cs="Calibri" w:eastAsia="Calibri" w:hAnsi="Calibri"/>
                <w:b w:val="false"/>
                <w:bCs w:val="false"/>
                <w:sz w:val="18"/>
                <w:szCs w:val="18"/>
              </w:rPr>
              <w:t xml:space="preserve">Uncertain</w:t>
            </w:r>
          </w:p>
        </w:tc>
      </w:tr>
      <w:tr>
        <w:tc>
          <w:tcPr>
            <w:tcW w:type="dxa" w:w="2400"/>
          </w:tcPr>
          <w:p>
            <w:r>
              <w:rPr>
                <w:rFonts w:ascii="Calibri" w:cs="Calibri" w:eastAsia="Calibri" w:hAnsi="Calibri"/>
                <w:b w:val="false"/>
                <w:bCs w:val="false"/>
                <w:sz w:val="18"/>
                <w:szCs w:val="18"/>
              </w:rPr>
              <w:t xml:space="preserve">Coptic Mark</w:t>
            </w:r>
          </w:p>
        </w:tc>
        <w:tc>
          <w:tcPr>
            <w:tcW w:type="dxa" w:w="2000"/>
          </w:tcPr>
          <w:p>
            <w:r>
              <w:rPr>
                <w:rFonts w:ascii="Calibri" w:cs="Calibri" w:eastAsia="Calibri" w:hAnsi="Calibri"/>
                <w:b w:val="false"/>
                <w:bCs w:val="false"/>
                <w:sz w:val="18"/>
                <w:szCs w:val="18"/>
              </w:rPr>
              <w:t xml:space="preserve">Dialect (fixed)</w:t>
            </w:r>
          </w:p>
        </w:tc>
        <w:tc>
          <w:tcPr>
            <w:tcW w:type="dxa" w:w="900"/>
          </w:tcPr>
          <w:p>
            <w:r>
              <w:rPr>
                <w:rFonts w:ascii="Calibri" w:cs="Calibri" w:eastAsia="Calibri" w:hAnsi="Calibri"/>
                <w:b w:val="false"/>
                <w:bCs w:val="false"/>
                <w:sz w:val="18"/>
                <w:szCs w:val="18"/>
              </w:rPr>
              <w:t xml:space="preserve">1</w:t>
            </w:r>
          </w:p>
        </w:tc>
        <w:tc>
          <w:tcPr>
            <w:tcW w:type="dxa" w:w="2600"/>
          </w:tcPr>
          <w:p>
            <w:r>
              <w:rPr>
                <w:rFonts w:ascii="Calibri" w:cs="Calibri" w:eastAsia="Calibri" w:hAnsi="Calibri"/>
                <w:b w:val="false"/>
                <w:bCs w:val="false"/>
                <w:sz w:val="18"/>
                <w:szCs w:val="18"/>
              </w:rPr>
              <w:t xml:space="preserve">30.0</w:t>
            </w:r>
          </w:p>
        </w:tc>
        <w:tc>
          <w:tcPr>
            <w:tcW w:type="dxa" w:w="2000"/>
          </w:tcPr>
          <w:p>
            <w:r>
              <w:rPr>
                <w:rFonts w:ascii="Calibri" w:cs="Calibri" w:eastAsia="Calibri" w:hAnsi="Calibri"/>
                <w:b w:val="false"/>
                <w:bCs w:val="false"/>
                <w:sz w:val="18"/>
                <w:szCs w:val="18"/>
              </w:rPr>
              <w:t xml:space="preserve">Uncertain</w:t>
            </w:r>
          </w:p>
        </w:tc>
      </w:tr>
      <w:tr>
        <w:tc>
          <w:tcPr>
            <w:tcW w:type="dxa" w:w="2400"/>
          </w:tcPr>
          <w:p>
            <w:r>
              <w:rPr>
                <w:rFonts w:ascii="Calibri" w:cs="Calibri" w:eastAsia="Calibri" w:hAnsi="Calibri"/>
                <w:b w:val="false"/>
                <w:bCs w:val="false"/>
                <w:sz w:val="18"/>
                <w:szCs w:val="18"/>
              </w:rPr>
              <w:t xml:space="preserve">Zonaras</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30.1 ± 0.1</w:t>
            </w:r>
          </w:p>
        </w:tc>
        <w:tc>
          <w:tcPr>
            <w:tcW w:type="dxa" w:w="2000"/>
          </w:tcPr>
          <w:p>
            <w:r>
              <w:rPr>
                <w:rFonts w:ascii="Calibri" w:cs="Calibri" w:eastAsia="Calibri" w:hAnsi="Calibri"/>
                <w:b w:val="false"/>
                <w:bCs w:val="false"/>
                <w:sz w:val="18"/>
                <w:szCs w:val="18"/>
              </w:rPr>
              <w:t xml:space="preserve">Uncertain</w:t>
            </w:r>
          </w:p>
        </w:tc>
      </w:tr>
      <w:tr>
        <w:tc>
          <w:tcPr>
            <w:tcW w:type="dxa" w:w="2400"/>
          </w:tcPr>
          <w:p>
            <w:r>
              <w:rPr>
                <w:rFonts w:ascii="Calibri" w:cs="Calibri" w:eastAsia="Calibri" w:hAnsi="Calibri"/>
                <w:b w:val="false"/>
                <w:bCs w:val="false"/>
                <w:sz w:val="18"/>
                <w:szCs w:val="18"/>
              </w:rPr>
              <w:t xml:space="preserve">Pride and Prejudice</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30.1 ± 0.2</w:t>
            </w:r>
          </w:p>
        </w:tc>
        <w:tc>
          <w:tcPr>
            <w:tcW w:type="dxa" w:w="2000"/>
          </w:tcPr>
          <w:p>
            <w:r>
              <w:rPr>
                <w:rFonts w:ascii="Calibri" w:cs="Calibri" w:eastAsia="Calibri" w:hAnsi="Calibri"/>
                <w:b w:val="false"/>
                <w:bCs w:val="false"/>
                <w:sz w:val="18"/>
                <w:szCs w:val="18"/>
              </w:rPr>
              <w:t xml:space="preserve">Uncertain</w:t>
            </w:r>
          </w:p>
        </w:tc>
      </w:tr>
      <w:tr>
        <w:tc>
          <w:tcPr>
            <w:tcW w:type="dxa" w:w="2400"/>
          </w:tcPr>
          <w:p>
            <w:r>
              <w:rPr>
                <w:rFonts w:ascii="Calibri" w:cs="Calibri" w:eastAsia="Calibri" w:hAnsi="Calibri"/>
                <w:b w:val="false"/>
                <w:bCs w:val="false"/>
                <w:sz w:val="18"/>
                <w:szCs w:val="18"/>
              </w:rPr>
              <w:t xml:space="preserve">Patrologia Latina excerpt</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30.7 ± 1.6</w:t>
            </w:r>
          </w:p>
        </w:tc>
        <w:tc>
          <w:tcPr>
            <w:tcW w:type="dxa" w:w="2000"/>
          </w:tcPr>
          <w:p>
            <w:r>
              <w:rPr>
                <w:rFonts w:ascii="Calibri" w:cs="Calibri" w:eastAsia="Calibri" w:hAnsi="Calibri"/>
                <w:b w:val="false"/>
                <w:bCs w:val="false"/>
                <w:sz w:val="18"/>
                <w:szCs w:val="18"/>
              </w:rPr>
              <w:t xml:space="preserve">Uncertain</w:t>
            </w:r>
          </w:p>
        </w:tc>
      </w:tr>
      <w:tr>
        <w:tc>
          <w:tcPr>
            <w:tcW w:type="dxa" w:w="2400"/>
          </w:tcPr>
          <w:p>
            <w:r>
              <w:rPr>
                <w:rFonts w:ascii="Calibri" w:cs="Calibri" w:eastAsia="Calibri" w:hAnsi="Calibri"/>
                <w:b w:val="false"/>
                <w:bCs w:val="false"/>
                <w:sz w:val="18"/>
                <w:szCs w:val="18"/>
              </w:rPr>
              <w:t xml:space="preserve">Anna Komnene, Alexiad</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53.9–55.1</w:t>
            </w:r>
          </w:p>
        </w:tc>
        <w:tc>
          <w:tcPr>
            <w:tcW w:type="dxa" w:w="2000"/>
          </w:tcPr>
          <w:p>
            <w:r>
              <w:rPr>
                <w:rFonts w:ascii="Calibri" w:cs="Calibri" w:eastAsia="Calibri" w:hAnsi="Calibri"/>
                <w:b w:val="false"/>
                <w:bCs w:val="false"/>
                <w:sz w:val="18"/>
                <w:szCs w:val="18"/>
              </w:rPr>
              <w:t xml:space="preserve">Probable artifact</w:t>
            </w:r>
          </w:p>
        </w:tc>
      </w:tr>
      <w:tr>
        <w:tc>
          <w:tcPr>
            <w:tcW w:type="dxa" w:w="2400"/>
          </w:tcPr>
          <w:p>
            <w:r>
              <w:rPr>
                <w:rFonts w:ascii="Calibri" w:cs="Calibri" w:eastAsia="Calibri" w:hAnsi="Calibri"/>
                <w:b w:val="false"/>
                <w:bCs w:val="false"/>
                <w:sz w:val="18"/>
                <w:szCs w:val="18"/>
              </w:rPr>
              <w:t xml:space="preserve">Moby Dick</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55.1 ± 0.1</w:t>
            </w:r>
          </w:p>
        </w:tc>
        <w:tc>
          <w:tcPr>
            <w:tcW w:type="dxa" w:w="2000"/>
          </w:tcPr>
          <w:p>
            <w:r>
              <w:rPr>
                <w:rFonts w:ascii="Calibri" w:cs="Calibri" w:eastAsia="Calibri" w:hAnsi="Calibri"/>
                <w:b w:val="false"/>
                <w:bCs w:val="false"/>
                <w:sz w:val="18"/>
                <w:szCs w:val="18"/>
              </w:rPr>
              <w:t xml:space="preserve">Probable artifact</w:t>
            </w:r>
          </w:p>
        </w:tc>
      </w:tr>
      <w:tr>
        <w:tc>
          <w:tcPr>
            <w:tcW w:type="dxa" w:w="2400"/>
          </w:tcPr>
          <w:p>
            <w:r>
              <w:rPr>
                <w:rFonts w:ascii="Calibri" w:cs="Calibri" w:eastAsia="Calibri" w:hAnsi="Calibri"/>
                <w:b w:val="false"/>
                <w:bCs w:val="false"/>
                <w:sz w:val="18"/>
                <w:szCs w:val="18"/>
              </w:rPr>
              <w:t xml:space="preserve">Arabic (Quran)</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56.5 ± 2.1</w:t>
            </w:r>
          </w:p>
        </w:tc>
        <w:tc>
          <w:tcPr>
            <w:tcW w:type="dxa" w:w="2000"/>
          </w:tcPr>
          <w:p>
            <w:r>
              <w:rPr>
                <w:rFonts w:ascii="Calibri" w:cs="Calibri" w:eastAsia="Calibri" w:hAnsi="Calibri"/>
                <w:b w:val="false"/>
                <w:bCs w:val="false"/>
                <w:sz w:val="18"/>
                <w:szCs w:val="18"/>
              </w:rPr>
              <w:t xml:space="preserve">Probable artifact</w:t>
            </w:r>
          </w:p>
        </w:tc>
      </w:tr>
      <w:tr>
        <w:tc>
          <w:tcPr>
            <w:tcW w:type="dxa" w:w="2400"/>
          </w:tcPr>
          <w:p>
            <w:r>
              <w:rPr>
                <w:rFonts w:ascii="Calibri" w:cs="Calibri" w:eastAsia="Calibri" w:hAnsi="Calibri"/>
                <w:b w:val="false"/>
                <w:bCs w:val="false"/>
                <w:sz w:val="18"/>
                <w:szCs w:val="18"/>
              </w:rPr>
              <w:t xml:space="preserve">Hebrew (Torah, Gen–Num)</w:t>
            </w:r>
          </w:p>
        </w:tc>
        <w:tc>
          <w:tcPr>
            <w:tcW w:type="dxa" w:w="2000"/>
          </w:tcPr>
          <w:p>
            <w:r>
              <w:rPr>
                <w:rFonts w:ascii="Calibri" w:cs="Calibri" w:eastAsia="Calibri" w:hAnsi="Calibri"/>
                <w:b w:val="false"/>
                <w:bCs w:val="false"/>
                <w:sz w:val="18"/>
                <w:szCs w:val="18"/>
              </w:rPr>
              <w:t xml:space="preserve">Random sentence-level</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58.4 ± 2.4</w:t>
            </w:r>
          </w:p>
        </w:tc>
        <w:tc>
          <w:tcPr>
            <w:tcW w:type="dxa" w:w="2000"/>
          </w:tcPr>
          <w:p>
            <w:r>
              <w:rPr>
                <w:rFonts w:ascii="Calibri" w:cs="Calibri" w:eastAsia="Calibri" w:hAnsi="Calibri"/>
                <w:b w:val="false"/>
                <w:bCs w:val="false"/>
                <w:sz w:val="18"/>
                <w:szCs w:val="18"/>
              </w:rPr>
              <w:t xml:space="preserve">Probable artifact</w:t>
            </w:r>
          </w:p>
        </w:tc>
      </w:tr>
      <w:tr>
        <w:tc>
          <w:tcPr>
            <w:tcW w:type="dxa" w:w="2400"/>
          </w:tcPr>
          <w:p>
            <w:r>
              <w:rPr>
                <w:rFonts w:ascii="Calibri" w:cs="Calibri" w:eastAsia="Calibri" w:hAnsi="Calibri"/>
                <w:b w:val="false"/>
                <w:bCs w:val="false"/>
                <w:sz w:val="18"/>
                <w:szCs w:val="18"/>
              </w:rPr>
              <w:t xml:space="preserve">Source signal (this study)</w:t>
            </w:r>
          </w:p>
        </w:tc>
        <w:tc>
          <w:tcPr>
            <w:tcW w:type="dxa" w:w="2000"/>
          </w:tcPr>
          <w:p>
            <w:r>
              <w:rPr>
                <w:rFonts w:ascii="Calibri" w:cs="Calibri" w:eastAsia="Calibri" w:hAnsi="Calibri"/>
                <w:b w:val="false"/>
                <w:bCs w:val="false"/>
                <w:sz w:val="18"/>
                <w:szCs w:val="18"/>
              </w:rPr>
              <w:t xml:space="preserve">Real corpus partition</w:t>
            </w:r>
          </w:p>
        </w:tc>
        <w:tc>
          <w:tcPr>
            <w:tcW w:type="dxa" w:w="900"/>
          </w:tcPr>
          <w:p>
            <w:r>
              <w:rPr>
                <w:rFonts w:ascii="Calibri" w:cs="Calibri" w:eastAsia="Calibri" w:hAnsi="Calibri"/>
                <w:b w:val="false"/>
                <w:bCs w:val="false"/>
                <w:sz w:val="18"/>
                <w:szCs w:val="18"/>
              </w:rPr>
              <w:t xml:space="preserve">—</w:t>
            </w:r>
          </w:p>
        </w:tc>
        <w:tc>
          <w:tcPr>
            <w:tcW w:type="dxa" w:w="2600"/>
          </w:tcPr>
          <w:p>
            <w:r>
              <w:rPr>
                <w:rFonts w:ascii="Calibri" w:cs="Calibri" w:eastAsia="Calibri" w:hAnsi="Calibri"/>
                <w:b w:val="false"/>
                <w:bCs w:val="false"/>
                <w:sz w:val="18"/>
                <w:szCs w:val="18"/>
              </w:rPr>
              <w:t xml:space="preserve">62.6</w:t>
            </w:r>
          </w:p>
        </w:tc>
        <w:tc>
          <w:tcPr>
            <w:tcW w:type="dxa" w:w="2000"/>
          </w:tcPr>
          <w:p>
            <w:r>
              <w:rPr>
                <w:rFonts w:ascii="Calibri" w:cs="Calibri" w:eastAsia="Calibri" w:hAnsi="Calibri"/>
                <w:b w:val="false"/>
                <w:bCs w:val="false"/>
                <w:sz w:val="18"/>
                <w:szCs w:val="18"/>
              </w:rPr>
              <w:t xml:space="preserve">Probable artifact</w:t>
            </w:r>
          </w:p>
        </w:tc>
      </w:tr>
      <w:tr>
        <w:tc>
          <w:tcPr>
            <w:tcW w:type="dxa" w:w="2400"/>
          </w:tcPr>
          <w:p>
            <w:r>
              <w:rPr>
                <w:rFonts w:ascii="Calibri" w:cs="Calibri" w:eastAsia="Calibri" w:hAnsi="Calibri"/>
                <w:b w:val="false"/>
                <w:bCs w:val="false"/>
                <w:sz w:val="18"/>
                <w:szCs w:val="18"/>
              </w:rPr>
              <w:t xml:space="preserve">Hoax (generated + injected rule)</w:t>
            </w:r>
          </w:p>
        </w:tc>
        <w:tc>
          <w:tcPr>
            <w:tcW w:type="dxa" w:w="2000"/>
          </w:tcPr>
          <w:p>
            <w:r>
              <w:rPr>
                <w:rFonts w:ascii="Calibri" w:cs="Calibri" w:eastAsia="Calibri" w:hAnsi="Calibri"/>
                <w:b w:val="false"/>
                <w:bCs w:val="false"/>
                <w:sz w:val="18"/>
                <w:szCs w:val="18"/>
              </w:rPr>
              <w:t xml:space="preserve">Generated, real rule</w:t>
            </w:r>
          </w:p>
        </w:tc>
        <w:tc>
          <w:tcPr>
            <w:tcW w:type="dxa" w:w="900"/>
          </w:tcPr>
          <w:p>
            <w:r>
              <w:rPr>
                <w:rFonts w:ascii="Calibri" w:cs="Calibri" w:eastAsia="Calibri" w:hAnsi="Calibri"/>
                <w:b w:val="false"/>
                <w:bCs w:val="false"/>
                <w:sz w:val="18"/>
                <w:szCs w:val="18"/>
              </w:rPr>
              <w:t xml:space="preserve">5</w:t>
            </w:r>
          </w:p>
        </w:tc>
        <w:tc>
          <w:tcPr>
            <w:tcW w:type="dxa" w:w="2600"/>
          </w:tcPr>
          <w:p>
            <w:r>
              <w:rPr>
                <w:rFonts w:ascii="Calibri" w:cs="Calibri" w:eastAsia="Calibri" w:hAnsi="Calibri"/>
                <w:b w:val="false"/>
                <w:bCs w:val="false"/>
                <w:sz w:val="18"/>
                <w:szCs w:val="18"/>
              </w:rPr>
              <w:t xml:space="preserve">66.7 ± 2.8</w:t>
            </w:r>
          </w:p>
        </w:tc>
        <w:tc>
          <w:tcPr>
            <w:tcW w:type="dxa" w:w="2000"/>
          </w:tcPr>
          <w:p>
            <w:r>
              <w:rPr>
                <w:rFonts w:ascii="Calibri" w:cs="Calibri" w:eastAsia="Calibri" w:hAnsi="Calibri"/>
                <w:b w:val="false"/>
                <w:bCs w:val="false"/>
                <w:sz w:val="18"/>
                <w:szCs w:val="18"/>
              </w:rPr>
              <w:t xml:space="preserve">Probable artifact</w:t>
            </w:r>
          </w:p>
        </w:tc>
      </w:tr>
      <w:tr>
        <w:tc>
          <w:tcPr>
            <w:tcW w:type="dxa" w:w="2400"/>
          </w:tcPr>
          <w:p>
            <w:r>
              <w:rPr>
                <w:rFonts w:ascii="Calibri" w:cs="Calibri" w:eastAsia="Calibri" w:hAnsi="Calibri"/>
                <w:b w:val="false"/>
                <w:bCs w:val="false"/>
                <w:sz w:val="18"/>
                <w:szCs w:val="18"/>
              </w:rPr>
              <w:t xml:space="preserve">Fully permuted (pure noise)</w:t>
            </w:r>
          </w:p>
        </w:tc>
        <w:tc>
          <w:tcPr>
            <w:tcW w:type="dxa" w:w="2000"/>
          </w:tcPr>
          <w:p>
            <w:r>
              <w:rPr>
                <w:rFonts w:ascii="Calibri" w:cs="Calibri" w:eastAsia="Calibri" w:hAnsi="Calibri"/>
                <w:b w:val="false"/>
                <w:bCs w:val="false"/>
                <w:sz w:val="18"/>
                <w:szCs w:val="18"/>
              </w:rPr>
              <w:t xml:space="preserve">Same labels, shuffled</w:t>
            </w:r>
          </w:p>
        </w:tc>
        <w:tc>
          <w:tcPr>
            <w:tcW w:type="dxa" w:w="900"/>
          </w:tcPr>
          <w:p>
            <w:r>
              <w:rPr>
                <w:rFonts w:ascii="Calibri" w:cs="Calibri" w:eastAsia="Calibri" w:hAnsi="Calibri"/>
                <w:b w:val="false"/>
                <w:bCs w:val="false"/>
                <w:sz w:val="18"/>
                <w:szCs w:val="18"/>
              </w:rPr>
              <w:t xml:space="preserve">8</w:t>
            </w:r>
          </w:p>
        </w:tc>
        <w:tc>
          <w:tcPr>
            <w:tcW w:type="dxa" w:w="2600"/>
          </w:tcPr>
          <w:p>
            <w:r>
              <w:rPr>
                <w:rFonts w:ascii="Calibri" w:cs="Calibri" w:eastAsia="Calibri" w:hAnsi="Calibri"/>
                <w:b w:val="false"/>
                <w:bCs w:val="false"/>
                <w:sz w:val="18"/>
                <w:szCs w:val="18"/>
              </w:rPr>
              <w:t xml:space="preserve">71.9 ± 9.0 [60.1, 89.7]</w:t>
            </w:r>
          </w:p>
        </w:tc>
        <w:tc>
          <w:tcPr>
            <w:tcW w:type="dxa" w:w="2000"/>
          </w:tcPr>
          <w:p>
            <w:r>
              <w:rPr>
                <w:rFonts w:ascii="Calibri" w:cs="Calibri" w:eastAsia="Calibri" w:hAnsi="Calibri"/>
                <w:b w:val="false"/>
                <w:bCs w:val="false"/>
                <w:sz w:val="18"/>
                <w:szCs w:val="18"/>
              </w:rPr>
              <w:t xml:space="preserve">Probable/near-certain</w:t>
            </w:r>
          </w:p>
        </w:tc>
      </w:tr>
    </w:tbl>
    <w:p>
      <w:pPr>
        <w:pStyle w:val="Heading1"/>
        <w:spacing w:after="200" w:before="400"/>
      </w:pPr>
      <w:r>
        <w:t xml:space="preserve">4. Results: A Recurring Pattern and Its Limits</w:t>
      </w:r>
    </w:p>
    <w:p>
      <w:pPr>
        <w:spacing w:after="200" w:line="276"/>
        <w:jc w:val="both"/>
      </w:pPr>
      <w:r>
        <w:rPr>
          <w:rFonts w:ascii="Calibri" w:cs="Calibri" w:eastAsia="Calibri" w:hAnsi="Calibri"/>
          <w:b w:val="false"/>
          <w:bCs w:val="false"/>
          <w:i w:val="false"/>
          <w:iCs w:val="false"/>
          <w:sz w:val="22"/>
          <w:szCs w:val="22"/>
        </w:rPr>
        <w:t xml:space="preserve">Two implementation findings preceded the substantive result. First, fixed eight-word pseudo-line windows, tried initially for prose corpora lacking natural line breaks, manufactured a spurious near-ceiling “Robust” artifact; rebuilding with real sentence boundaries eliminated it, and Table 10 reports sentence-based results throughout. Second, the encoder’s fallback character-value rule was silently Latin-alphabet-specific, defaulting any non-Latin character to a fixed value — affecting 46% of character occurrences for Greek and 32% for Coptic. Deriving the fallback from each corpus’s own character inventory left results essentially unchanged (Greek: 53.9→55.1; Coptic: unchanged) — a real defect worth fixing, but not the explanation for the pattern that follows.</w:t>
      </w:r>
    </w:p>
    <w:p>
      <w:pPr>
        <w:spacing w:after="200" w:line="276"/>
        <w:jc w:val="both"/>
      </w:pPr>
      <w:r>
        <w:rPr>
          <w:rFonts w:ascii="Calibri" w:cs="Calibri" w:eastAsia="Calibri" w:hAnsi="Calibri"/>
          <w:b w:val="false"/>
          <w:bCs w:val="false"/>
          <w:i w:val="false"/>
          <w:iCs w:val="false"/>
          <w:sz w:val="22"/>
          <w:szCs w:val="22"/>
        </w:rPr>
        <w:t xml:space="preserve">A recurring ~50% split among arbitrary-split natural-language anchors. Component-level inspection traced the Alexiad’s initially anomalous APS (≈54, against the ≈30 shared by Coptic, Latin, and Pride and Prejudice) to a corpus-wide property: the underlying correlation is simply weaker in that text than in Pride and Prejudice or the Patrologia excerpt, invariant across random-split replicates. Because this holds regardless of the (arbitrary) split, weaker aggregate signals mechanically fail multiple-comparison correction and are not independently significant within either random half — both push the APS upward, an artifact of how two of the five components partly track aggregate signal strength rather than purely a between-group difference. A second Byzantine Greek author (Zonaras) landed in the ≈30 cluster, showing the pattern was specific to the Alexiad, not to Greek as a language; extending the anchor set further showed it is not a rare idiosyncrasy either — Moby Dick (English, the same language as Pride and Prejudice, which scores 30.1), the Torah, and the Quran all independently reproduce the weak-aggregate-signal pattern (APS 55–58), while Zonaras, the Patrologia excerpt, Pride and Prejudice, and Coptic reproduce the strong-aggregate-signal pattern (APS ≈30). Among the eight arbitrary-split natural-language anchors, the split is close to even and tracks neither language, script, nor family — Pride and Prejudice and Moby Dick are both English and land on opposite sides. Whether an arbitrary, meaningless split of ordinary natural-language text yields APS≈30 or APS≈55–58 is best explained as a property of the individual text’s own aggregate lexical structure, unrelated to whether any real group-level difference exists.</w:t>
      </w:r>
    </w:p>
    <w:p>
      <w:pPr>
        <w:spacing w:after="200" w:line="276"/>
        <w:jc w:val="both"/>
      </w:pPr>
      <w:r>
        <w:rPr>
          <w:rFonts w:ascii="Calibri" w:cs="Calibri" w:eastAsia="Calibri" w:hAnsi="Calibri"/>
          <w:b w:val="false"/>
          <w:bCs w:val="false"/>
          <w:i w:val="false"/>
          <w:iCs w:val="false"/>
          <w:sz w:val="22"/>
          <w:szCs w:val="22"/>
        </w:rPr>
        <w:t xml:space="preserve">The decrypted Copiale cipher adds a necessary complementary data point. At APS=5.6±1.6, it lands clearly in the Robust zone under the same arbitrary random-split protocol, with near-total replication across alternative specifications and an overwhelming aggregate correlation. This answers a natural objection — that an arbitrary split might mechanically wash out any real signal regardless of text quality, making the whole calibration uninformative. Copiale demonstrates otherwise: a real text with strong internal structure registers unambiguously as Robust even under a meaningless split; the 55–58 outcomes are a genuine, text-dependent phenomenon, not a ceiling artifact of the method itself.</w:t>
      </w:r>
    </w:p>
    <w:p>
      <w:pPr>
        <w:spacing w:after="200" w:line="276"/>
        <w:jc w:val="both"/>
      </w:pPr>
      <w:r>
        <w:rPr>
          <w:rFonts w:ascii="Calibri" w:cs="Calibri" w:eastAsia="Calibri" w:hAnsi="Calibri"/>
          <w:b w:val="false"/>
          <w:bCs w:val="false"/>
          <w:i w:val="false"/>
          <w:iCs w:val="false"/>
          <w:sz w:val="22"/>
          <w:szCs w:val="22"/>
        </w:rPr>
        <w:t xml:space="preserve">The middle of the APS scale has limited discriminative power. This is the central finding of the calibration, and we report it without softening it. Under the original scale, the source signal’s APS (62.6) and the four “Probable artifact” natural-language anchors (Alexiad, Moby Dick, Quran, Torah — APS 54–58) are not reliably distinguishable: roughly half of ordinary, non-artifactual natural-language texts land in the same range under an arbitrary null split. The original 21–50/51–80 boundary implies a discriminative precision this calibration does not support. What the fourteen-anchor set supports clearly is the two extremes: 0–20 reliably indicates strong, genuine structure (Shakespeare, Copiale), and no natural-language anchor reaches the 76–100 range reached only by pure permutation noise — though not reliably even then, since the noise control’s own 60.1–89.7 spread means the near-certain zone itself should be read with caution.</w:t>
      </w:r>
    </w:p>
    <w:p>
      <w:pPr>
        <w:pStyle w:val="Heading1"/>
        <w:spacing w:after="200" w:before="400"/>
      </w:pPr>
      <w:r>
        <w:t xml:space="preserve">5. Scale Revision and Its Implications</w:t>
      </w:r>
    </w:p>
    <w:p>
      <w:pPr>
        <w:spacing w:after="200" w:line="276"/>
        <w:jc w:val="both"/>
      </w:pPr>
      <w:r>
        <w:rPr>
          <w:rFonts w:ascii="Calibri" w:cs="Calibri" w:eastAsia="Calibri" w:hAnsi="Calibri"/>
          <w:b w:val="false"/>
          <w:bCs w:val="false"/>
          <w:i w:val="false"/>
          <w:iCs w:val="false"/>
          <w:sz w:val="22"/>
          <w:szCs w:val="22"/>
        </w:rPr>
        <w:t xml:space="preserve">We revise the scale to 0–20 Robust; 21–75 Uncertain (merged); 76–100 Near-certain artifact, merging the original “Uncertain” and “Probable artifact” bands into a single wide zone whose label we take seriously: within it, the APS alone cannot discriminate a genuine compositional confound from ordinary cross-text variance in aggregate lexical structure. Any signal previously classified “Probable artifact” solely on an APS in the 51–75 range should be re-read as inconclusive by this metric alone — consistent with either a genuine artifact or ordinary text-level variance of the kind documented in Moby Dick or the Quran — pending the convergent, multi-source evidence (effect size, cross-specification replication, absence of sign reversal) that §6’s sensitivity analysis shows the revised scale itself cannot substitute for. This section revises the APS’s evidentiary weight downward within the merged band; it does not, by itself, resolve any individual certification case that falls there.</w:t>
      </w:r>
    </w:p>
    <w:p>
      <w:pPr>
        <w:pStyle w:val="Heading1"/>
        <w:spacing w:after="200" w:before="400"/>
      </w:pPr>
      <w:r>
        <w:t xml:space="preserve">6. Weight Sensitivity Analysis</w:t>
      </w:r>
    </w:p>
    <w:p>
      <w:pPr>
        <w:pStyle w:val="Heading2"/>
        <w:spacing w:after="150" w:before="300"/>
      </w:pPr>
      <w:r>
        <w:t xml:space="preserve">6.1 Motivation</w:t>
      </w:r>
    </w:p>
    <w:p>
      <w:pPr>
        <w:spacing w:after="200" w:line="276"/>
        <w:jc w:val="both"/>
      </w:pPr>
      <w:r>
        <w:rPr>
          <w:rFonts w:ascii="Calibri" w:cs="Calibri" w:eastAsia="Calibri" w:hAnsi="Calibri"/>
          <w:b w:val="false"/>
          <w:bCs w:val="false"/>
          <w:i w:val="false"/>
          <w:iCs w:val="false"/>
          <w:sz w:val="22"/>
          <w:szCs w:val="22"/>
        </w:rPr>
        <w:t xml:space="preserve">The five APS components (Table 8) are weighted by theoretically motivated but not empirically derived coefficients (w = 0.30, 0.25, 0.20, 0.15, 0.10). A methodological instrument whose classifications depend heavily on an arbitrary choice of weights would offer limited value as a certification tool. This section tests how far the fourteen-anchor calibration reported in §3–§5 depends on this specific weighting, and, in doing so, provides an independent empirical check on the scale revision proposed in §5.</w:t>
      </w:r>
    </w:p>
    <w:p>
      <w:pPr>
        <w:pStyle w:val="Heading2"/>
        <w:spacing w:after="150" w:before="300"/>
      </w:pPr>
      <w:r>
        <w:t xml:space="preserve">6.2 Method</w:t>
      </w:r>
    </w:p>
    <w:p>
      <w:pPr>
        <w:spacing w:after="200" w:line="276"/>
        <w:jc w:val="both"/>
      </w:pPr>
      <w:r>
        <w:rPr>
          <w:rFonts w:ascii="Calibri" w:cs="Calibri" w:eastAsia="Calibri" w:hAnsi="Calibri"/>
          <w:b w:val="false"/>
          <w:bCs w:val="false"/>
          <w:i w:val="false"/>
          <w:iCs w:val="false"/>
          <w:sz w:val="22"/>
          <w:szCs w:val="22"/>
        </w:rPr>
        <w:t xml:space="preserve">For each of the fourteen anchors, component-level scores (s₁…s₅) were averaged across their empirical replicates (n = 5–8 independent A/B resplits per anchor; n = 1 for Shakespeare and Coptic, which use a fixed structural split). Two complementary sensitivity tests were then applied: a one-at-a-time (OAT) perturbation, in which each weight w_i was varied by ±30% in 13 steps with the remaining four weights renormalized proportionally; and a global perturbation, in which 5,000 weight vectors were drawn by multiplying each baseline weight by a factor uniform on [0.6, 1.4] and renormalizing to the simplex. For each draw, the resulting APS, zone classification (under both scales), and Spearman rank correlation with the baseline ranking of the fourteen anchors were recorded. This design isolates weight uncertainty from data uncertainty: replicate-level variability in s₁…s₅ is absorbed by averaging before the sensitivity analysis, so the reported instability reflects the choice of weights alone.</w:t>
      </w:r>
    </w:p>
    <w:p>
      <w:pPr>
        <w:pStyle w:val="Heading2"/>
        <w:spacing w:after="150" w:before="300"/>
      </w:pPr>
      <w:r>
        <w:t xml:space="preserve">6.3 Results</w:t>
      </w:r>
    </w:p>
    <w:p>
      <w:pPr>
        <w:spacing w:after="200"/>
      </w:pPr>
      <w:r>
        <w:rPr>
          <w:rFonts w:ascii="Calibri" w:cs="Calibri" w:eastAsia="Calibri" w:hAnsi="Calibri"/>
          <w:i/>
          <w:iCs/>
          <w:sz w:val="20"/>
          <w:szCs w:val="20"/>
        </w:rPr>
        <w:t xml:space="preserve">Table 11. Zone stability under weight perturbation (N = 5,000 draws, ±40% per component).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200"/>
        <w:gridCol w:w="1600"/>
        <w:gridCol w:w="1400"/>
        <w:gridCol w:w="1400"/>
      </w:tblGrid>
      <w:tr>
        <w:trPr>
          <w:tblHeader/>
        </w:trPr>
        <w:tc>
          <w:tcPr>
            <w:tcW w:type="dxa" w:w="2600"/>
            <w:shd w:fill="D9D9D9" w:val="clear"/>
          </w:tcPr>
          <w:p>
            <w:r>
              <w:rPr>
                <w:rFonts w:ascii="Calibri" w:cs="Calibri" w:eastAsia="Calibri" w:hAnsi="Calibri"/>
                <w:b/>
                <w:bCs/>
                <w:sz w:val="18"/>
                <w:szCs w:val="18"/>
              </w:rPr>
              <w:t xml:space="preserve">Anchor</w:t>
            </w:r>
          </w:p>
        </w:tc>
        <w:tc>
          <w:tcPr>
            <w:tcW w:type="dxa" w:w="900"/>
            <w:shd w:fill="D9D9D9" w:val="clear"/>
          </w:tcPr>
          <w:p>
            <w:r>
              <w:rPr>
                <w:rFonts w:ascii="Calibri" w:cs="Calibri" w:eastAsia="Calibri" w:hAnsi="Calibri"/>
                <w:b/>
                <w:bCs/>
                <w:sz w:val="18"/>
                <w:szCs w:val="18"/>
              </w:rPr>
              <w:t xml:space="preserve">APS</w:t>
            </w:r>
          </w:p>
        </w:tc>
        <w:tc>
          <w:tcPr>
            <w:tcW w:type="dxa" w:w="2200"/>
            <w:shd w:fill="D9D9D9" w:val="clear"/>
          </w:tcPr>
          <w:p>
            <w:r>
              <w:rPr>
                <w:rFonts w:ascii="Calibri" w:cs="Calibri" w:eastAsia="Calibri" w:hAnsi="Calibri"/>
                <w:b/>
                <w:bCs/>
                <w:sz w:val="18"/>
                <w:szCs w:val="18"/>
              </w:rPr>
              <w:t xml:space="preserve">Zone (orig.)</w:t>
            </w:r>
          </w:p>
        </w:tc>
        <w:tc>
          <w:tcPr>
            <w:tcW w:type="dxa" w:w="1600"/>
            <w:shd w:fill="D9D9D9" w:val="clear"/>
          </w:tcPr>
          <w:p>
            <w:r>
              <w:rPr>
                <w:rFonts w:ascii="Calibri" w:cs="Calibri" w:eastAsia="Calibri" w:hAnsi="Calibri"/>
                <w:b/>
                <w:bCs/>
                <w:sz w:val="18"/>
                <w:szCs w:val="18"/>
              </w:rPr>
              <w:t xml:space="preserve">Zone (rev.)</w:t>
            </w:r>
          </w:p>
        </w:tc>
        <w:tc>
          <w:tcPr>
            <w:tcW w:type="dxa" w:w="1400"/>
            <w:shd w:fill="D9D9D9" w:val="clear"/>
          </w:tcPr>
          <w:p>
            <w:r>
              <w:rPr>
                <w:rFonts w:ascii="Calibri" w:cs="Calibri" w:eastAsia="Calibri" w:hAnsi="Calibri"/>
                <w:b/>
                <w:bCs/>
                <w:sz w:val="18"/>
                <w:szCs w:val="18"/>
              </w:rPr>
              <w:t xml:space="preserve">Stab. orig.</w:t>
            </w:r>
          </w:p>
        </w:tc>
        <w:tc>
          <w:tcPr>
            <w:tcW w:type="dxa" w:w="1400"/>
            <w:shd w:fill="D9D9D9" w:val="clear"/>
          </w:tcPr>
          <w:p>
            <w:r>
              <w:rPr>
                <w:rFonts w:ascii="Calibri" w:cs="Calibri" w:eastAsia="Calibri" w:hAnsi="Calibri"/>
                <w:b/>
                <w:bCs/>
                <w:sz w:val="18"/>
                <w:szCs w:val="18"/>
              </w:rPr>
              <w:t xml:space="preserve">Stab. rev.</w:t>
            </w:r>
          </w:p>
        </w:tc>
      </w:tr>
      <w:tr>
        <w:tc>
          <w:tcPr>
            <w:tcW w:type="dxa" w:w="2600"/>
          </w:tcPr>
          <w:p>
            <w:r>
              <w:rPr>
                <w:rFonts w:ascii="Calibri" w:cs="Calibri" w:eastAsia="Calibri" w:hAnsi="Calibri"/>
                <w:b w:val="false"/>
                <w:bCs w:val="false"/>
                <w:sz w:val="18"/>
                <w:szCs w:val="18"/>
              </w:rPr>
              <w:t xml:space="preserve">Shakespeare</w:t>
            </w:r>
          </w:p>
        </w:tc>
        <w:tc>
          <w:tcPr>
            <w:tcW w:type="dxa" w:w="900"/>
          </w:tcPr>
          <w:p>
            <w:r>
              <w:rPr>
                <w:rFonts w:ascii="Calibri" w:cs="Calibri" w:eastAsia="Calibri" w:hAnsi="Calibri"/>
                <w:b w:val="false"/>
                <w:bCs w:val="false"/>
                <w:sz w:val="18"/>
                <w:szCs w:val="18"/>
              </w:rPr>
              <w:t xml:space="preserve">10.1</w:t>
            </w:r>
          </w:p>
        </w:tc>
        <w:tc>
          <w:tcPr>
            <w:tcW w:type="dxa" w:w="2200"/>
          </w:tcPr>
          <w:p>
            <w:r>
              <w:rPr>
                <w:rFonts w:ascii="Calibri" w:cs="Calibri" w:eastAsia="Calibri" w:hAnsi="Calibri"/>
                <w:b w:val="false"/>
                <w:bCs w:val="false"/>
                <w:sz w:val="18"/>
                <w:szCs w:val="18"/>
              </w:rPr>
              <w:t xml:space="preserve">Robust</w:t>
            </w:r>
          </w:p>
        </w:tc>
        <w:tc>
          <w:tcPr>
            <w:tcW w:type="dxa" w:w="1600"/>
          </w:tcPr>
          <w:p>
            <w:r>
              <w:rPr>
                <w:rFonts w:ascii="Calibri" w:cs="Calibri" w:eastAsia="Calibri" w:hAnsi="Calibri"/>
                <w:b w:val="false"/>
                <w:bCs w:val="false"/>
                <w:sz w:val="18"/>
                <w:szCs w:val="18"/>
              </w:rPr>
              <w:t xml:space="preserve">Robust</w:t>
            </w:r>
          </w:p>
        </w:tc>
        <w:tc>
          <w:tcPr>
            <w:tcW w:type="dxa" w:w="1400"/>
          </w:tcPr>
          <w:p>
            <w:r>
              <w:rPr>
                <w:rFonts w:ascii="Calibri" w:cs="Calibri" w:eastAsia="Calibri" w:hAnsi="Calibri"/>
                <w:b w:val="false"/>
                <w:bCs w:val="false"/>
                <w:sz w:val="18"/>
                <w:szCs w:val="18"/>
              </w:rPr>
              <w:t xml:space="preserve">100.0%</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Copiale (decrypted)</w:t>
            </w:r>
          </w:p>
        </w:tc>
        <w:tc>
          <w:tcPr>
            <w:tcW w:type="dxa" w:w="900"/>
          </w:tcPr>
          <w:p>
            <w:r>
              <w:rPr>
                <w:rFonts w:ascii="Calibri" w:cs="Calibri" w:eastAsia="Calibri" w:hAnsi="Calibri"/>
                <w:b w:val="false"/>
                <w:bCs w:val="false"/>
                <w:sz w:val="18"/>
                <w:szCs w:val="18"/>
              </w:rPr>
              <w:t xml:space="preserve">5.6</w:t>
            </w:r>
          </w:p>
        </w:tc>
        <w:tc>
          <w:tcPr>
            <w:tcW w:type="dxa" w:w="2200"/>
          </w:tcPr>
          <w:p>
            <w:r>
              <w:rPr>
                <w:rFonts w:ascii="Calibri" w:cs="Calibri" w:eastAsia="Calibri" w:hAnsi="Calibri"/>
                <w:b w:val="false"/>
                <w:bCs w:val="false"/>
                <w:sz w:val="18"/>
                <w:szCs w:val="18"/>
              </w:rPr>
              <w:t xml:space="preserve">Robust</w:t>
            </w:r>
          </w:p>
        </w:tc>
        <w:tc>
          <w:tcPr>
            <w:tcW w:type="dxa" w:w="1600"/>
          </w:tcPr>
          <w:p>
            <w:r>
              <w:rPr>
                <w:rFonts w:ascii="Calibri" w:cs="Calibri" w:eastAsia="Calibri" w:hAnsi="Calibri"/>
                <w:b w:val="false"/>
                <w:bCs w:val="false"/>
                <w:sz w:val="18"/>
                <w:szCs w:val="18"/>
              </w:rPr>
              <w:t xml:space="preserve">Robust</w:t>
            </w:r>
          </w:p>
        </w:tc>
        <w:tc>
          <w:tcPr>
            <w:tcW w:type="dxa" w:w="1400"/>
          </w:tcPr>
          <w:p>
            <w:r>
              <w:rPr>
                <w:rFonts w:ascii="Calibri" w:cs="Calibri" w:eastAsia="Calibri" w:hAnsi="Calibri"/>
                <w:b w:val="false"/>
                <w:bCs w:val="false"/>
                <w:sz w:val="18"/>
                <w:szCs w:val="18"/>
              </w:rPr>
              <w:t xml:space="preserve">100.0%</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Lojban</w:t>
            </w:r>
          </w:p>
        </w:tc>
        <w:tc>
          <w:tcPr>
            <w:tcW w:type="dxa" w:w="900"/>
          </w:tcPr>
          <w:p>
            <w:r>
              <w:rPr>
                <w:rFonts w:ascii="Calibri" w:cs="Calibri" w:eastAsia="Calibri" w:hAnsi="Calibri"/>
                <w:b w:val="false"/>
                <w:bCs w:val="false"/>
                <w:sz w:val="18"/>
                <w:szCs w:val="18"/>
              </w:rPr>
              <w:t xml:space="preserve">41.4</w:t>
            </w:r>
          </w:p>
        </w:tc>
        <w:tc>
          <w:tcPr>
            <w:tcW w:type="dxa" w:w="2200"/>
          </w:tcPr>
          <w:p>
            <w:r>
              <w:rPr>
                <w:rFonts w:ascii="Calibri" w:cs="Calibri" w:eastAsia="Calibri" w:hAnsi="Calibri"/>
                <w:b w:val="false"/>
                <w:bCs w:val="false"/>
                <w:sz w:val="18"/>
                <w:szCs w:val="18"/>
              </w:rPr>
              <w:t xml:space="preserve">Uncertain</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99.9%</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Coptic</w:t>
            </w:r>
          </w:p>
        </w:tc>
        <w:tc>
          <w:tcPr>
            <w:tcW w:type="dxa" w:w="900"/>
          </w:tcPr>
          <w:p>
            <w:r>
              <w:rPr>
                <w:rFonts w:ascii="Calibri" w:cs="Calibri" w:eastAsia="Calibri" w:hAnsi="Calibri"/>
                <w:b w:val="false"/>
                <w:bCs w:val="false"/>
                <w:sz w:val="18"/>
                <w:szCs w:val="18"/>
              </w:rPr>
              <w:t xml:space="preserve">30.0</w:t>
            </w:r>
          </w:p>
        </w:tc>
        <w:tc>
          <w:tcPr>
            <w:tcW w:type="dxa" w:w="2200"/>
          </w:tcPr>
          <w:p>
            <w:r>
              <w:rPr>
                <w:rFonts w:ascii="Calibri" w:cs="Calibri" w:eastAsia="Calibri" w:hAnsi="Calibri"/>
                <w:b w:val="false"/>
                <w:bCs w:val="false"/>
                <w:sz w:val="18"/>
                <w:szCs w:val="18"/>
              </w:rPr>
              <w:t xml:space="preserve">Uncertain</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100.0%</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Zonaras</w:t>
            </w:r>
          </w:p>
        </w:tc>
        <w:tc>
          <w:tcPr>
            <w:tcW w:type="dxa" w:w="900"/>
          </w:tcPr>
          <w:p>
            <w:r>
              <w:rPr>
                <w:rFonts w:ascii="Calibri" w:cs="Calibri" w:eastAsia="Calibri" w:hAnsi="Calibri"/>
                <w:b w:val="false"/>
                <w:bCs w:val="false"/>
                <w:sz w:val="18"/>
                <w:szCs w:val="18"/>
              </w:rPr>
              <w:t xml:space="preserve">30.1</w:t>
            </w:r>
          </w:p>
        </w:tc>
        <w:tc>
          <w:tcPr>
            <w:tcW w:type="dxa" w:w="2200"/>
          </w:tcPr>
          <w:p>
            <w:r>
              <w:rPr>
                <w:rFonts w:ascii="Calibri" w:cs="Calibri" w:eastAsia="Calibri" w:hAnsi="Calibri"/>
                <w:b w:val="false"/>
                <w:bCs w:val="false"/>
                <w:sz w:val="18"/>
                <w:szCs w:val="18"/>
              </w:rPr>
              <w:t xml:space="preserve">Uncertain</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97.4%</w:t>
            </w:r>
          </w:p>
        </w:tc>
        <w:tc>
          <w:tcPr>
            <w:tcW w:type="dxa" w:w="1400"/>
          </w:tcPr>
          <w:p>
            <w:r>
              <w:rPr>
                <w:rFonts w:ascii="Calibri" w:cs="Calibri" w:eastAsia="Calibri" w:hAnsi="Calibri"/>
                <w:b w:val="false"/>
                <w:bCs w:val="false"/>
                <w:sz w:val="18"/>
                <w:szCs w:val="18"/>
              </w:rPr>
              <w:t xml:space="preserve">97.4%</w:t>
            </w:r>
          </w:p>
        </w:tc>
      </w:tr>
      <w:tr>
        <w:tc>
          <w:tcPr>
            <w:tcW w:type="dxa" w:w="2600"/>
          </w:tcPr>
          <w:p>
            <w:r>
              <w:rPr>
                <w:rFonts w:ascii="Calibri" w:cs="Calibri" w:eastAsia="Calibri" w:hAnsi="Calibri"/>
                <w:b w:val="false"/>
                <w:bCs w:val="false"/>
                <w:sz w:val="18"/>
                <w:szCs w:val="18"/>
              </w:rPr>
              <w:t xml:space="preserve">Pride and Prejudice</w:t>
            </w:r>
          </w:p>
        </w:tc>
        <w:tc>
          <w:tcPr>
            <w:tcW w:type="dxa" w:w="900"/>
          </w:tcPr>
          <w:p>
            <w:r>
              <w:rPr>
                <w:rFonts w:ascii="Calibri" w:cs="Calibri" w:eastAsia="Calibri" w:hAnsi="Calibri"/>
                <w:b w:val="false"/>
                <w:bCs w:val="false"/>
                <w:sz w:val="18"/>
                <w:szCs w:val="18"/>
              </w:rPr>
              <w:t xml:space="preserve">30.1</w:t>
            </w:r>
          </w:p>
        </w:tc>
        <w:tc>
          <w:tcPr>
            <w:tcW w:type="dxa" w:w="2200"/>
          </w:tcPr>
          <w:p>
            <w:r>
              <w:rPr>
                <w:rFonts w:ascii="Calibri" w:cs="Calibri" w:eastAsia="Calibri" w:hAnsi="Calibri"/>
                <w:b w:val="false"/>
                <w:bCs w:val="false"/>
                <w:sz w:val="18"/>
                <w:szCs w:val="18"/>
              </w:rPr>
              <w:t xml:space="preserve">Uncertain</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97.4%</w:t>
            </w:r>
          </w:p>
        </w:tc>
        <w:tc>
          <w:tcPr>
            <w:tcW w:type="dxa" w:w="1400"/>
          </w:tcPr>
          <w:p>
            <w:r>
              <w:rPr>
                <w:rFonts w:ascii="Calibri" w:cs="Calibri" w:eastAsia="Calibri" w:hAnsi="Calibri"/>
                <w:b w:val="false"/>
                <w:bCs w:val="false"/>
                <w:sz w:val="18"/>
                <w:szCs w:val="18"/>
              </w:rPr>
              <w:t xml:space="preserve">97.4%</w:t>
            </w:r>
          </w:p>
        </w:tc>
      </w:tr>
      <w:tr>
        <w:tc>
          <w:tcPr>
            <w:tcW w:type="dxa" w:w="2600"/>
          </w:tcPr>
          <w:p>
            <w:r>
              <w:rPr>
                <w:rFonts w:ascii="Calibri" w:cs="Calibri" w:eastAsia="Calibri" w:hAnsi="Calibri"/>
                <w:b w:val="false"/>
                <w:bCs w:val="false"/>
                <w:sz w:val="18"/>
                <w:szCs w:val="18"/>
              </w:rPr>
              <w:t xml:space="preserve">Patrologia Latina</w:t>
            </w:r>
          </w:p>
        </w:tc>
        <w:tc>
          <w:tcPr>
            <w:tcW w:type="dxa" w:w="900"/>
          </w:tcPr>
          <w:p>
            <w:r>
              <w:rPr>
                <w:rFonts w:ascii="Calibri" w:cs="Calibri" w:eastAsia="Calibri" w:hAnsi="Calibri"/>
                <w:b w:val="false"/>
                <w:bCs w:val="false"/>
                <w:sz w:val="18"/>
                <w:szCs w:val="18"/>
              </w:rPr>
              <w:t xml:space="preserve">30.7</w:t>
            </w:r>
          </w:p>
        </w:tc>
        <w:tc>
          <w:tcPr>
            <w:tcW w:type="dxa" w:w="2200"/>
          </w:tcPr>
          <w:p>
            <w:r>
              <w:rPr>
                <w:rFonts w:ascii="Calibri" w:cs="Calibri" w:eastAsia="Calibri" w:hAnsi="Calibri"/>
                <w:b w:val="false"/>
                <w:bCs w:val="false"/>
                <w:sz w:val="18"/>
                <w:szCs w:val="18"/>
              </w:rPr>
              <w:t xml:space="preserve">Uncertain</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98.6%</w:t>
            </w:r>
          </w:p>
        </w:tc>
        <w:tc>
          <w:tcPr>
            <w:tcW w:type="dxa" w:w="1400"/>
          </w:tcPr>
          <w:p>
            <w:r>
              <w:rPr>
                <w:rFonts w:ascii="Calibri" w:cs="Calibri" w:eastAsia="Calibri" w:hAnsi="Calibri"/>
                <w:b w:val="false"/>
                <w:bCs w:val="false"/>
                <w:sz w:val="18"/>
                <w:szCs w:val="18"/>
              </w:rPr>
              <w:t xml:space="preserve">98.6%</w:t>
            </w:r>
          </w:p>
        </w:tc>
      </w:tr>
      <w:tr>
        <w:tc>
          <w:tcPr>
            <w:tcW w:type="dxa" w:w="2600"/>
          </w:tcPr>
          <w:p>
            <w:r>
              <w:rPr>
                <w:rFonts w:ascii="Calibri" w:cs="Calibri" w:eastAsia="Calibri" w:hAnsi="Calibri"/>
                <w:b w:val="false"/>
                <w:bCs w:val="false"/>
                <w:sz w:val="18"/>
                <w:szCs w:val="18"/>
              </w:rPr>
              <w:t xml:space="preserve">Anna Komnene, Alexiad</w:t>
            </w:r>
          </w:p>
        </w:tc>
        <w:tc>
          <w:tcPr>
            <w:tcW w:type="dxa" w:w="900"/>
          </w:tcPr>
          <w:p>
            <w:r>
              <w:rPr>
                <w:rFonts w:ascii="Calibri" w:cs="Calibri" w:eastAsia="Calibri" w:hAnsi="Calibri"/>
                <w:b w:val="false"/>
                <w:bCs w:val="false"/>
                <w:sz w:val="18"/>
                <w:szCs w:val="18"/>
              </w:rPr>
              <w:t xml:space="preserve">50.1</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51.5%</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Moby Dick</w:t>
            </w:r>
          </w:p>
        </w:tc>
        <w:tc>
          <w:tcPr>
            <w:tcW w:type="dxa" w:w="900"/>
          </w:tcPr>
          <w:p>
            <w:r>
              <w:rPr>
                <w:rFonts w:ascii="Calibri" w:cs="Calibri" w:eastAsia="Calibri" w:hAnsi="Calibri"/>
                <w:b w:val="false"/>
                <w:bCs w:val="false"/>
                <w:sz w:val="18"/>
                <w:szCs w:val="18"/>
              </w:rPr>
              <w:t xml:space="preserve">55.1</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81.9%</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Arabic (Quran)</w:t>
            </w:r>
          </w:p>
        </w:tc>
        <w:tc>
          <w:tcPr>
            <w:tcW w:type="dxa" w:w="900"/>
          </w:tcPr>
          <w:p>
            <w:r>
              <w:rPr>
                <w:rFonts w:ascii="Calibri" w:cs="Calibri" w:eastAsia="Calibri" w:hAnsi="Calibri"/>
                <w:b w:val="false"/>
                <w:bCs w:val="false"/>
                <w:sz w:val="18"/>
                <w:szCs w:val="18"/>
              </w:rPr>
              <w:t xml:space="preserve">56.5</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88.4%</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Hebrew (Torah)</w:t>
            </w:r>
          </w:p>
        </w:tc>
        <w:tc>
          <w:tcPr>
            <w:tcW w:type="dxa" w:w="900"/>
          </w:tcPr>
          <w:p>
            <w:r>
              <w:rPr>
                <w:rFonts w:ascii="Calibri" w:cs="Calibri" w:eastAsia="Calibri" w:hAnsi="Calibri"/>
                <w:b w:val="false"/>
                <w:bCs w:val="false"/>
                <w:sz w:val="18"/>
                <w:szCs w:val="18"/>
              </w:rPr>
              <w:t xml:space="preserve">58.4</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96.6%</w:t>
            </w:r>
          </w:p>
        </w:tc>
        <w:tc>
          <w:tcPr>
            <w:tcW w:type="dxa" w:w="1400"/>
          </w:tcPr>
          <w:p>
            <w:r>
              <w:rPr>
                <w:rFonts w:ascii="Calibri" w:cs="Calibri" w:eastAsia="Calibri" w:hAnsi="Calibri"/>
                <w:b w:val="false"/>
                <w:bCs w:val="false"/>
                <w:sz w:val="18"/>
                <w:szCs w:val="18"/>
              </w:rPr>
              <w:t xml:space="preserve">100.0%</w:t>
            </w:r>
          </w:p>
        </w:tc>
      </w:tr>
      <w:tr>
        <w:tc>
          <w:tcPr>
            <w:tcW w:type="dxa" w:w="2600"/>
          </w:tcPr>
          <w:p>
            <w:r>
              <w:rPr>
                <w:rFonts w:ascii="Calibri" w:cs="Calibri" w:eastAsia="Calibri" w:hAnsi="Calibri"/>
                <w:b w:val="false"/>
                <w:bCs w:val="false"/>
                <w:sz w:val="18"/>
                <w:szCs w:val="18"/>
              </w:rPr>
              <w:t xml:space="preserve">Hoax</w:t>
            </w:r>
          </w:p>
        </w:tc>
        <w:tc>
          <w:tcPr>
            <w:tcW w:type="dxa" w:w="900"/>
          </w:tcPr>
          <w:p>
            <w:r>
              <w:rPr>
                <w:rFonts w:ascii="Calibri" w:cs="Calibri" w:eastAsia="Calibri" w:hAnsi="Calibri"/>
                <w:b w:val="false"/>
                <w:bCs w:val="false"/>
                <w:sz w:val="18"/>
                <w:szCs w:val="18"/>
              </w:rPr>
              <w:t xml:space="preserve">66.7</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100.0%</w:t>
            </w:r>
          </w:p>
        </w:tc>
        <w:tc>
          <w:tcPr>
            <w:tcW w:type="dxa" w:w="1400"/>
          </w:tcPr>
          <w:p>
            <w:r>
              <w:rPr>
                <w:rFonts w:ascii="Calibri" w:cs="Calibri" w:eastAsia="Calibri" w:hAnsi="Calibri"/>
                <w:b w:val="false"/>
                <w:bCs w:val="false"/>
                <w:sz w:val="18"/>
                <w:szCs w:val="18"/>
              </w:rPr>
              <w:t xml:space="preserve">97.6%</w:t>
            </w:r>
          </w:p>
        </w:tc>
      </w:tr>
      <w:tr>
        <w:tc>
          <w:tcPr>
            <w:tcW w:type="dxa" w:w="2600"/>
          </w:tcPr>
          <w:p>
            <w:r>
              <w:rPr>
                <w:rFonts w:ascii="Calibri" w:cs="Calibri" w:eastAsia="Calibri" w:hAnsi="Calibri"/>
                <w:b w:val="false"/>
                <w:bCs w:val="false"/>
                <w:sz w:val="18"/>
                <w:szCs w:val="18"/>
              </w:rPr>
              <w:t xml:space="preserve">Fully permuted (noise)</w:t>
            </w:r>
          </w:p>
        </w:tc>
        <w:tc>
          <w:tcPr>
            <w:tcW w:type="dxa" w:w="900"/>
          </w:tcPr>
          <w:p>
            <w:r>
              <w:rPr>
                <w:rFonts w:ascii="Calibri" w:cs="Calibri" w:eastAsia="Calibri" w:hAnsi="Calibri"/>
                <w:b w:val="false"/>
                <w:bCs w:val="false"/>
                <w:sz w:val="18"/>
                <w:szCs w:val="18"/>
              </w:rPr>
              <w:t xml:space="preserve">72.0</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99.1%</w:t>
            </w:r>
          </w:p>
        </w:tc>
        <w:tc>
          <w:tcPr>
            <w:tcW w:type="dxa" w:w="1400"/>
          </w:tcPr>
          <w:p>
            <w:r>
              <w:rPr>
                <w:rFonts w:ascii="Calibri" w:cs="Calibri" w:eastAsia="Calibri" w:hAnsi="Calibri"/>
                <w:b w:val="false"/>
                <w:bCs w:val="false"/>
                <w:sz w:val="18"/>
                <w:szCs w:val="18"/>
              </w:rPr>
              <w:t xml:space="preserve">77.9%</w:t>
            </w:r>
          </w:p>
        </w:tc>
      </w:tr>
      <w:tr>
        <w:tc>
          <w:tcPr>
            <w:tcW w:type="dxa" w:w="2600"/>
          </w:tcPr>
          <w:p>
            <w:r>
              <w:rPr>
                <w:rFonts w:ascii="Calibri" w:cs="Calibri" w:eastAsia="Calibri" w:hAnsi="Calibri"/>
                <w:b w:val="false"/>
                <w:bCs w:val="false"/>
                <w:sz w:val="18"/>
                <w:szCs w:val="18"/>
              </w:rPr>
              <w:t xml:space="preserve">Source signal</w:t>
            </w:r>
          </w:p>
        </w:tc>
        <w:tc>
          <w:tcPr>
            <w:tcW w:type="dxa" w:w="900"/>
          </w:tcPr>
          <w:p>
            <w:r>
              <w:rPr>
                <w:rFonts w:ascii="Calibri" w:cs="Calibri" w:eastAsia="Calibri" w:hAnsi="Calibri"/>
                <w:b w:val="false"/>
                <w:bCs w:val="false"/>
                <w:sz w:val="18"/>
                <w:szCs w:val="18"/>
              </w:rPr>
              <w:t xml:space="preserve">62.6</w:t>
            </w:r>
          </w:p>
        </w:tc>
        <w:tc>
          <w:tcPr>
            <w:tcW w:type="dxa" w:w="2200"/>
          </w:tcPr>
          <w:p>
            <w:r>
              <w:rPr>
                <w:rFonts w:ascii="Calibri" w:cs="Calibri" w:eastAsia="Calibri" w:hAnsi="Calibri"/>
                <w:b w:val="false"/>
                <w:bCs w:val="false"/>
                <w:sz w:val="18"/>
                <w:szCs w:val="18"/>
              </w:rPr>
              <w:t xml:space="preserve">Probable artifact</w:t>
            </w:r>
          </w:p>
        </w:tc>
        <w:tc>
          <w:tcPr>
            <w:tcW w:type="dxa" w:w="1600"/>
          </w:tcPr>
          <w:p>
            <w:r>
              <w:rPr>
                <w:rFonts w:ascii="Calibri" w:cs="Calibri" w:eastAsia="Calibri" w:hAnsi="Calibri"/>
                <w:b w:val="false"/>
                <w:bCs w:val="false"/>
                <w:sz w:val="18"/>
                <w:szCs w:val="18"/>
              </w:rPr>
              <w:t xml:space="preserve">Uncertain</w:t>
            </w:r>
          </w:p>
        </w:tc>
        <w:tc>
          <w:tcPr>
            <w:tcW w:type="dxa" w:w="1400"/>
          </w:tcPr>
          <w:p>
            <w:r>
              <w:rPr>
                <w:rFonts w:ascii="Calibri" w:cs="Calibri" w:eastAsia="Calibri" w:hAnsi="Calibri"/>
                <w:b w:val="false"/>
                <w:bCs w:val="false"/>
                <w:sz w:val="18"/>
                <w:szCs w:val="18"/>
              </w:rPr>
              <w:t xml:space="preserve">100.0%</w:t>
            </w:r>
          </w:p>
        </w:tc>
        <w:tc>
          <w:tcPr>
            <w:tcW w:type="dxa" w:w="1400"/>
          </w:tcPr>
          <w:p>
            <w:r>
              <w:rPr>
                <w:rFonts w:ascii="Calibri" w:cs="Calibri" w:eastAsia="Calibri" w:hAnsi="Calibri"/>
                <w:b w:val="false"/>
                <w:bCs w:val="false"/>
                <w:sz w:val="18"/>
                <w:szCs w:val="18"/>
              </w:rPr>
              <w:t xml:space="preserve">100.0%</w:t>
            </w:r>
          </w:p>
        </w:tc>
      </w:tr>
    </w:tbl>
    <w:p>
      <w:pPr>
        <w:spacing w:after="200" w:line="276"/>
        <w:jc w:val="both"/>
      </w:pPr>
      <w:r>
        <w:rPr>
          <w:rFonts w:ascii="Calibri" w:cs="Calibri" w:eastAsia="Calibri" w:hAnsi="Calibri"/>
          <w:b w:val="false"/>
          <w:bCs w:val="false"/>
          <w:i w:val="false"/>
          <w:iCs w:val="false"/>
          <w:sz w:val="22"/>
          <w:szCs w:val="22"/>
        </w:rPr>
        <w:t xml:space="preserve">Across all 5,000 draws, the rank ordering of the fourteen anchors remains highly stable regardless of scale (mean Spearman ρ = 0.979 against the baseline ranking; worst-case draw ρ = 0.925; 5th percentile ρ = 0.956). Instability concentrates almost entirely in zone membership near a threshold, not in relative ordering.</w:t>
      </w:r>
    </w:p>
    <w:p>
      <w:pPr>
        <w:pStyle w:val="Heading2"/>
        <w:spacing w:after="150" w:before="300"/>
      </w:pPr>
      <w:r>
        <w:t xml:space="preserve">6.4 Interpretation</w:t>
      </w:r>
    </w:p>
    <w:p>
      <w:pPr>
        <w:spacing w:after="200" w:line="276"/>
        <w:jc w:val="both"/>
      </w:pPr>
      <w:r>
        <w:rPr>
          <w:rFonts w:ascii="Calibri" w:cs="Calibri" w:eastAsia="Calibri" w:hAnsi="Calibri"/>
          <w:b w:val="false"/>
          <w:bCs w:val="false"/>
          <w:i w:val="false"/>
          <w:iCs w:val="false"/>
          <w:sz w:val="22"/>
          <w:szCs w:val="22"/>
        </w:rPr>
        <w:t xml:space="preserve">The sensitivity analysis converges with, and independently reinforces, the scale revision motivated on distributional grounds in §5. Under the original three-band scale, Anna Komnene — whose baseline APS (50.1) sits almost exactly on the 50-point boundary — changes zone under essentially half of all plausible weight vectors (51.5% stability), and Moby Dick and Arabic are only moderately more stable (81.9% and 88.4%). A classification this sensitive to an unvalidated weighting scheme cannot be treated as a stable certification outcome. Under the revised, merged scale, the same anchors become effectively insensitive to weight choice: all four previously fragile cases reach 100% stability. The one anchor that becomes comparatively less stable under the revised scale — the fully permuted control, at 77.9% — is the pure-noise baseline, whose own APS (72.0) sits close to the new 75-point boundary; some perturbation is expected and arguably desirable for a null control positioned deliberately near the top of the scale. In short: the original scale’s principal weakness was not the component weights themselves, but a threshold (50) that happened to bisect a cluster of anchors whose classification was therefore an artifact of weight choice rather than of the underlying signal. The revised scale removes this fragility without weakening discrimination at the extremes.</w:t>
      </w:r>
    </w:p>
    <w:p>
      <w:pPr>
        <w:pStyle w:val="Heading1"/>
        <w:spacing w:after="200" w:before="400"/>
      </w:pPr>
      <w:r>
        <w:t xml:space="preserve">7. Discussion: Toward a Transferable Certification Standard</w:t>
      </w:r>
    </w:p>
    <w:p>
      <w:pPr>
        <w:pStyle w:val="Heading2"/>
        <w:spacing w:after="150" w:before="300"/>
      </w:pPr>
      <w:r>
        <w:t xml:space="preserve">7.1 What transfers without modification</w:t>
      </w:r>
    </w:p>
    <w:p>
      <w:pPr>
        <w:spacing w:after="200" w:line="276"/>
        <w:jc w:val="both"/>
      </w:pPr>
      <w:r>
        <w:rPr>
          <w:rFonts w:ascii="Calibri" w:cs="Calibri" w:eastAsia="Calibri" w:hAnsi="Calibri"/>
          <w:b w:val="false"/>
          <w:bCs w:val="false"/>
          <w:i w:val="false"/>
          <w:iCs w:val="false"/>
          <w:sz w:val="22"/>
          <w:szCs w:val="22"/>
        </w:rPr>
        <w:t xml:space="preserve">The five-component battery, its weighting, and the two calibrated scales transfer as-is to any domain in which a candidate signal can be reduced to (a) a scalar or categorical measurement per observational unit, and (b) a partition of the corpus into at least two natural, theory-independent subgroups. Nothing in the battery’s logic depends on the material being text, still less on it being gematria-encoded text.</w:t>
      </w:r>
    </w:p>
    <w:p>
      <w:pPr>
        <w:pStyle w:val="Heading2"/>
        <w:spacing w:after="150" w:before="300"/>
      </w:pPr>
      <w:r>
        <w:t xml:space="preserve">7.2 What must be re-validated, not merely re-labeled</w:t>
      </w:r>
    </w:p>
    <w:p>
      <w:pPr>
        <w:spacing w:after="200" w:line="276"/>
        <w:jc w:val="both"/>
      </w:pPr>
      <w:r>
        <w:rPr>
          <w:rFonts w:ascii="Calibri" w:cs="Calibri" w:eastAsia="Calibri" w:hAnsi="Calibri"/>
          <w:b w:val="false"/>
          <w:bCs w:val="false"/>
          <w:i w:val="false"/>
          <w:iCs w:val="false"/>
          <w:sz w:val="22"/>
          <w:szCs w:val="22"/>
        </w:rPr>
        <w:t xml:space="preserve">Generalizing the vocabulary (§2) is not the same operation as generalizing the calibration. The fourteen-anchor scale was calibrated on a specific family of signals: pairwise correlations between two derived numerical quantities within a two-way corpus split. A stylometric attribution signal, a phylogenetic distance between manuscript witnesses, or a melodic-motif recurrence rate is a different statistical object, and there is no a priori guarantee that the same weights, let alone the same 20/75 thresholds, discriminate genuine signal from artifact equally well outside the family of signals on which they were calibrated. Extending APS to a new domain therefore requires, at minimum, a domain-specific analogue of §6: a sensitivity check against a small set of known-null and known-structured anchors from that domain, before the revised scale is trusted there.</w:t>
      </w:r>
    </w:p>
    <w:p>
      <w:pPr>
        <w:pStyle w:val="Heading2"/>
        <w:spacing w:after="150" w:before="300"/>
      </w:pPr>
      <w:r>
        <w:t xml:space="preserve">7.3 Preconditions for applicability</w:t>
      </w:r>
    </w:p>
    <w:p>
      <w:pPr>
        <w:spacing w:after="200" w:line="276"/>
        <w:jc w:val="both"/>
      </w:pPr>
      <w:r>
        <w:rPr>
          <w:rFonts w:ascii="Calibri" w:cs="Calibri" w:eastAsia="Calibri" w:hAnsi="Calibri"/>
          <w:b w:val="false"/>
          <w:bCs w:val="false"/>
          <w:i w:val="false"/>
          <w:iCs w:val="false"/>
          <w:sz w:val="22"/>
          <w:szCs w:val="22"/>
        </w:rPr>
        <w:t xml:space="preserve">Three conditions determine whether a candidate signal is even a candidate for APS certification, independent of domain. A plurality of defensible specifications must exist for component 1: a signal defined under a single, uncontested encoding, with no alternative tokenization, alphabet, or distance metric that a reasonable specialist would accept as equally legitimate, cannot be tested for specification robustness. A natural, theory-independent partition of the corpus must exist for components 2 and 5: a partition invented post hoc to make component 2 computable would reintroduce exactly the forking-paths problem the framework is designed to detect. And the subgroups must be large enough to support the resampling and per-subgroup significance tests underlying components 3 and 5 — the fourteen-anchor calibration used corpora ranging from several hundred to several thousand analytic units per subgroup; APS’s behavior on much smaller corpora is untested and likely to degrade.</w:t>
      </w:r>
    </w:p>
    <w:p>
      <w:pPr>
        <w:pStyle w:val="Heading2"/>
        <w:spacing w:after="150" w:before="300"/>
      </w:pPr>
      <w:r>
        <w:t xml:space="preserve">7.4 What this discussion does not claim</w:t>
      </w:r>
    </w:p>
    <w:p>
      <w:pPr>
        <w:spacing w:after="200" w:line="276"/>
        <w:jc w:val="both"/>
      </w:pPr>
      <w:r>
        <w:rPr>
          <w:rFonts w:ascii="Calibri" w:cs="Calibri" w:eastAsia="Calibri" w:hAnsi="Calibri"/>
          <w:b w:val="false"/>
          <w:bCs w:val="false"/>
          <w:i w:val="false"/>
          <w:iCs w:val="false"/>
          <w:sz w:val="22"/>
          <w:szCs w:val="22"/>
        </w:rPr>
        <w:t xml:space="preserve">No cross-domain application of APS has been run for this paper. §2’s domain-general restatement of the component definitions is a necessary but not sufficient step toward transferability; an illustrative cross-domain instantiation table drafted during preparation of this article was removed precisely because populating it with plausible-sounding examples, absent an actual computation, would have been the same error the framework exists to catch — asserting transferability rather than demonstrating it. What §7 offers is therefore a preconditions checklist and a research agenda: the fourteen-anchor calibration is evidence that APS is not specific to the manuscript that motivated it, not evidence that it is a validated general instrument. That step requires, for each candidate domain, its own §6.</w:t>
      </w:r>
    </w:p>
    <w:p>
      <w:pPr>
        <w:pStyle w:val="Heading1"/>
        <w:spacing w:after="200" w:before="400"/>
      </w:pPr>
      <w:r>
        <w:t xml:space="preserve">8. Conclusion</w:t>
      </w:r>
    </w:p>
    <w:p>
      <w:pPr>
        <w:spacing w:after="200" w:line="276"/>
        <w:jc w:val="both"/>
      </w:pPr>
      <w:r>
        <w:rPr>
          <w:rFonts w:ascii="Calibri" w:cs="Calibri" w:eastAsia="Calibri" w:hAnsi="Calibri"/>
          <w:b w:val="false"/>
          <w:bCs w:val="false"/>
          <w:i w:val="false"/>
          <w:iCs w:val="false"/>
          <w:sz w:val="22"/>
          <w:szCs w:val="22"/>
        </w:rPr>
        <w:t xml:space="preserve">This paper set out to test whether an instrument built to certify one specific signal — a numerically encoded anticorrelation in a single disputed manuscript — could be stated, calibrated, and defended in terms that owe nothing to that manuscript. The domain-general restatement of the five components (§2) shows the instrument’s logic does not depend on gematria, on any particular script, or on text at all. The fourteen-anchor calibration (§3–§5) shows that logic performing consistently across eight languages and four script families, honestly reporting where it fails to discriminate rather than concealing that failure behind an unvalidated threshold. The weight-sensitivity analysis (§6) shows the resulting classification is not an artifact of the instrument’s own arbitrary design choices. None of this demonstrates that the Artifact Probability Score transfers to stylometry, musicology, or genomics — §7 is explicit that no such demonstration has been attempted here, and specifies the preconditions a future application would need to satisfy. The urgency of this task is likely to grow rather than diminish: as agentic pipelines make it cheaper to generate candidate signals than to certify them, extending an instrument of this kind to hypotheses proposed by language models is a natural next step — contingent, like any new signal family, on the domain-specific recalibration §7 specifies as a precondition, and not delivered by the vocabulary generalization of §2 alone. What this paper does establish is narrower and, we think, more useful: a five-component, empirically calibrated procedure that any researcher reporting a computationally detected signal in cultural heritage data can apply to their own finding, obtaining not a verdict but a documented, reproducible account of how much of that finding’s apparent strength survives the specific tests that a growing body of methodological literature — from the Bible-code affair to the current debate over computational literary studies — shows recurrently separate genuine signal from its most common alternative.</w:t>
      </w:r>
    </w:p>
    <w:p>
      <w:pPr>
        <w:pStyle w:val="Heading1"/>
        <w:spacing w:after="200" w:before="400"/>
      </w:pPr>
      <w:r>
        <w:t xml:space="preserve">References (partial — to complete)</w:t>
      </w:r>
    </w:p>
    <w:p>
      <w:pPr>
        <w:spacing w:after="200" w:line="276"/>
        <w:jc w:val="both"/>
      </w:pPr>
      <w:r>
        <w:rPr>
          <w:rFonts w:ascii="Calibri" w:cs="Calibri" w:eastAsia="Calibri" w:hAnsi="Calibri"/>
          <w:b w:val="false"/>
          <w:bCs w:val="false"/>
          <w:i w:val="false"/>
          <w:iCs w:val="false"/>
          <w:sz w:val="22"/>
          <w:szCs w:val="22"/>
        </w:rPr>
        <w:t xml:space="preserve">Da, N. Z. (2019). The Computational Case against Computational Literary Studies. Critical Inquiry, 45(3), 601–639.</w:t>
      </w:r>
    </w:p>
    <w:p>
      <w:pPr>
        <w:spacing w:after="200" w:line="276"/>
        <w:jc w:val="both"/>
      </w:pPr>
      <w:r>
        <w:rPr>
          <w:rFonts w:ascii="Calibri" w:cs="Calibri" w:eastAsia="Calibri" w:hAnsi="Calibri"/>
          <w:b w:val="false"/>
          <w:bCs w:val="false"/>
          <w:i w:val="false"/>
          <w:iCs w:val="false"/>
          <w:sz w:val="22"/>
          <w:szCs w:val="22"/>
        </w:rPr>
        <w:t xml:space="preserve">Gelman, A., &amp; Loken, E. (2013/2014). The garden of forking paths: Why multiple comparisons can be a problem, even when there is no “fishing expedition” or “p-hacking” and the research hypothesis was posited ahead of time. American Scientist, 102(6), 460–466.</w:t>
      </w:r>
    </w:p>
    <w:p>
      <w:pPr>
        <w:spacing w:after="200" w:line="276"/>
        <w:jc w:val="both"/>
      </w:pPr>
      <w:r>
        <w:rPr>
          <w:rFonts w:ascii="Calibri" w:cs="Calibri" w:eastAsia="Calibri" w:hAnsi="Calibri"/>
          <w:b w:val="false"/>
          <w:bCs w:val="false"/>
          <w:i w:val="false"/>
          <w:iCs w:val="false"/>
          <w:sz w:val="22"/>
          <w:szCs w:val="22"/>
        </w:rPr>
        <w:t xml:space="preserve">Ioannidis, J. P. A. (2005). Why most published research findings are false. PLoS Medicine, 2(8), e124.</w:t>
      </w:r>
    </w:p>
    <w:p>
      <w:pPr>
        <w:spacing w:after="200" w:line="276"/>
        <w:jc w:val="both"/>
      </w:pPr>
      <w:r>
        <w:rPr>
          <w:rFonts w:ascii="Calibri" w:cs="Calibri" w:eastAsia="Calibri" w:hAnsi="Calibri"/>
          <w:b w:val="false"/>
          <w:bCs w:val="false"/>
          <w:i w:val="false"/>
          <w:iCs w:val="false"/>
          <w:sz w:val="22"/>
          <w:szCs w:val="22"/>
        </w:rPr>
        <w:t xml:space="preserve">McKay, B., Bar-Natan, D., Bar-Hillel, M., &amp; Kalai, G. (1999). Solving the Bible Code Puzzle. Statistical Science, 14(2), 150–173.</w:t>
      </w:r>
    </w:p>
    <w:p>
      <w:pPr>
        <w:spacing w:after="200" w:line="276"/>
        <w:jc w:val="both"/>
      </w:pPr>
      <w:r>
        <w:rPr>
          <w:rFonts w:ascii="Calibri" w:cs="Calibri" w:eastAsia="Calibri" w:hAnsi="Calibri"/>
          <w:b w:val="false"/>
          <w:bCs w:val="false"/>
          <w:i w:val="false"/>
          <w:iCs w:val="false"/>
          <w:sz w:val="22"/>
          <w:szCs w:val="22"/>
        </w:rPr>
        <w:t xml:space="preserve">Witztum, D., Rips, E., &amp; Rosenberg, Y. (1994). Equidistant letter sequences in the Book of Genesis. Statistical Science, 9(3), 429–438.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2026-07-25T07:29:37.125Z</dcterms:created>
  <dcterms:modified xsi:type="dcterms:W3CDTF">2026-07-25T07:29:37.137Z</dcterms:modified>
</cp:coreProperties>
</file>

<file path=docProps/custom.xml><?xml version="1.0" encoding="utf-8"?>
<Properties xmlns="http://schemas.openxmlformats.org/officeDocument/2006/custom-properties" xmlns:vt="http://schemas.openxmlformats.org/officeDocument/2006/docPropsVTypes"/>
</file>