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</w:p>
    <w:p>
      <w:pPr>
        <w:spacing w:after="60" w:before="0"/>
        <w:jc w:val="center"/>
      </w:pPr>
      <w:r>
        <w:rPr>
          <w:rFonts w:ascii="Cambria" w:cs="Cambria" w:eastAsia="Cambria" w:hAnsi="Cambria"/>
          <w:b/>
          <w:bCs/>
          <w:color w:val="1F4E79"/>
          <w:sz w:val="22"/>
          <w:szCs w:val="22"/>
        </w:rPr>
        <w:t xml:space="preserve">CARTE DE COHÉRENCE</w:t>
      </w:r>
      <w:r>
        <w:rPr>
          <w:rFonts w:ascii="Cambria" w:cs="Cambria" w:eastAsia="Cambria" w:hAnsi="Cambria"/>
          <w:sz w:val="72"/>
          <w:szCs w:val="72"/>
        </w:rPr>
        <w:t xml:space="preserve"> </w:t>
      </w:r>
    </w:p>
    <w:p>
      <w:pPr>
        <w:spacing w:after="40" w:before="0"/>
        <w:jc w:val="center"/>
      </w:pPr>
      <w:r>
        <w:rPr>
          <w:rFonts w:ascii="Cambria" w:cs="Cambria" w:eastAsia="Cambria" w:hAnsi="Cambria"/>
          <w:b/>
          <w:bCs/>
          <w:color w:val="1F4E79"/>
          <w:sz w:val="52"/>
          <w:szCs w:val="52"/>
        </w:rPr>
        <w:t xml:space="preserve">SAVEC v3.1  ×  EAIFCH 2.0</w:t>
      </w:r>
    </w:p>
    <w:p>
      <w:pPr>
        <w:pBdr>
          <w:bottom w:val="single" w:color="2E75B6" w:sz="8" w:space="1"/>
        </w:pBdr>
        <w:spacing w:after="160" w:before="160"/>
      </w:pPr>
    </w:p>
    <w:p>
      <w:pPr>
        <w:spacing w:after="80" w:before="60"/>
      </w:pPr>
    </w:p>
    <w:p>
      <w:pPr>
        <w:spacing w:after="50" w:before="0"/>
        <w:jc w:val="center"/>
      </w:pPr>
      <w:r>
        <w:rPr>
          <w:rFonts w:ascii="Cambria" w:cs="Cambria" w:eastAsia="Cambria" w:hAnsi="Cambria"/>
          <w:i/>
          <w:iCs/>
          <w:color w:val="1F6B75"/>
          <w:sz w:val="22"/>
          <w:szCs w:val="22"/>
        </w:rPr>
        <w:t xml:space="preserve">Architecture unifiée — qui fait quoi, où, et dans quel ordre</w:t>
      </w:r>
      <w:r>
        <w:rPr>
          <w:rFonts w:ascii="Cambria" w:cs="Cambria" w:eastAsia="Cambria" w:hAnsi="Cambria"/>
          <w:sz w:val="26"/>
          <w:szCs w:val="26"/>
        </w:rPr>
        <w:t xml:space="preserve"> </w:t>
      </w:r>
    </w:p>
    <w:p>
      <w:pPr>
        <w:spacing w:after="40" w:before="0"/>
        <w:jc w:val="center"/>
      </w:pPr>
      <w:r>
        <w:rPr>
          <w:rFonts w:ascii="Cambria" w:cs="Cambria" w:eastAsia="Cambria" w:hAnsi="Cambria"/>
          <w:color w:val="404040"/>
          <w:sz w:val="20"/>
          <w:szCs w:val="20"/>
        </w:rPr>
        <w:t xml:space="preserve">Ahmed Benseddik  |  ORCID : 0009-0005-6308-8171</w:t>
      </w:r>
    </w:p>
    <w:p>
      <w:pPr>
        <w:spacing w:after="40" w:before="0"/>
        <w:jc w:val="center"/>
      </w:pPr>
      <w:r>
        <w:rPr>
          <w:rFonts w:ascii="Cambria" w:cs="Cambria" w:eastAsia="Cambria" w:hAnsi="Cambria"/>
          <w:color w:val="2E75B6"/>
          <w:sz w:val="20"/>
          <w:szCs w:val="20"/>
        </w:rPr>
        <w:t xml:space="preserve">DOI : 10.17605/OSF.IO/Y8VBU  |  Mai 2026</w:t>
      </w: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LÉGENDE DES STATUTS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  <w:shd w:fill="E2EFDA" w:val="clear"/>
              </w:rPr>
              <w:t xml:space="preserve"> IMPLÉMENTÉ 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 Code existant et fonctionnel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4F00"/>
                <w:sz w:val="18"/>
                <w:szCs w:val="18"/>
                <w:shd w:fill="FFF2CC" w:val="clear"/>
              </w:rPr>
              <w:t xml:space="preserve"> PARTIEL 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 Code partiel ou stub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  <w:shd w:fill="D9E8F5" w:val="clear"/>
              </w:rPr>
              <w:t xml:space="preserve"> SPEC SEULEMENT 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 Spécification seule, pas de code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 À VENIR 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 Prévu, non démarré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4E79"/>
          <w:sz w:val="34"/>
          <w:szCs w:val="34"/>
        </w:rPr>
        <w:t xml:space="preserve">1. Vue d'ensemble : deux fichiers, une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4"/>
              <w:bottom w:val="single" w:color="2E75B6" w:sz="4"/>
              <w:right w:val="single" w:color="2E75B6" w:sz="4"/>
            </w:tcBorders>
            <w:shd w:fill="D9E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ℹ  Principe fondateur</w:t>
            </w:r>
          </w:p>
          <w:p>
            <w:pPr>
              <w:spacing w:after="80" w:before="80"/>
              <w:jc w:val="both"/>
            </w:pP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SAVEC v3.1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est la </w:t>
            </w: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fondation épistémique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: il valide (Layer 1) et gouverne (Layer 2). </w:t>
            </w: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EAIFCH 2.0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est la </w:t>
            </w: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superstructure communautaire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: il co-crée avec les communautés (Module 0) et contrôle l'IA (Module 7). L'un ne remplace pas l'autre — l'un appelle l'autre.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2E75B6"/>
          <w:sz w:val="26"/>
          <w:szCs w:val="26"/>
        </w:rPr>
        <w:t xml:space="preserve">1.1 Relation entre les deux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780"/>
        <w:gridCol w:w="17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Rôle architectural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Dépend de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Est appelé par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savec_integration_engine_v31.py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Fondation : Layer 1 (stats) + Layer 2 (gouvernance)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numpy, scipy (externes)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eaifch_v2.py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 via 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import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eaifch_v2.py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Extension : Module 0 (taxonomie) + Module 7 (IA)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savec_integration_engine_v31.py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(obligatoire)</w:t>
            </w:r>
          </w:p>
        </w:tc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Rien — c'est le point d'entrée du projet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2E75B6"/>
          <w:sz w:val="26"/>
          <w:szCs w:val="26"/>
        </w:rPr>
        <w:t xml:space="preserve">1.2 Ordre de lecture recommandé</w:t>
      </w:r>
    </w:p>
    <w:p>
      <w:pPr>
        <w:spacing w:after="80" w:before="80"/>
        <w:jc w:val="both"/>
      </w:pPr>
      <w:r>
        <w:rPr>
          <w:rFonts w:ascii="Cambria" w:cs="Cambria" w:eastAsia="Cambria" w:hAnsi="Cambria"/>
          <w:color w:val="404040"/>
          <w:sz w:val="22"/>
          <w:szCs w:val="22"/>
        </w:rPr>
        <w:t xml:space="preserve">Pour comprendre l'architecture dans le bon ordre :</w:t>
      </w:r>
    </w:p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mbria" w:cs="Cambria" w:eastAsia="Cambria" w:hAnsi="Cambria"/>
          <w:b/>
          <w:bCs/>
          <w:color w:val="1F4E79"/>
          <w:sz w:val="22"/>
          <w:szCs w:val="22"/>
        </w:rPr>
        <w:t xml:space="preserve">SAVEC v3.1 — Layer 1 :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LogBayesFactor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VectorisedSensitivity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HolmBonferroni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→ valide un pattern.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mbria" w:cs="Cambria" w:eastAsia="Cambria" w:hAnsi="Cambria"/>
          <w:b/>
          <w:bCs/>
          <w:color w:val="1F4E79"/>
          <w:sz w:val="22"/>
          <w:szCs w:val="22"/>
        </w:rPr>
        <w:t xml:space="preserve">SAVEC v3.1 — Layer 2 :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GovernanceResolver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ContextualRVI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EpistemicBridgeResult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→ gouverne l'accès.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mbria" w:cs="Cambria" w:eastAsia="Cambria" w:hAnsi="Cambria"/>
          <w:b/>
          <w:bCs/>
          <w:color w:val="1F4E79"/>
          <w:sz w:val="22"/>
          <w:szCs w:val="22"/>
        </w:rPr>
        <w:t xml:space="preserve">EAIFCH 2.0 — Module 0 :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TaxonomyRegistry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CommunityFork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BooleanOverrideRule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ConflictResolver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→ gère les règles.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mbria" w:cs="Cambria" w:eastAsia="Cambria" w:hAnsi="Cambria"/>
          <w:b/>
          <w:bCs/>
          <w:color w:val="1F4E79"/>
          <w:sz w:val="22"/>
          <w:szCs w:val="22"/>
        </w:rPr>
        <w:t xml:space="preserve">EAIFCH 2.0 — Module 7 :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AIBsandbox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LLMOutputValidator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SparkingSessionRecord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→ contrôle l'IA.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2E75B6"/>
          <w:sz w:val="26"/>
          <w:szCs w:val="26"/>
        </w:rPr>
        <w:t xml:space="preserve">1.3 Interfaces exactes entre les deux fichiers</w:t>
      </w:r>
    </w:p>
    <w:p>
      <w:pPr>
        <w:spacing w:after="80" w:before="80"/>
        <w:jc w:val="both"/>
      </w:pPr>
      <w:r>
        <w:rPr>
          <w:rFonts w:ascii="Cambria" w:cs="Cambria" w:eastAsia="Cambria" w:hAnsi="Cambria"/>
          <w:color w:val="404040"/>
          <w:sz w:val="22"/>
          <w:szCs w:val="22"/>
        </w:rPr>
        <w:t xml:space="preserve">EAIFCH 2.0 importe exactement ces éléments de SAVEC v3.1 :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Élément importé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Utilisé dans EAIFCH 2.0 pour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AccessLevel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IntEnum (5 valeurs)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Hiérarchie de restriction (PUBLIC → SACRED_SECRET)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GovernanceProtocol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dataclass frozen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Protocole de base enveloppé dans GovernanceProtocolRecord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GovernanceConflictError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Exception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Hard Block dans ConflictResolver et GovernanceProtocolRecord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GovernanceResolver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Classe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Utilisé indirectement via GovernanceProtocolRecord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EpistemicBridgeResult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dataclass frozen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Hand-off Layer 1 → Layer 2 (disponible mais non encore appelé dans Module 0)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resolve_layer1_to_layer2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Fonction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Point d'entrée du bridge (disponible, non encore intégré dans Module 0)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Layer1Result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dataclass frozen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Type du résultat Layer 1 (utilisé dans les stubs)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DEFAULT_RVI_THRESHOLD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float (0.01)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Valeur de base pour ContextualRVI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__version__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str ('3.1.0')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Traçabilité dans les audit trails et logs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4E79"/>
          <w:sz w:val="34"/>
          <w:szCs w:val="34"/>
        </w:rPr>
        <w:t xml:space="preserve">2. Carte module par module</w:t>
      </w:r>
    </w:p>
    <w:p>
      <w:pPr>
        <w:spacing w:after="80" w:before="80"/>
        <w:jc w:val="both"/>
      </w:pPr>
      <w:r>
        <w:rPr>
          <w:rFonts w:ascii="Cambria" w:cs="Cambria" w:eastAsia="Cambria" w:hAnsi="Cambria"/>
          <w:color w:val="404040"/>
          <w:sz w:val="22"/>
          <w:szCs w:val="22"/>
        </w:rPr>
        <w:t xml:space="preserve">La spécification EAIFCH 2.0 définit 9 modules (M0 à M8). Ce tableau montre l'état exact de chaque module dans le code actuel.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00"/>
        <w:gridCol w:w="1620"/>
        <w:gridCol w:w="1440"/>
        <w:gridCol w:w="3660"/>
      </w:tblGrid>
      <w:tr>
        <w:trPr>
          <w:tblHeader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Dans quel fichier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Classes / fonctions clés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Governance &amp; Taxonomy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eaifch_v2.py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  <w:shd w:fill="E2EFDA" w:val="clear"/>
              </w:rPr>
              <w:t xml:space="preserve"> IMPLÉMENTÉ 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TaxonomyVersion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TaxonomyRegistry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CommunityFork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BooleanOverrideRule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ConflictResolver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GovernanceProtocolRecord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Sensitivity Classification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  <w:shd w:fill="D9E8F5" w:val="clear"/>
              </w:rPr>
              <w:t xml:space="preserve"> SPEC SEULEMENT 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Spécifié (scoring additif + BooleanOverrideRule integration). À coder.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Community Authority &amp; CARE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savec_v31.py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4F00"/>
                <w:sz w:val="18"/>
                <w:szCs w:val="18"/>
                <w:shd w:fill="FFF2CC" w:val="clear"/>
              </w:rPr>
              <w:t xml:space="preserve"> PARTIEL 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GovernanceResolver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AccessLevel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GovernanceProtocol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— sunset lifecycle dans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eaifch_v2.py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Access Differentiation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savec_v31.py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4F00"/>
                <w:sz w:val="18"/>
                <w:szCs w:val="18"/>
                <w:shd w:fill="FFF2CC" w:val="clear"/>
              </w:rPr>
              <w:t xml:space="preserve"> PARTIEL 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AccessLevel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(5 niveaux). Export différencié (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can_export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) partiel. M3 complet non codé.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Provenance &amp; Consent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  <w:shd w:fill="D9E8F5" w:val="clear"/>
              </w:rPr>
              <w:t xml:space="preserve"> SPEC SEULEMENT 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Spécifié. ConsentEvent, withdrawal → notification M8. À coder.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Pattern Validation (corpus)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savec_v31.py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4F00"/>
                <w:sz w:val="18"/>
                <w:szCs w:val="18"/>
                <w:shd w:fill="FFF2CC" w:val="clear"/>
              </w:rPr>
              <w:t xml:space="preserve"> PARTIEL 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LogBayesFactor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VectorisedSensitivity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HolmBonferroni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. Permutation testing : module companion séparé.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Sustainability &amp; RVI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savec_v31.py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4F00"/>
                <w:sz w:val="18"/>
                <w:szCs w:val="18"/>
                <w:shd w:fill="FFF2CC" w:val="clear"/>
              </w:rPr>
              <w:t xml:space="preserve"> PARTIEL 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RVICalculator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ContextualRVI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DynamicTDP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WaterIntensityProvider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. Scope 3 et dashboard temps réel : à coder.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AI Oversight &amp; HITL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eaifch_v2.py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  <w:shd w:fill="E2EFDA" w:val="clear"/>
              </w:rPr>
              <w:t xml:space="preserve"> IMPLÉMENTÉ 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AIBsandbox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ConstitutionalRule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(CR1-5),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LLMOutputValidator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LLMAdapter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SparkingSessionRecord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AIRefusalRecord</w:t>
            </w:r>
          </w:p>
        </w:tc>
      </w:tr>
      <w:tr>
        <w:trPr>
          <w:tblHeader w:val="false"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Impact Monitoring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 À VENIR 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Métriques env. (Scope 3), sociales, culturelles. Dashboard. À coder.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thick" w:color="BFBFBF" w:sz="14"/>
              <w:bottom w:val="single" w:color="BFBFBF" w:sz="4"/>
              <w:right w:val="single" w:color="BFBFBF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ambria" w:cs="Cambria" w:eastAsia="Cambria" w:hAnsi="Cambria"/>
                <w:b/>
                <w:bCs/>
                <w:color w:val="404040"/>
                <w:sz w:val="22"/>
                <w:szCs w:val="22"/>
              </w:rPr>
              <w:t xml:space="preserve">→  Raccourci lecture</w:t>
            </w:r>
          </w:p>
          <w:p>
            <w:pPr>
              <w:spacing w:after="80" w:before="80"/>
              <w:jc w:val="both"/>
            </w:pP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Pour trouver rapidement une classe : </w:t>
            </w: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Layer 1 / Layer 2 / M2 / M3 / M5 / M6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savec_integration_engine_v31.py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  |   </w:t>
            </w: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M0 / M7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eaifch_v2.py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  |   </w:t>
            </w: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M1 / M4 / M8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→ non encore codé.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4E79"/>
          <w:sz w:val="34"/>
          <w:szCs w:val="34"/>
        </w:rPr>
        <w:t xml:space="preserve">3. Flux de données : comment les modules se parlent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2E75B6"/>
          <w:sz w:val="26"/>
          <w:szCs w:val="26"/>
        </w:rPr>
        <w:t xml:space="preserve">3.1 Pipeline complet — du corpus à la décision de gouvernance</w:t>
      </w:r>
    </w:p>
    <w:p>
      <w:pPr>
        <w:spacing w:after="80" w:before="80"/>
        <w:jc w:val="both"/>
      </w:pPr>
      <w:r>
        <w:rPr>
          <w:rFonts w:ascii="Cambria" w:cs="Cambria" w:eastAsia="Cambria" w:hAnsi="Cambria"/>
          <w:color w:val="404040"/>
          <w:sz w:val="22"/>
          <w:szCs w:val="22"/>
        </w:rPr>
        <w:t xml:space="preserve">Voici le chemin qu'emprunte un objet patrimonial dans l'architecture complète. Chaque flèche correspond à une interface de code.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2160"/>
        <w:gridCol w:w="2160"/>
        <w:gridCol w:w="19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Entrée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Sortie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① Validation statistique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M5 → M1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Valeurs numériques (gématria, corpus)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Layer1Result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(BF, CV, RVI, epistemic_category)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savec_v31.py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② Classification de sensibilité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Layer1Result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+ indicateurs actifs + CommunityFork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SensitivityScore + AccessLevel + epistemic_basis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À coder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③ Règles booléennes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M0 → M1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AccessLevel calculé + indicateurs actifs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AccessLevel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final (≥ calculé) + triggered_rules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eaifch_v2.py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CommunityFork.apply_overrides()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④ Gouvernance communautaire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M2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GovernanceProtocol[]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des autorités concernées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GovernanceProtocol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résolu (max/all/any) + audit SHA-256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savec_v31.py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GovernanceResolver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⑤ Lifecycle du protocole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M2 étendu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GovernanceProtocol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+ sunset_date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GovernanceProtocolRecord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(ACTIVE / PENDING / EXPIRED / PERMANENT)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eaifch_v2.py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create_protocol_record()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⑥ Bridge Layer1 → Layer2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M2 + M6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Layer1Result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GovernanceProtocol[]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+ AccessLevel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EpistemicBridgeResult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(combined_confidence, rvi_eval, epistemic_note)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savec_v31.py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resolve_layer1_to_layer2()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⑦ Contrôle de l'IA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Prompt + task_type + context (AccessLevel, sensitivity)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LLMOutputRecord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(pending → confirmed) ou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AIRefusalRecord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eaifch_v2.py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AIBsandbox.execute_task()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⑧ Accès différencié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GovernanceProtocolRecord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+ AccessLevel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AccessDecision (PUBLIC / INSTITUTIONAL / COMMUNITY / BLOCKED)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À coder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⑨ Monitoring d'impact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Tous les événements (RVI, ConsentEvent, RefusalRecord…)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ImpactReport (env + social + culturel) → M0 (mise à jour priors)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À coder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2E75B6"/>
          <w:sz w:val="26"/>
          <w:szCs w:val="26"/>
        </w:rPr>
        <w:t xml:space="preserve">3.2 Règle de priorité des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F00" w:sz="4"/>
              <w:left w:val="thick" w:color="7F4F00" w:sz="14"/>
              <w:bottom w:val="single" w:color="7F4F00" w:sz="4"/>
              <w:right w:val="single" w:color="7F4F00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ambria" w:cs="Cambria" w:eastAsia="Cambria" w:hAnsi="Cambria"/>
                <w:b/>
                <w:bCs/>
                <w:color w:val="7F4F00"/>
                <w:sz w:val="22"/>
                <w:szCs w:val="22"/>
              </w:rPr>
              <w:t xml:space="preserve">⚠  Contrainte architecturale inviolable</w:t>
            </w:r>
          </w:p>
          <w:p>
            <w:pPr>
              <w:spacing w:after="80" w:before="80"/>
              <w:jc w:val="both"/>
            </w:pP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Un output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ai_generated_unvalidated</w:t>
            </w: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 ne peut jamais atteindre M2.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C'est la seule contrainte inter-modules qui bloque le pipeline complet. Toutes les autres interfaces sont des transmissions de données — celle-ci est un verrou architectural.</w:t>
            </w:r>
          </w:p>
          <w:p>
            <w:pPr>
              <w:spacing w:after="80" w:before="40"/>
            </w:pPr>
          </w:p>
          <w:p>
            <w:pPr>
              <w:spacing w:after="80" w:before="80"/>
              <w:jc w:val="both"/>
            </w:pP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Vérification rapide :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LLMOutputRecord.can_feed_layer2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True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seulement si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validation_status == 'human_confirmed'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. Sinon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False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et le pipeline s'arrête.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4E79"/>
          <w:sz w:val="34"/>
          <w:szCs w:val="34"/>
        </w:rPr>
        <w:t xml:space="preserve">4. Guide de lecture du code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2E75B6"/>
          <w:sz w:val="26"/>
          <w:szCs w:val="26"/>
        </w:rPr>
        <w:t xml:space="preserve">4.1 savec_integration_engine_v31.py — structure interne</w:t>
      </w:r>
    </w:p>
    <w:p>
      <w:pPr>
        <w:spacing w:after="80" w:before="80"/>
        <w:jc w:val="both"/>
      </w:pPr>
      <w:r>
        <w:rPr>
          <w:rFonts w:ascii="Cambria" w:cs="Cambria" w:eastAsia="Cambria" w:hAnsi="Cambria"/>
          <w:color w:val="404040"/>
          <w:sz w:val="22"/>
          <w:szCs w:val="22"/>
        </w:rPr>
        <w:t xml:space="preserve">Le fichier est organisé en 8 sections. Voici où trouver chaque composant :</w:t>
      </w:r>
    </w:p>
    <w:p>
      <w:pPr>
        <w:spacing w:after="8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80"/>
        <w:gridCol w:w="32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Ce qu'elle contient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Quand l'ouvrir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Métadonnées (lignes 1–160)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Changelog v1→v3.1, SCRIPT_METADATA, __version__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vérifier la version ou citer le fichier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Constants (lignes 160–230)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Seuils BF, alpha, CV, RVI, divisors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ajuster les paramètres statistiques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Layer1Result (lignes 230–370)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Dataclass frozen — tous les champs du résultat Layer 1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comprendre ce que validate() produit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LogBayesFactor (lignes 370–470)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Savage-Dickey log-scale — évite overflow n&gt;1000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Si un BF semble incorrect ou infini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VectorisedSensitivity (lignes 470–560)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Jackknife matriciel NumPy — 50-100x speedup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comprendre le CV ou le modifier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HolmBonferroni (lignes 560–650)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Step-down — plus puissant que Bonferroni classique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validate_multiple() ou analyses multi-tests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DynamicTDP + WaterIntensity (lignes 650–850)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Hardware detection + géolocalisation eau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Si RVI semble incohérent avec la machine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RVICalculator (lignes 850–980)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ΔCertainty = max(log_bf,0)/10 + CodeCarbon fallback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modifier le calcul RVI ou ajouter Scope 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Layer1Validator (lignes 980–1200)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validate() + validate_multiple() — API principale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Point d'entrée normal pour toute validation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AccessLevel → EpistemicBridge (lignes 1200–1750)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Layer 2 complet : GovernanceResolver, ContextualRVI, EpistemicBridgeResult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comprendre la gouvernance et le bridge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main() (lignes 1750–2330)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8 demos numérotées — chaque composant démontré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comprendre rapidement un composant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2E75B6"/>
          <w:sz w:val="26"/>
          <w:szCs w:val="26"/>
        </w:rPr>
        <w:t xml:space="preserve">4.2 eaifch_v2.py — structure interne</w:t>
      </w:r>
    </w:p>
    <w:p>
      <w:pPr>
        <w:spacing w:after="8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00"/>
        <w:gridCol w:w="324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Ce qu'elle contient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Quand l'ouvrir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Métadonnées (lignes 1–140)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MODULE_METADATA, __version__, changelog v1→v2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vérifier la version ou le statut 'Prototype'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Import SAVEC (lignes 140–220)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Import de 9 éléments SAVEC + stubs si absent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Si ImportError — vérifier que savec_v31.py est là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Constants (lignes 220–290)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Sunset defaults, confidence_discount, tâches M7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ajuster les durées ou les listes de tâches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M0 — TaxonomyVersion + Registry (lignes 290–520)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Versionnement sémantique + migration report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comprendre le versionnement taxonomique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M0 — BooleanOverrideRule (lignes 520–590)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Règle booléenne upward-only + audit_entry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ajouter ou modifier une règle communautaire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M0 — CommunityFork (lignes 590–730)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Fork + sign() + is_active() + apply_overrides()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Point d'entrée normal pour la taxonomie communautaire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M0 — Lifecycle (lignes 730–1000)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5 états + check_and_update + renew + declare_permanent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comprendre le mécanisme de sunset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M0 — ConflictResolver (lignes 1000–1120)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3 niveaux : AUTOMATIC / MEDIATION / ESCALATION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comprendre la résolution de conflits inter-communautés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M7 — ConstitutionalRules (lignes 1120–1280)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CR-1 à CR-5 + CONSTITUTIONAL_RULES list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modifier ou ajouter une règle constitutionnelle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M7 — Structures (lignes 1280–1520)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AIRefusalRecord, LLMOutputRecord, SparkingSessionRecord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comprendre les types de sortie du sandbox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M7 — LLMAdapter + Mock (lignes 1520–1600)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Interface abstraite + implémentation de test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connecter un vrai LLM (implémenter LLMAdapter)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M7 — AIBsandbox (lignes 1600–1820)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execute_task() + start_sparring_session() + stats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Point d'entrée normal pour tout usage LLM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main() (lignes 1820–2001)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7 demos numérotées — M0 et M7 complets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Pour vérifier que tout fonctionne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4E79"/>
          <w:sz w:val="34"/>
          <w:szCs w:val="34"/>
        </w:rPr>
        <w:t xml:space="preserve">5. Gaps identifiés et prochaines étapes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2E75B6"/>
          <w:sz w:val="26"/>
          <w:szCs w:val="26"/>
        </w:rPr>
        <w:t xml:space="preserve">5.1 Ce qui manque pour une architecture complète</w:t>
      </w:r>
    </w:p>
    <w:p>
      <w:pPr>
        <w:spacing w:after="80" w:before="80"/>
        <w:jc w:val="both"/>
      </w:pPr>
      <w:r>
        <w:rPr>
          <w:rFonts w:ascii="Cambria" w:cs="Cambria" w:eastAsia="Cambria" w:hAnsi="Cambria"/>
          <w:color w:val="404040"/>
          <w:sz w:val="22"/>
          <w:szCs w:val="22"/>
        </w:rPr>
        <w:t xml:space="preserve">Trois gaps architecturaux principaux entre la spécification et le code actuel :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20"/>
        <w:gridCol w:w="1620"/>
        <w:gridCol w:w="162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Effort estimé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Module 1 non codé (scoring additif + BooleanOverrideRule integration)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Sans M1, le pipeline ① → ② → ③ est incomplet. apply_overrides() existe mais n'est pas appelé par un vrai scorer.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Moyen (1 classe + tests)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C00000"/>
                <w:sz w:val="22"/>
                <w:szCs w:val="22"/>
              </w:rPr>
              <w:t xml:space="preserve">HAUTE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Bridge Layer1→Layer2 non intégré dans M0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resolve_layer1_to_layer2() et EpistemicBridgeResult existent dans SAVEC v3.1 mais ne sont pas appelés depuis eaifch_v2.py. Le pipeline ⑥ est disponible mais déconnecté.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Faible (connexion de 2 fonctions existantes)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C00000"/>
                <w:sz w:val="22"/>
                <w:szCs w:val="22"/>
              </w:rPr>
              <w:t xml:space="preserve">HAUTE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Module 8 absent (Impact Monitoring)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Les métriques sociales et culturelles ne sont pas collectées. M8 est observateur — son absence ne bloque pas le pipeline mais rend le système aveugle à son propre impact.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Élevé (nouveau module complet)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7F4F00"/>
                <w:sz w:val="22"/>
                <w:szCs w:val="22"/>
              </w:rPr>
              <w:t xml:space="preserve">MOYENNE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Module 4 absent (Consent Lifecycle)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ConsentEvent et withdrawal notification non codés. Impact sur le lien M4 → M8.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Moyen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7F4F00"/>
                <w:sz w:val="22"/>
                <w:szCs w:val="22"/>
              </w:rPr>
              <w:t xml:space="preserve">MOYENNE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LLMAdapter réel non implémenté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MockLLMAdapter fonctionne pour les demos. Pour un usage réel, il faut implémenter LLMAdapter pour l'API Anthropic ou autre.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Faible (interface définie, juste l'appel API)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E75B6"/>
                <w:sz w:val="22"/>
                <w:szCs w:val="22"/>
              </w:rPr>
              <w:t xml:space="preserve">FAIBLE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2E75B6"/>
          <w:sz w:val="26"/>
          <w:szCs w:val="26"/>
        </w:rPr>
        <w:t xml:space="preserve">5.2 Ordre recommandé pour combler les gaps</w:t>
      </w:r>
    </w:p>
    <w:p>
      <w:pPr>
        <w:spacing w:after="80" w:before="4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mbria" w:cs="Cambria" w:eastAsia="Cambria" w:hAnsi="Cambria"/>
          <w:b/>
          <w:bCs/>
          <w:color w:val="C00000"/>
          <w:sz w:val="22"/>
          <w:szCs w:val="22"/>
        </w:rPr>
        <w:t xml:space="preserve">Connecter le bridge Layer1 → Layer2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: dans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eaifch_v2.py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appeler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resolve_layer1_to_layer2()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depuis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GovernanceProtocolRecord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ou un nouveau pipeline orchestrateur. C'est la connexion la plus rapide et la plus impactante — tout est déjà codé.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mbria" w:cs="Cambria" w:eastAsia="Cambria" w:hAnsi="Cambria"/>
          <w:b/>
          <w:bCs/>
          <w:color w:val="C00000"/>
          <w:sz w:val="22"/>
          <w:szCs w:val="22"/>
        </w:rPr>
        <w:t xml:space="preserve">Coder Module 1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: une classe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SensitivityScorer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qui prend les indicateurs actifs, applique les poids du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CommunityFork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actif, appelle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apply_overrides()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, et retourne un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SensitivityResult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avec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AccessLevel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epistemic_basis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mbria" w:cs="Cambria" w:eastAsia="Cambria" w:hAnsi="Cambria"/>
          <w:b/>
          <w:bCs/>
          <w:color w:val="7F4F00"/>
          <w:sz w:val="22"/>
          <w:szCs w:val="22"/>
        </w:rPr>
        <w:t xml:space="preserve">Coder Module 4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ConsentRecord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WithdrawalEvent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+ notification downstream. Se connecte à M2 (lifecycle) et M8.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mbria" w:cs="Cambria" w:eastAsia="Cambria" w:hAnsi="Cambria"/>
          <w:b/>
          <w:bCs/>
          <w:color w:val="7F4F00"/>
          <w:sz w:val="22"/>
          <w:szCs w:val="22"/>
        </w:rPr>
        <w:t xml:space="preserve">Coder Module 8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: observateur passif. Collecte les événements de tous les modules et produit </w:t>
      </w: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ImpactReport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. Commence par les métriques environnementales (déjà dans SAVEC v3.1) puis sociales.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mbria" w:cs="Cambria" w:eastAsia="Cambria" w:hAnsi="Cambria"/>
          <w:b/>
          <w:bCs/>
          <w:color w:val="2E75B6"/>
          <w:sz w:val="22"/>
          <w:szCs w:val="22"/>
        </w:rPr>
        <w:t xml:space="preserve">Implémenter un vrai LLMAdapter</w:t>
      </w:r>
      <w:r>
        <w:rPr>
          <w:rFonts w:ascii="Cambria" w:cs="Cambria" w:eastAsia="Cambria" w:hAnsi="Cambria"/>
          <w:color w:val="404040"/>
          <w:sz w:val="22"/>
          <w:szCs w:val="22"/>
        </w:rPr>
        <w:t xml:space="preserve"> : implémenter la classe abstraite pour l'API Anthropic. Ajouter le cost preview (Module 6 → Module 7) avant exécution.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thick" w:color="375623" w:sz="1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ambria" w:cs="Cambria" w:eastAsia="Cambria" w:hAnsi="Cambria"/>
                <w:b/>
                <w:bCs/>
                <w:color w:val="375623"/>
                <w:sz w:val="22"/>
                <w:szCs w:val="22"/>
              </w:rPr>
              <w:t xml:space="preserve">✓  Ce qui fonctionne déjà sans aucune modification</w:t>
            </w:r>
          </w:p>
          <w:p>
            <w:pPr>
              <w:spacing w:after="80" w:before="80"/>
              <w:jc w:val="both"/>
            </w:pP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Le pipeline </w:t>
            </w:r>
            <w:r>
              <w:rPr>
                <w:rFonts w:ascii="Cambria" w:cs="Cambria" w:eastAsia="Cambria" w:hAnsi="Cambria"/>
                <w:b/>
                <w:bCs/>
                <w:color w:val="1F4E79"/>
                <w:sz w:val="22"/>
                <w:szCs w:val="22"/>
              </w:rPr>
              <w:t xml:space="preserve">① validation statistique → ④ gouvernance → ⑤ lifecycle → ③ règles booléennes → ⑦ contrôle IA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est entièrement fonctionnel. Les demos de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savec_integration_engine_v31.py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et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eaifch_v2.py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peuvent être exécutées immédiatement :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python3 savec_integration_engine_v31.py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puis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python3 eaifch_v2.py</w:t>
            </w:r>
            <w:r>
              <w:rPr>
                <w:rFonts w:ascii="Cambria" w:cs="Cambria" w:eastAsia="Cambria" w:hAnsi="Cambria"/>
                <w:color w:val="404040"/>
                <w:sz w:val="22"/>
                <w:szCs w:val="22"/>
              </w:rPr>
              <w:t xml:space="preserve"> (les deux fichiers dans le même dossier).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4E79"/>
          <w:sz w:val="34"/>
          <w:szCs w:val="34"/>
        </w:rPr>
        <w:t xml:space="preserve">6. Glossaire des termes clés</w:t>
      </w:r>
    </w:p>
    <w:p>
      <w:pPr>
        <w:spacing w:after="80" w:before="80"/>
        <w:jc w:val="both"/>
      </w:pPr>
      <w:r>
        <w:rPr>
          <w:rFonts w:ascii="Cambria" w:cs="Cambria" w:eastAsia="Cambria" w:hAnsi="Cambria"/>
          <w:color w:val="404040"/>
          <w:sz w:val="22"/>
          <w:szCs w:val="22"/>
        </w:rPr>
        <w:t xml:space="preserve">Chaque terme est défini avec sa localisation dans le code et sa relation aux autres termes.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Définition en une phrase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Fichier / classe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BF &gt; 10 (Bayes Factor)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Seuil de preuve forte (Jeffreys 1961) : le pattern est plus de 10× plus probable sous H₁ que H₀.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— LogBayesFactor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BooleanOverrideRule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Règle communautaire nommée qui élève (jamais n'abaisse) le niveau de sensibilité quand des indicateurs précis sont actifs.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eaifch_v2.py — BooleanOverrideRule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CommunityFork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Surcharge locale de la taxonomie centrale : poids ajustés + règles booléennes + labels multilingues, signée SHA-256.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eaifch_v2.py — CommunityFork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combined_confidence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Score [0,1] du bridge Layer1→Layer2 : réduit si catégorie b, zéro si Hard Block, discount si AI-assisté.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— EpistemicBridgeResult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ConflictResolver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Résout les désaccords entre communautés : AUTOMATIC (niveaux identiques) / MEDIATION / ESCALATION.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eaifch_v2.py — ConflictResolver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ConstitutionalRule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Contrainte inviolable sur l'usage LLM (CR-1 à CR-5), dérivée des principes CARE.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eaifch_v2.py — ConstitutionalRule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ContextualRVI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RVI ajusté par le multiplicateur J selon le tier de sensibilité : J=3.0 pour SACRED_SECRET.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— ContextualRVI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CV &lt; 0.3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Critère de stabilité de la sensibilité jackknife : si CV &gt; 0.5, le pattern est potentiellement artefactuel.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— VectorisedSensitivity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ΔCertainty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max(log_bf, 0) / 10 — gain épistémique normalisé. Plancher à 0 : un BF &lt; 1 ne génère pas de gain.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— RVICalculator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epistemic_basis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Provenance d'une classification : 5 valeurs de 'statistical_layer1' à 'ai_generated_unvalidated'.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+ eaifch_v2.py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EpistemicBridgeResult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Hand-off Layer1→Layer2 : porte Layer1Result + GovernanceProtocol + RVI contextuel + note.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— resolve_layer1_to_layer2()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GovernanceConflictError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Exception Hard Block : levée si void de gouvernance ou RESTRICTED + can_export=False.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— GovernanceResolver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GovernanceProtocolRecord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Protocole SAVEC enveloppé d'un cycle de vie à 5 états (ACTIVE → PERMANENT).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eaifch_v2.py — GovernanceProtocolRecord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Hard Block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Arrêt architecturale du pipeline — pas un warning, pas une recommandation.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+ eaifch_v2.py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Holm-Bonferroni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Correction step-down pour familles de tests : plus puissante que Bonferroni classique, même FWER.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— HolmBonferroni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LLMOutputRecord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Sortie d'une tâche sandbox : commence 'ai_generated_unvalidated', passe à 'ai_assisted_human_validated' après confirmation humaine.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eaifch_v2.py — LLMOutputRecord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Pessimistic default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En cas de discordance paradigmes ou conflit communautés : toujours choisir la décision la plus restrictive.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Axiome 2 — implémenté dans GovernanceResolver + ConflictResolver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RVI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Ratio de Valeur Informationnelle = ΔCertainty / E_cost_Wh. Seuil de base : 0.01.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— RVICalculator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SACRED_SECRET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Niveau de restriction maximal (AccessLevel=5) : Hard Block systématique, interprétation LLM interdite (CR-2).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savec_v31.py — AccessLevel + eaifch_v2.py — ConstitutionalRule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SparkingSessionRecord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Session de collaboration IA tracée : ne produit pas d'outputs qui alimentent M1/M2 directement.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eaifch_v2.py — AIBsandbox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Sunset mechanism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Cycle de vie des GovernanceProtocol : ACTIVE → PENDING_REVALIDATION (24 mois) → EXPIRED ou RENEWED.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eaifch_v2.py — GovernanceProtocolRecord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TaxonomyVersion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Snapshot immuable de la taxonomie centrale, signé SHA-256, versionnement sémantique MAJOR.MINOR.PATCH.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404040"/>
                <w:sz w:val="19"/>
                <w:szCs w:val="19"/>
              </w:rPr>
              <w:t xml:space="preserve">eaifch_v2.py — TaxonomyRegistry</w:t>
            </w:r>
          </w:p>
        </w:tc>
      </w:tr>
    </w:tbl>
    <w:p>
      <w:pPr>
        <w:spacing w:after="80" w:before="200"/>
      </w:pPr>
    </w:p>
    <w:p>
      <w:pPr>
        <w:pBdr>
          <w:bottom w:val="single" w:color="1F6B75" w:sz="8" w:space="1"/>
        </w:pBdr>
        <w:spacing w:after="160" w:before="160"/>
      </w:pPr>
    </w:p>
    <w:p>
      <w:pPr>
        <w:spacing w:after="80" w:before="80"/>
      </w:pPr>
    </w:p>
    <w:p>
      <w:pPr>
        <w:spacing w:after="40" w:before="0"/>
        <w:jc w:val="center"/>
      </w:pPr>
      <w:r>
        <w:rPr>
          <w:rFonts w:ascii="Cambria" w:cs="Cambria" w:eastAsia="Cambria" w:hAnsi="Cambria"/>
          <w:i/>
          <w:iCs/>
          <w:color w:val="404040"/>
          <w:sz w:val="20"/>
          <w:szCs w:val="20"/>
        </w:rPr>
        <w:t xml:space="preserve">Carte de cohérence SAVEC v3.1 × EAIFCH 2.0 — Mai 2026</w:t>
      </w:r>
    </w:p>
    <w:p>
      <w:pPr>
        <w:spacing w:after="0" w:before="0"/>
        <w:jc w:val="center"/>
      </w:pPr>
      <w:r>
        <w:rPr>
          <w:rFonts w:ascii="Cambria" w:cs="Cambria" w:eastAsia="Cambria" w:hAnsi="Cambria"/>
          <w:color w:val="404040"/>
          <w:sz w:val="18"/>
          <w:szCs w:val="18"/>
        </w:rPr>
        <w:t xml:space="preserve">Ahmed Benseddik  |  ORCID : 0009-0005-6308-8171  |  DOI : 10.17605/OSF.IO/Y8VBU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mbria" w:cs="Cambria" w:eastAsia="Cambria" w:hAnsi="Cambria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mbria" w:cs="Cambria" w:eastAsia="Cambria" w:hAnsi="Cambria"/>
      <w:b/>
      <w:bCs/>
      <w:color w:val="1F6B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2026-05-07T05:06:24.865Z</dcterms:created>
  <dcterms:modified xsi:type="dcterms:W3CDTF">2026-05-07T05:06:24.866Z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