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p>
    <w:p>
      <w:pPr>
        <w:spacing w:after="60" w:before="0"/>
        <w:jc w:val="center"/>
      </w:pPr>
      <w:r>
        <w:rPr>
          <w:rFonts w:ascii="Cambria" w:cs="Cambria" w:eastAsia="Cambria" w:hAnsi="Cambria"/>
          <w:b/>
          <w:bCs/>
          <w:color w:val="1F4E79"/>
          <w:sz w:val="72"/>
          <w:szCs w:val="72"/>
        </w:rPr>
        <w:t xml:space="preserve">SAVEC</w:t>
      </w:r>
    </w:p>
    <w:p>
      <w:pPr>
        <w:spacing w:after="120" w:before="0"/>
        <w:jc w:val="center"/>
      </w:pPr>
      <w:r>
        <w:rPr>
          <w:rFonts w:ascii="Cambria" w:cs="Cambria" w:eastAsia="Cambria" w:hAnsi="Cambria"/>
          <w:i/>
          <w:iCs/>
          <w:color w:val="2E75B6"/>
          <w:sz w:val="30"/>
          <w:szCs w:val="30"/>
        </w:rPr>
        <w:t xml:space="preserve">Mise à jour manuscrit — Journal of Cultural Analytics</w:t>
      </w:r>
    </w:p>
    <w:p>
      <w:pPr>
        <w:pBdr>
          <w:bottom w:val="single" w:color="2E75B6" w:sz="8" w:space="1"/>
        </w:pBdr>
        <w:spacing w:after="180" w:before="180"/>
      </w:pPr>
    </w:p>
    <w:p>
      <w:pPr>
        <w:spacing w:after="80" w:before="80"/>
      </w:pPr>
    </w:p>
    <w:p>
      <w:pPr>
        <w:spacing w:after="60" w:before="0"/>
        <w:jc w:val="center"/>
      </w:pPr>
      <w:r>
        <w:rPr>
          <w:rFonts w:ascii="Cambria" w:cs="Cambria" w:eastAsia="Cambria" w:hAnsi="Cambria"/>
          <w:i/>
          <w:iCs/>
          <w:color w:val="404040"/>
          <w:sz w:val="24"/>
          <w:szCs w:val="24"/>
        </w:rPr>
        <w:t xml:space="preserve">When Rigor Protects: A Unified Statistical-Ethical Architecture for Sustainable AI in Cultural Heritage</w:t>
      </w:r>
    </w:p>
    <w:p>
      <w:pPr>
        <w:spacing w:after="80" w:before="120"/>
      </w:pPr>
    </w:p>
    <w:p>
      <w:pPr>
        <w:spacing w:after="40" w:before="0"/>
        <w:jc w:val="center"/>
      </w:pPr>
      <w:r>
        <w:rPr>
          <w:rFonts w:ascii="Cambria" w:cs="Cambria" w:eastAsia="Cambria" w:hAnsi="Cambria"/>
          <w:color w:val="404040"/>
          <w:sz w:val="20"/>
          <w:szCs w:val="20"/>
        </w:rPr>
        <w:t xml:space="preserve">Ahmed Benseddik  |  ORCID : 0009-0005-6308-8171  |  Chercheur indépendant</w:t>
      </w:r>
    </w:p>
    <w:p>
      <w:pPr>
        <w:spacing w:after="40" w:before="0"/>
        <w:jc w:val="center"/>
      </w:pPr>
      <w:r>
        <w:rPr>
          <w:rFonts w:ascii="Cambria" w:cs="Cambria" w:eastAsia="Cambria" w:hAnsi="Cambria"/>
          <w:color w:val="2E75B6"/>
          <w:sz w:val="20"/>
          <w:szCs w:val="20"/>
        </w:rPr>
        <w:t xml:space="preserve">DOI : 10.17605/OSF.IO/Y8VBU  |  osf.io/y8vbu</w:t>
      </w:r>
    </w:p>
    <w:p>
      <w:pPr>
        <w:spacing w:after="40" w:before="0"/>
        <w:jc w:val="center"/>
      </w:pPr>
      <w:r>
        <w:rPr>
          <w:rFonts w:ascii="Cambria" w:cs="Cambria" w:eastAsia="Cambria" w:hAnsi="Cambria"/>
          <w:i/>
          <w:iCs/>
          <w:color w:val="404040"/>
          <w:sz w:val="20"/>
          <w:szCs w:val="20"/>
        </w:rPr>
        <w:t xml:space="preserve">Mai 2026  |  Amendements post-prototype EAIFCH 2.0</w:t>
      </w:r>
    </w:p>
    <w:p>
      <w:pPr>
        <w:spacing w:after="80" w:before="200"/>
      </w:pPr>
    </w:p>
    <w:p>
      <w:pPr>
        <w:pBdr>
          <w:bottom w:val="single" w:color="1F6B75" w:sz="8" w:space="1"/>
        </w:pBdr>
        <w:spacing w:after="180" w:before="180"/>
      </w:pPr>
    </w:p>
    <w:p>
      <w:r>
        <w:br w:type="page"/>
      </w:r>
    </w:p>
    <w:p>
      <w:pPr>
        <w:pStyle w:val="Heading1"/>
        <w:spacing w:after="160" w:before="360"/>
      </w:pPr>
      <w:r>
        <w:rPr>
          <w:rFonts w:ascii="Cambria" w:cs="Cambria" w:eastAsia="Cambria" w:hAnsi="Cambria"/>
          <w:b/>
          <w:bCs/>
          <w:color w:val="1F4E79"/>
          <w:sz w:val="36"/>
          <w:szCs w:val="36"/>
        </w:rPr>
        <w:t xml:space="preserve">Préambule : Pourquoi mettre à jour le manuscrit maintenant</w:t>
      </w:r>
    </w:p>
    <w:p>
      <w:pPr>
        <w:spacing w:after="80" w:before="80"/>
        <w:jc w:val="both"/>
      </w:pPr>
      <w:r>
        <w:rPr>
          <w:rFonts w:ascii="Cambria" w:cs="Cambria" w:eastAsia="Cambria" w:hAnsi="Cambria"/>
          <w:color w:val="404040"/>
          <w:sz w:val="22"/>
          <w:szCs w:val="22"/>
        </w:rPr>
        <w:t xml:space="preserve">Le manuscrit soumis au </w:t>
      </w:r>
      <w:r>
        <w:rPr>
          <w:rFonts w:ascii="Cambria" w:cs="Cambria" w:eastAsia="Cambria" w:hAnsi="Cambria"/>
          <w:i/>
          <w:iCs/>
          <w:color w:val="404040"/>
          <w:sz w:val="22"/>
          <w:szCs w:val="22"/>
        </w:rPr>
        <w:t xml:space="preserve">Journal of Cultural Analytics</w:t>
      </w:r>
      <w:r>
        <w:rPr>
          <w:rFonts w:ascii="Cambria" w:cs="Cambria" w:eastAsia="Cambria" w:hAnsi="Cambria"/>
          <w:color w:val="404040"/>
          <w:sz w:val="22"/>
          <w:szCs w:val="22"/>
        </w:rPr>
        <w:t xml:space="preserve"> en avril 2026 établit SAVEC comme une architecture épistémique unifiée en trois couches. Sa Section 5 (Discussion) et sa Section 6 (Conclusion) formulent des implications pour le domaine des humanités numériques, mais sans pouvoir s'appuyer sur un prototype opérationnel des composants les plus nouveaux de l'architecture.</w:t>
      </w:r>
    </w:p>
    <w:p>
      <w:pPr>
        <w:spacing w:after="80" w:before="80"/>
      </w:pPr>
    </w:p>
    <w:p>
      <w:pPr>
        <w:spacing w:after="80" w:before="80"/>
        <w:jc w:val="both"/>
      </w:pPr>
      <w:r>
        <w:rPr>
          <w:rFonts w:ascii="Cambria" w:cs="Cambria" w:eastAsia="Cambria" w:hAnsi="Cambria"/>
          <w:color w:val="404040"/>
          <w:sz w:val="22"/>
          <w:szCs w:val="22"/>
        </w:rPr>
        <w:t xml:space="preserve">Depuis la soumission, deux livrables ont été produits qui changent significativement la défendabilité du manuscrit :</w:t>
      </w:r>
    </w:p>
    <w:p>
      <w:pPr>
        <w:spacing w:after="80" w:before="60"/>
      </w:pPr>
    </w:p>
    <w:p>
      <w:pPr>
        <w:pStyle w:val="ListParagraph"/>
        <w:numPr>
          <w:ilvl w:val="0"/>
          <w:numId w:val="2"/>
        </w:numPr>
        <w:spacing w:after="60" w:before="60"/>
      </w:pPr>
      <w:r>
        <w:rPr>
          <w:rFonts w:ascii="Cambria" w:cs="Cambria" w:eastAsia="Cambria" w:hAnsi="Cambria"/>
          <w:b/>
          <w:bCs/>
          <w:color w:val="1F4E79"/>
          <w:sz w:val="22"/>
          <w:szCs w:val="22"/>
        </w:rPr>
        <w:t xml:space="preserve">SAVEC Integration Engine v3.1</w:t>
      </w:r>
      <w:r>
        <w:rPr>
          <w:rFonts w:ascii="Cambria" w:cs="Cambria" w:eastAsia="Cambria" w:hAnsi="Cambria"/>
          <w:color w:val="404040"/>
          <w:sz w:val="22"/>
          <w:szCs w:val="22"/>
        </w:rPr>
        <w:t xml:space="preserve"> (</w:t>
      </w:r>
      <w:r>
        <w:rPr>
          <w:rFonts w:ascii="Courier New" w:cs="Courier New" w:eastAsia="Courier New" w:hAnsi="Courier New"/>
          <w:color w:val="2E75B6"/>
          <w:sz w:val="19"/>
          <w:szCs w:val="19"/>
        </w:rPr>
        <w:t xml:space="preserve">savec_integration_engine_v31.py</w:t>
      </w:r>
      <w:r>
        <w:rPr>
          <w:rFonts w:ascii="Cambria" w:cs="Cambria" w:eastAsia="Cambria" w:hAnsi="Cambria"/>
          <w:color w:val="404040"/>
          <w:sz w:val="22"/>
          <w:szCs w:val="22"/>
        </w:rPr>
        <w:t xml:space="preserve">) : moteur Layer 1 + Layer 2 complet, incluant GovernanceResolver, ContextualRVI, EpistemicBridgeResult, et le mécanisme de sunset. 2 330 lignes, 14 classes, validées syntaxiquement et fonctionnellement.</w:t>
      </w:r>
    </w:p>
    <w:p>
      <w:pPr>
        <w:pStyle w:val="ListParagraph"/>
        <w:numPr>
          <w:ilvl w:val="0"/>
          <w:numId w:val="2"/>
        </w:numPr>
        <w:spacing w:after="60" w:before="60"/>
      </w:pPr>
      <w:r>
        <w:rPr>
          <w:rFonts w:ascii="Cambria" w:cs="Cambria" w:eastAsia="Cambria" w:hAnsi="Cambria"/>
          <w:b/>
          <w:bCs/>
          <w:color w:val="1F4E79"/>
          <w:sz w:val="22"/>
          <w:szCs w:val="22"/>
        </w:rPr>
        <w:t xml:space="preserve">EAIFCH 2.0 Prototype</w:t>
      </w:r>
      <w:r>
        <w:rPr>
          <w:rFonts w:ascii="Cambria" w:cs="Cambria" w:eastAsia="Cambria" w:hAnsi="Cambria"/>
          <w:color w:val="404040"/>
          <w:sz w:val="22"/>
          <w:szCs w:val="22"/>
        </w:rPr>
        <w:t xml:space="preserve"> (</w:t>
      </w:r>
      <w:r>
        <w:rPr>
          <w:rFonts w:ascii="Courier New" w:cs="Courier New" w:eastAsia="Courier New" w:hAnsi="Courier New"/>
          <w:color w:val="2E75B6"/>
          <w:sz w:val="19"/>
          <w:szCs w:val="19"/>
        </w:rPr>
        <w:t xml:space="preserve">eaifch_v2.py</w:t>
      </w:r>
      <w:r>
        <w:rPr>
          <w:rFonts w:ascii="Cambria" w:cs="Cambria" w:eastAsia="Cambria" w:hAnsi="Cambria"/>
          <w:color w:val="404040"/>
          <w:sz w:val="22"/>
          <w:szCs w:val="22"/>
        </w:rPr>
        <w:t xml:space="preserve">) : Module 0 (TaxonomyVersion, CommunityFork, BooleanOverrideRule, ConflictResolver) et Module 7 (AIBsandbox, ConstitutionalRules CR-1 à CR-5, LLMOutputValidator, SparkingSessionRecord). 2 001 lignes, tous les demos fonctionnels.</w:t>
      </w:r>
    </w:p>
    <w:p>
      <w:pPr>
        <w:spacing w:after="80" w:before="80"/>
      </w:pPr>
    </w:p>
    <w:p>
      <w:pPr>
        <w:spacing w:after="80" w:before="80"/>
        <w:jc w:val="both"/>
      </w:pPr>
      <w:r>
        <w:rPr>
          <w:rFonts w:ascii="Cambria" w:cs="Cambria" w:eastAsia="Cambria" w:hAnsi="Cambria"/>
          <w:color w:val="404040"/>
          <w:sz w:val="22"/>
          <w:szCs w:val="22"/>
        </w:rPr>
        <w:t xml:space="preserve">Ces deux artefacts rendent le manuscrit entièrement défendable face à une révision par les pairs. Ils permettent également d'enrichir la Section 5 d'une </w:t>
      </w:r>
      <w:r>
        <w:rPr>
          <w:rFonts w:ascii="Cambria" w:cs="Cambria" w:eastAsia="Cambria" w:hAnsi="Cambria"/>
          <w:b/>
          <w:bCs/>
          <w:color w:val="1F6B75"/>
          <w:sz w:val="22"/>
          <w:szCs w:val="22"/>
        </w:rPr>
        <w:t xml:space="preserve">sous-section Discussion §5.5</w:t>
      </w:r>
      <w:r>
        <w:rPr>
          <w:rFonts w:ascii="Cambria" w:cs="Cambria" w:eastAsia="Cambria" w:hAnsi="Cambria"/>
          <w:color w:val="404040"/>
          <w:sz w:val="22"/>
          <w:szCs w:val="22"/>
        </w:rPr>
        <w:t xml:space="preserve"> documentant la roadmap EAIFCH 2.0 comme contribution distincte — non pas une promesse, mais un prototype opérationnel.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4"/>
              <w:bottom w:val="single" w:color="2E75B6" w:sz="4"/>
              <w:right w:val="single" w:color="2E75B6" w:sz="4"/>
            </w:tcBorders>
            <w:shd w:fill="D9E8F5" w:val="clear"/>
            <w:tcMar>
              <w:top w:type="dxa" w:w="100"/>
              <w:left w:type="dxa" w:w="200"/>
              <w:bottom w:type="dxa" w:w="100"/>
              <w:right w:type="dxa" w:w="200"/>
            </w:tcMar>
          </w:tcPr>
          <w:p>
            <w:pPr>
              <w:spacing w:after="80" w:before="60"/>
            </w:pPr>
            <w:r>
              <w:rPr>
                <w:rFonts w:ascii="Cambria" w:cs="Cambria" w:eastAsia="Cambria" w:hAnsi="Cambria"/>
                <w:b/>
                <w:bCs/>
                <w:color w:val="1F4E79"/>
                <w:sz w:val="22"/>
                <w:szCs w:val="22"/>
              </w:rPr>
              <w:t xml:space="preserve">Note : Périmètre de ce document</w:t>
            </w:r>
          </w:p>
          <w:p>
            <w:pPr>
              <w:spacing w:after="80" w:before="80"/>
              <w:jc w:val="both"/>
            </w:pPr>
            <w:r>
              <w:rPr>
                <w:rFonts w:ascii="Cambria" w:cs="Cambria" w:eastAsia="Cambria" w:hAnsi="Cambria"/>
                <w:color w:val="404040"/>
                <w:sz w:val="22"/>
                <w:szCs w:val="22"/>
              </w:rPr>
              <w:t xml:space="preserve">Ce document identifie </w:t>
            </w:r>
            <w:r>
              <w:rPr>
                <w:rFonts w:ascii="Cambria" w:cs="Cambria" w:eastAsia="Cambria" w:hAnsi="Cambria"/>
                <w:b/>
                <w:bCs/>
                <w:color w:val="1F4E79"/>
                <w:sz w:val="22"/>
                <w:szCs w:val="22"/>
              </w:rPr>
              <w:t xml:space="preserve">cinq amendements</w:t>
            </w:r>
            <w:r>
              <w:rPr>
                <w:rFonts w:ascii="Cambria" w:cs="Cambria" w:eastAsia="Cambria" w:hAnsi="Cambria"/>
                <w:color w:val="404040"/>
                <w:sz w:val="22"/>
                <w:szCs w:val="22"/>
              </w:rPr>
              <w:t xml:space="preserve"> au manuscrit soumis. Chaque amendement est présenté avec sa localisation exacte, sa formulation proposée, et sa justification. Aucun amendement ne modifie la thèse centrale de SAVEC. Tous renforcent la cohérence interne et la défendabilité face à la révision.</w:t>
            </w:r>
          </w:p>
        </w:tc>
      </w:tr>
    </w:tbl>
    <w:p>
      <w:r>
        <w:br w:type="page"/>
      </w:r>
    </w:p>
    <w:p>
      <w:pPr>
        <w:pStyle w:val="Heading1"/>
        <w:spacing w:after="160" w:before="360"/>
      </w:pPr>
      <w:r>
        <w:rPr>
          <w:rFonts w:ascii="Cambria" w:cs="Cambria" w:eastAsia="Cambria" w:hAnsi="Cambria"/>
          <w:b/>
          <w:bCs/>
          <w:color w:val="1F4E79"/>
          <w:sz w:val="36"/>
          <w:szCs w:val="36"/>
        </w:rPr>
        <w:t xml:space="preserve">1. Tableau récapitulatif des amendements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540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Localisation</w:t>
            </w:r>
          </w:p>
        </w:tc>
        <w:tc>
          <w:tcPr>
            <w:tcW w:type="dxa" w:w="5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mbria" w:cs="Cambria" w:eastAsia="Cambria" w:hAnsi="Cambria"/>
                <w:b/>
                <w:bCs/>
                <w:color w:val="FFFFFF"/>
                <w:sz w:val="19"/>
                <w:szCs w:val="19"/>
              </w:rPr>
              <w:t xml:space="preserve">Nature / Impact</w:t>
            </w:r>
          </w:p>
        </w:tc>
      </w:tr>
      <w:tr>
        <w:trPr>
          <w:tblHeader w:val="false"/>
        </w:trPr>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A1</w:t>
            </w:r>
          </w:p>
        </w:tc>
        <w:tc>
          <w:tcPr>
            <w:tcW w:type="dxa" w:w="3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§5.1 — Layer 1 → Layer 2 dependency</w:t>
            </w:r>
          </w:p>
        </w:tc>
        <w:tc>
          <w:tcPr>
            <w:tcW w:type="dxa" w:w="5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Ajout : EpistemicBridgeResult comme formalisation implémentée</w:t>
            </w:r>
          </w:p>
        </w:tc>
      </w:tr>
      <w:tr>
        <w:trPr>
          <w:tblHeader w:val="false"/>
        </w:trP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A2</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§5.4 — Limitations (nouveau §5.4e)</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Ajout : sunset mechanism et category 'c' documentés comme limitations adressées</w:t>
            </w:r>
          </w:p>
        </w:tc>
      </w:tr>
      <w:tr>
        <w:trPr>
          <w:tblHeader w:val="false"/>
        </w:trPr>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A3</w:t>
            </w:r>
          </w:p>
        </w:tc>
        <w:tc>
          <w:tcPr>
            <w:tcW w:type="dxa" w:w="3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§5 — Nouvelle sous-section §5.5</w:t>
            </w:r>
          </w:p>
        </w:tc>
        <w:tc>
          <w:tcPr>
            <w:tcW w:type="dxa" w:w="5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Nouveau : EAIFCH 2.0 roadmap ancrée dans le prototype opérationnel</w:t>
            </w:r>
          </w:p>
        </w:tc>
      </w:tr>
      <w:tr>
        <w:trPr>
          <w:tblHeader w:val="false"/>
        </w:trP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A4</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§6.3 — Implications pour le domaine</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Extension : AI Oversight et gouvernance taxonomique comme nouvelles implications</w:t>
            </w:r>
          </w:p>
        </w:tc>
      </w:tr>
      <w:tr>
        <w:trPr>
          <w:tblHeader w:val="false"/>
        </w:trPr>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A5</w:t>
            </w:r>
          </w:p>
        </w:tc>
        <w:tc>
          <w:tcPr>
            <w:tcW w:type="dxa" w:w="3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Références</w:t>
            </w:r>
          </w:p>
        </w:tc>
        <w:tc>
          <w:tcPr>
            <w:tcW w:type="dxa" w:w="5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19"/>
                <w:szCs w:val="19"/>
              </w:rPr>
              <w:t xml:space="preserve">Ajout : référence au prototype OSF + spécification EAIFCH 2.0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4F00" w:sz="4"/>
              <w:left w:val="thick" w:color="7F4F00" w:sz="14"/>
              <w:bottom w:val="single" w:color="7F4F00" w:sz="4"/>
              <w:right w:val="single" w:color="7F4F00" w:sz="4"/>
            </w:tcBorders>
            <w:shd w:fill="FFF2CC" w:val="clear"/>
            <w:tcMar>
              <w:top w:type="dxa" w:w="100"/>
              <w:left w:type="dxa" w:w="200"/>
              <w:bottom w:type="dxa" w:w="100"/>
              <w:right w:type="dxa" w:w="200"/>
            </w:tcMar>
          </w:tcPr>
          <w:p>
            <w:pPr>
              <w:spacing w:after="80" w:before="60"/>
            </w:pPr>
            <w:r>
              <w:rPr>
                <w:rFonts w:ascii="Cambria" w:cs="Cambria" w:eastAsia="Cambria" w:hAnsi="Cambria"/>
                <w:b/>
                <w:bCs/>
                <w:color w:val="7F4F00"/>
                <w:sz w:val="22"/>
                <w:szCs w:val="22"/>
              </w:rPr>
              <w:t xml:space="preserve">Attention : Ordre de priorité pour la révision</w:t>
            </w:r>
          </w:p>
          <w:p>
            <w:pPr>
              <w:spacing w:after="80" w:before="80"/>
              <w:jc w:val="both"/>
            </w:pPr>
            <w:r>
              <w:rPr>
                <w:rFonts w:ascii="Cambria" w:cs="Cambria" w:eastAsia="Cambria" w:hAnsi="Cambria"/>
                <w:color w:val="404040"/>
                <w:sz w:val="22"/>
                <w:szCs w:val="22"/>
              </w:rPr>
              <w:t xml:space="preserve">Si le manuscrit est en révision par les pairs au moment de la lecture de ce document : A3 (§5.5 nouveau) est la priorité absolue — c'est le seul ajout qui transforme le positionnement. A1 et A4 sont importants pour la cohérence interne. A2 et A5 sont techniques et rapides à intégrer.</w:t>
            </w:r>
          </w:p>
        </w:tc>
      </w:tr>
    </w:tbl>
    <w:p>
      <w:r>
        <w:br w:type="page"/>
      </w:r>
    </w:p>
    <w:p>
      <w:pPr>
        <w:pStyle w:val="Heading1"/>
        <w:spacing w:after="160" w:before="360"/>
      </w:pPr>
      <w:r>
        <w:rPr>
          <w:rFonts w:ascii="Cambria" w:cs="Cambria" w:eastAsia="Cambria" w:hAnsi="Cambria"/>
          <w:b/>
          <w:bCs/>
          <w:color w:val="1F4E79"/>
          <w:sz w:val="36"/>
          <w:szCs w:val="36"/>
        </w:rPr>
        <w:t xml:space="preserve">Amendement A1 — §5.1 : EpistemicBridgeResult comme formalisation implémentée</w:t>
      </w:r>
    </w:p>
    <w:p>
      <w:pPr>
        <w:pStyle w:val="Heading2"/>
        <w:spacing w:after="120" w:before="260"/>
      </w:pPr>
      <w:r>
        <w:rPr>
          <w:rFonts w:ascii="Cambria" w:cs="Cambria" w:eastAsia="Cambria" w:hAnsi="Cambria"/>
          <w:b/>
          <w:bCs/>
          <w:color w:val="2E75B6"/>
          <w:sz w:val="28"/>
          <w:szCs w:val="28"/>
        </w:rPr>
        <w:t xml:space="preserve">Localisation exacte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thick" w:color="BFBFBF" w:sz="14"/>
              <w:bottom w:val="single" w:color="BFBFBF" w:sz="4"/>
              <w:right w:val="single" w:color="BFBFBF" w:sz="4"/>
            </w:tcBorders>
            <w:shd w:fill="F5F5F5" w:val="clear"/>
            <w:tcMar>
              <w:top w:type="dxa" w:w="100"/>
              <w:left w:type="dxa" w:w="200"/>
              <w:bottom w:type="dxa" w:w="100"/>
              <w:right w:type="dxa" w:w="200"/>
            </w:tcMar>
          </w:tcPr>
          <w:p>
            <w:pPr>
              <w:spacing w:after="80" w:before="60"/>
            </w:pPr>
            <w:r>
              <w:rPr>
                <w:rFonts w:ascii="Cambria" w:cs="Cambria" w:eastAsia="Cambria" w:hAnsi="Cambria"/>
                <w:b/>
                <w:bCs/>
                <w:color w:val="404040"/>
                <w:sz w:val="22"/>
                <w:szCs w:val="22"/>
              </w:rPr>
              <w:t xml:space="preserve">Localisation : §5.1, The Layer 1 → Layer 2 Dependency: A New Formalisation</w:t>
            </w:r>
          </w:p>
          <w:p>
            <w:pPr>
              <w:spacing w:after="80" w:before="80"/>
              <w:jc w:val="both"/>
            </w:pPr>
            <w:r>
              <w:rPr>
                <w:rFonts w:ascii="Cambria" w:cs="Cambria" w:eastAsia="Cambria" w:hAnsi="Cambria"/>
                <w:color w:val="404040"/>
                <w:sz w:val="22"/>
                <w:szCs w:val="22"/>
              </w:rPr>
              <w:t xml:space="preserve">Section 5.1, dernier paragraphe. Texte actuel se terminant par : </w:t>
            </w:r>
            <w:r>
              <w:rPr>
                <w:rFonts w:ascii="Cambria" w:cs="Cambria" w:eastAsia="Cambria" w:hAnsi="Cambria"/>
                <w:i/>
                <w:iCs/>
                <w:color w:val="404040"/>
                <w:sz w:val="22"/>
                <w:szCs w:val="22"/>
              </w:rPr>
              <w:t xml:space="preserve">"...and the escalation record must reflect this difference."</w:t>
            </w:r>
          </w:p>
        </w:tc>
      </w:tr>
    </w:tbl>
    <w:p>
      <w:pPr>
        <w:spacing w:after="80" w:before="120"/>
      </w:pPr>
    </w:p>
    <w:p>
      <w:pPr>
        <w:pStyle w:val="Heading2"/>
        <w:spacing w:after="120" w:before="260"/>
      </w:pPr>
      <w:r>
        <w:rPr>
          <w:rFonts w:ascii="Cambria" w:cs="Cambria" w:eastAsia="Cambria" w:hAnsi="Cambria"/>
          <w:b/>
          <w:bCs/>
          <w:color w:val="2E75B6"/>
          <w:sz w:val="28"/>
          <w:szCs w:val="28"/>
        </w:rPr>
        <w:t xml:space="preserve">Contexte</w:t>
      </w:r>
    </w:p>
    <w:p>
      <w:pPr>
        <w:spacing w:after="80" w:before="80"/>
        <w:jc w:val="both"/>
      </w:pPr>
      <w:r>
        <w:rPr>
          <w:rFonts w:ascii="Cambria" w:cs="Cambria" w:eastAsia="Cambria" w:hAnsi="Cambria"/>
          <w:color w:val="404040"/>
          <w:sz w:val="22"/>
          <w:szCs w:val="22"/>
        </w:rPr>
        <w:t xml:space="preserve">La Section 5.1 formalise la dépendance Layer 1 → Layer 2 comme une relation épistémique : la décision de gouvernance ne vaut que ce que vaut la classification qui l'a déclenchée. À la soumission, cette relation était théorisée mais non implémentée. Le prototype SAVEC v3.1 l'implémente dans </w:t>
      </w:r>
      <w:r>
        <w:rPr>
          <w:rFonts w:ascii="Courier New" w:cs="Courier New" w:eastAsia="Courier New" w:hAnsi="Courier New"/>
          <w:color w:val="2E75B6"/>
          <w:sz w:val="19"/>
          <w:szCs w:val="19"/>
        </w:rPr>
        <w:t xml:space="preserve">resolve_layer1_to_layer2()</w:t>
      </w:r>
      <w:r>
        <w:rPr>
          <w:rFonts w:ascii="Cambria" w:cs="Cambria" w:eastAsia="Cambria" w:hAnsi="Cambria"/>
          <w:color w:val="404040"/>
          <w:sz w:val="22"/>
          <w:szCs w:val="22"/>
        </w:rPr>
        <w:t xml:space="preserve"> et </w:t>
      </w:r>
      <w:r>
        <w:rPr>
          <w:rFonts w:ascii="Courier New" w:cs="Courier New" w:eastAsia="Courier New" w:hAnsi="Courier New"/>
          <w:color w:val="2E75B6"/>
          <w:sz w:val="19"/>
          <w:szCs w:val="19"/>
        </w:rPr>
        <w:t xml:space="preserve">EpistemicBridgeResult</w:t>
      </w:r>
      <w:r>
        <w:rPr>
          <w:rFonts w:ascii="Cambria" w:cs="Cambria" w:eastAsia="Cambria" w:hAnsi="Cambria"/>
          <w:color w:val="404040"/>
          <w:sz w:val="22"/>
          <w:szCs w:val="22"/>
        </w:rPr>
        <w:t xml:space="preserve">, avec un score de </w:t>
      </w:r>
      <w:r>
        <w:rPr>
          <w:rFonts w:ascii="Courier New" w:cs="Courier New" w:eastAsia="Courier New" w:hAnsi="Courier New"/>
          <w:color w:val="2E75B6"/>
          <w:sz w:val="19"/>
          <w:szCs w:val="19"/>
        </w:rPr>
        <w:t xml:space="preserve">combined_confidence</w:t>
      </w:r>
      <w:r>
        <w:rPr>
          <w:rFonts w:ascii="Cambria" w:cs="Cambria" w:eastAsia="Cambria" w:hAnsi="Cambria"/>
          <w:color w:val="404040"/>
          <w:sz w:val="22"/>
          <w:szCs w:val="22"/>
        </w:rPr>
        <w:t xml:space="preserve"> qui encode l'asymétrie documentée dans la section.</w:t>
      </w:r>
    </w:p>
    <w:p>
      <w:pPr>
        <w:spacing w:after="80" w:before="120"/>
      </w:pPr>
    </w:p>
    <w:p>
      <w:pPr>
        <w:pStyle w:val="Heading2"/>
        <w:spacing w:after="120" w:before="260"/>
      </w:pPr>
      <w:r>
        <w:rPr>
          <w:rFonts w:ascii="Cambria" w:cs="Cambria" w:eastAsia="Cambria" w:hAnsi="Cambria"/>
          <w:b/>
          <w:bCs/>
          <w:color w:val="2E75B6"/>
          <w:sz w:val="28"/>
          <w:szCs w:val="28"/>
        </w:rPr>
        <w:t xml:space="preserve">Texte à ajouter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4"/>
              <w:bottom w:val="single" w:color="375623" w:sz="4"/>
              <w:right w:val="single" w:color="375623" w:sz="4"/>
            </w:tcBorders>
            <w:shd w:fill="E2EFDA" w:val="clear"/>
            <w:tcMar>
              <w:top w:type="dxa" w:w="100"/>
              <w:left w:type="dxa" w:w="200"/>
              <w:bottom w:type="dxa" w:w="100"/>
              <w:right w:type="dxa" w:w="200"/>
            </w:tcMar>
          </w:tcPr>
          <w:p>
            <w:pPr>
              <w:spacing w:after="80" w:before="60"/>
            </w:pPr>
            <w:r>
              <w:rPr>
                <w:rFonts w:ascii="Cambria" w:cs="Cambria" w:eastAsia="Cambria" w:hAnsi="Cambria"/>
                <w:b/>
                <w:bCs/>
                <w:color w:val="375623"/>
                <w:sz w:val="22"/>
                <w:szCs w:val="22"/>
              </w:rPr>
              <w:t xml:space="preserve">NOUVEAU — Paragraphe final de §5.1 — à insérer après la phrase existante</w:t>
            </w:r>
          </w:p>
          <w:p>
            <w:pPr>
              <w:spacing w:after="80" w:before="80"/>
              <w:jc w:val="both"/>
            </w:pPr>
            <w:r>
              <w:rPr>
                <w:rFonts w:ascii="Cambria" w:cs="Cambria" w:eastAsia="Cambria" w:hAnsi="Cambria"/>
                <w:i/>
                <w:iCs/>
                <w:color w:val="404040"/>
                <w:sz w:val="22"/>
                <w:szCs w:val="22"/>
              </w:rPr>
              <w:t xml:space="preserve">This dependency is now implemented in the SAVEC reference architecture (</w:t>
            </w:r>
            <w:r>
              <w:rPr>
                <w:rFonts w:ascii="Courier New" w:cs="Courier New" w:eastAsia="Courier New" w:hAnsi="Courier New"/>
                <w:color w:val="2E75B6"/>
                <w:sz w:val="19"/>
                <w:szCs w:val="19"/>
              </w:rPr>
              <w:t xml:space="preserve">savec_integration_engine_v31.py</w:t>
            </w:r>
            <w:r>
              <w:rPr>
                <w:rFonts w:ascii="Cambria" w:cs="Cambria" w:eastAsia="Cambria" w:hAnsi="Cambria"/>
                <w:i/>
                <w:iCs/>
                <w:color w:val="404040"/>
                <w:sz w:val="22"/>
                <w:szCs w:val="22"/>
              </w:rPr>
              <w:t xml:space="preserve">, DOI: 10.17605/OSF.IO/Y8VBU). The </w:t>
            </w:r>
            <w:r>
              <w:rPr>
                <w:rFonts w:ascii="Courier New" w:cs="Courier New" w:eastAsia="Courier New" w:hAnsi="Courier New"/>
                <w:color w:val="2E75B6"/>
                <w:sz w:val="19"/>
                <w:szCs w:val="19"/>
              </w:rPr>
              <w:t xml:space="preserve">resolve_layer1_to_layer2()</w:t>
            </w:r>
            <w:r>
              <w:rPr>
                <w:rFonts w:ascii="Cambria" w:cs="Cambria" w:eastAsia="Cambria" w:hAnsi="Cambria"/>
                <w:i/>
                <w:iCs/>
                <w:color w:val="404040"/>
                <w:sz w:val="22"/>
                <w:szCs w:val="22"/>
              </w:rPr>
              <w:t xml:space="preserve"> function produces an </w:t>
            </w:r>
            <w:r>
              <w:rPr>
                <w:rFonts w:ascii="Courier New" w:cs="Courier New" w:eastAsia="Courier New" w:hAnsi="Courier New"/>
                <w:color w:val="2E75B6"/>
                <w:sz w:val="19"/>
                <w:szCs w:val="19"/>
              </w:rPr>
              <w:t xml:space="preserve">EpistemicBridgeResult</w:t>
            </w:r>
            <w:r>
              <w:rPr>
                <w:rFonts w:ascii="Cambria" w:cs="Cambria" w:eastAsia="Cambria" w:hAnsi="Cambria"/>
                <w:i/>
                <w:iCs/>
                <w:color w:val="404040"/>
                <w:sz w:val="22"/>
                <w:szCs w:val="22"/>
              </w:rPr>
              <w:t xml:space="preserve"> that carries the Layer 1 result, the Layer 2 governance decision, a contextual RVI evaluation, and a </w:t>
            </w:r>
            <w:r>
              <w:rPr>
                <w:rFonts w:ascii="Courier New" w:cs="Courier New" w:eastAsia="Courier New" w:hAnsi="Courier New"/>
                <w:color w:val="2E75B6"/>
                <w:sz w:val="19"/>
                <w:szCs w:val="19"/>
              </w:rPr>
              <w:t xml:space="preserve">combined_confidence</w:t>
            </w:r>
            <w:r>
              <w:rPr>
                <w:rFonts w:ascii="Cambria" w:cs="Cambria" w:eastAsia="Cambria" w:hAnsi="Cambria"/>
                <w:i/>
                <w:iCs/>
                <w:color w:val="404040"/>
                <w:sz w:val="22"/>
                <w:szCs w:val="22"/>
              </w:rPr>
              <w:t xml:space="preserve"> score. The asymmetry described above is architecturally enforced: a </w:t>
            </w:r>
            <w:r>
              <w:rPr>
                <w:rFonts w:ascii="Courier New" w:cs="Courier New" w:eastAsia="Courier New" w:hAnsi="Courier New"/>
                <w:color w:val="2E75B6"/>
                <w:sz w:val="19"/>
                <w:szCs w:val="19"/>
              </w:rPr>
              <w:t xml:space="preserve">combined_confidence</w:t>
            </w:r>
            <w:r>
              <w:rPr>
                <w:rFonts w:ascii="Cambria" w:cs="Cambria" w:eastAsia="Cambria" w:hAnsi="Cambria"/>
                <w:i/>
                <w:iCs/>
                <w:color w:val="404040"/>
                <w:sz w:val="22"/>
                <w:szCs w:val="22"/>
              </w:rPr>
              <w:t xml:space="preserve"> above 0.5 is only reachable for epistemic category (a) outputs; category (b) outputs are capped at 0.5 regardless of governance quality; a governance void (Hard Block) yields combined_confidence = 0.0. This asymmetry is not a design preference — it is the computational expression of the epistemic dependency this section formalises.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4"/>
              <w:bottom w:val="single" w:color="2E75B6" w:sz="4"/>
              <w:right w:val="single" w:color="2E75B6" w:sz="4"/>
            </w:tcBorders>
            <w:shd w:fill="D9E8F5" w:val="clear"/>
            <w:tcMar>
              <w:top w:type="dxa" w:w="100"/>
              <w:left w:type="dxa" w:w="200"/>
              <w:bottom w:type="dxa" w:w="100"/>
              <w:right w:type="dxa" w:w="200"/>
            </w:tcMar>
          </w:tcPr>
          <w:p>
            <w:pPr>
              <w:spacing w:after="80" w:before="60"/>
            </w:pPr>
            <w:r>
              <w:rPr>
                <w:rFonts w:ascii="Cambria" w:cs="Cambria" w:eastAsia="Cambria" w:hAnsi="Cambria"/>
                <w:b/>
                <w:bCs/>
                <w:color w:val="1F4E79"/>
                <w:sz w:val="22"/>
                <w:szCs w:val="22"/>
              </w:rPr>
              <w:t xml:space="preserve">Note : Footnote associée</w:t>
            </w:r>
          </w:p>
          <w:p>
            <w:pPr>
              <w:spacing w:after="80" w:before="80"/>
              <w:jc w:val="both"/>
            </w:pPr>
            <w:r>
              <w:rPr>
                <w:rFonts w:ascii="Cambria" w:cs="Cambria" w:eastAsia="Cambria" w:hAnsi="Cambria"/>
                <w:color w:val="404040"/>
                <w:sz w:val="22"/>
                <w:szCs w:val="22"/>
              </w:rPr>
              <w:t xml:space="preserve">Ajouter en note de bas de page : </w:t>
            </w:r>
            <w:r>
              <w:rPr>
                <w:rFonts w:ascii="Cambria" w:cs="Cambria" w:eastAsia="Cambria" w:hAnsi="Cambria"/>
                <w:i/>
                <w:iCs/>
                <w:color w:val="404040"/>
                <w:sz w:val="22"/>
                <w:szCs w:val="22"/>
              </w:rPr>
              <w:t xml:space="preserve">The reference implementation also extends the epistemic_basis field to five values — statistical_layer1 | expert_human | ai_assisted_human_validated | ai_generated_unvalidated | community_authority — with a corresponding confidence_discount table. The 'ai_generated_unvalidated' value blocks Layer 2 entirely, operationalising the non-delegation axiom at the code level.</w:t>
            </w:r>
          </w:p>
        </w:tc>
      </w:tr>
    </w:tbl>
    <w:p>
      <w:r>
        <w:br w:type="page"/>
      </w:r>
    </w:p>
    <w:p>
      <w:pPr>
        <w:pStyle w:val="Heading1"/>
        <w:spacing w:after="160" w:before="360"/>
      </w:pPr>
      <w:r>
        <w:rPr>
          <w:rFonts w:ascii="Cambria" w:cs="Cambria" w:eastAsia="Cambria" w:hAnsi="Cambria"/>
          <w:b/>
          <w:bCs/>
          <w:color w:val="1F4E79"/>
          <w:sz w:val="36"/>
          <w:szCs w:val="36"/>
        </w:rPr>
        <w:t xml:space="preserve">Amendement A2 — §5.4 : Nouvelles limitations adressées (§5.4e)</w:t>
      </w:r>
    </w:p>
    <w:p>
      <w:pPr>
        <w:pStyle w:val="Heading2"/>
        <w:spacing w:after="120" w:before="260"/>
      </w:pPr>
      <w:r>
        <w:rPr>
          <w:rFonts w:ascii="Cambria" w:cs="Cambria" w:eastAsia="Cambria" w:hAnsi="Cambria"/>
          <w:b/>
          <w:bCs/>
          <w:color w:val="2E75B6"/>
          <w:sz w:val="28"/>
          <w:szCs w:val="28"/>
        </w:rPr>
        <w:t xml:space="preserve">Localisation exacte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thick" w:color="BFBFBF" w:sz="14"/>
              <w:bottom w:val="single" w:color="BFBFBF" w:sz="4"/>
              <w:right w:val="single" w:color="BFBFBF" w:sz="4"/>
            </w:tcBorders>
            <w:shd w:fill="F5F5F5" w:val="clear"/>
            <w:tcMar>
              <w:top w:type="dxa" w:w="100"/>
              <w:left w:type="dxa" w:w="200"/>
              <w:bottom w:type="dxa" w:w="100"/>
              <w:right w:type="dxa" w:w="200"/>
            </w:tcMar>
          </w:tcPr>
          <w:p>
            <w:pPr>
              <w:spacing w:after="80" w:before="60"/>
            </w:pPr>
            <w:r>
              <w:rPr>
                <w:rFonts w:ascii="Cambria" w:cs="Cambria" w:eastAsia="Cambria" w:hAnsi="Cambria"/>
                <w:b/>
                <w:bCs/>
                <w:color w:val="404040"/>
                <w:sz w:val="22"/>
                <w:szCs w:val="22"/>
              </w:rPr>
              <w:t xml:space="preserve">Localisation : §5.4 — Limitations and Honest Scope</w:t>
            </w:r>
          </w:p>
          <w:p>
            <w:pPr>
              <w:spacing w:after="80" w:before="80"/>
              <w:jc w:val="both"/>
            </w:pPr>
            <w:r>
              <w:rPr>
                <w:rFonts w:ascii="Cambria" w:cs="Cambria" w:eastAsia="Cambria" w:hAnsi="Cambria"/>
                <w:color w:val="404040"/>
                <w:sz w:val="22"/>
                <w:szCs w:val="22"/>
              </w:rPr>
              <w:t xml:space="preserve">Section 5.4, après le dernier paragraphe existant (The permanent Hard Block problem). Insertion d'un nouveau sous-paragraphe §5.4e.</w:t>
            </w:r>
          </w:p>
        </w:tc>
      </w:tr>
    </w:tbl>
    <w:p>
      <w:pPr>
        <w:spacing w:after="80" w:before="120"/>
      </w:pPr>
    </w:p>
    <w:p>
      <w:pPr>
        <w:pStyle w:val="Heading2"/>
        <w:spacing w:after="120" w:before="260"/>
      </w:pPr>
      <w:r>
        <w:rPr>
          <w:rFonts w:ascii="Cambria" w:cs="Cambria" w:eastAsia="Cambria" w:hAnsi="Cambria"/>
          <w:b/>
          <w:bCs/>
          <w:color w:val="2E75B6"/>
          <w:sz w:val="28"/>
          <w:szCs w:val="28"/>
        </w:rPr>
        <w:t xml:space="preserve">Contexte</w:t>
      </w:r>
    </w:p>
    <w:p>
      <w:pPr>
        <w:spacing w:after="80" w:before="80"/>
        <w:jc w:val="both"/>
      </w:pPr>
      <w:r>
        <w:rPr>
          <w:rFonts w:ascii="Cambria" w:cs="Cambria" w:eastAsia="Cambria" w:hAnsi="Cambria"/>
          <w:color w:val="404040"/>
          <w:sz w:val="22"/>
          <w:szCs w:val="22"/>
        </w:rPr>
        <w:t xml:space="preserve">La Section 5.4 documente quatre limitations : scope of formalisation, weight calibration, taxonomy governance, empirical validation gap, et permanent Hard Block. Deux limitations supplémentaires sont apparues lors du développement du prototype : (1) l'absence de mécanisme de sunset pour les protocoles de gouvernance, et (2) l'absence de distinction entre classification générée par IA et classification validée humainement. Les deux sont désormais adressées dans le code.</w:t>
      </w:r>
    </w:p>
    <w:p>
      <w:pPr>
        <w:spacing w:after="80" w:before="120"/>
      </w:pPr>
    </w:p>
    <w:p>
      <w:pPr>
        <w:pStyle w:val="Heading2"/>
        <w:spacing w:after="120" w:before="260"/>
      </w:pPr>
      <w:r>
        <w:rPr>
          <w:rFonts w:ascii="Cambria" w:cs="Cambria" w:eastAsia="Cambria" w:hAnsi="Cambria"/>
          <w:b/>
          <w:bCs/>
          <w:color w:val="2E75B6"/>
          <w:sz w:val="28"/>
          <w:szCs w:val="28"/>
        </w:rPr>
        <w:t xml:space="preserve">Texte à ajouter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4"/>
              <w:bottom w:val="single" w:color="375623" w:sz="4"/>
              <w:right w:val="single" w:color="375623" w:sz="4"/>
            </w:tcBorders>
            <w:shd w:fill="E2EFDA" w:val="clear"/>
            <w:tcMar>
              <w:top w:type="dxa" w:w="100"/>
              <w:left w:type="dxa" w:w="200"/>
              <w:bottom w:type="dxa" w:w="100"/>
              <w:right w:type="dxa" w:w="200"/>
            </w:tcMar>
          </w:tcPr>
          <w:p>
            <w:pPr>
              <w:spacing w:after="80" w:before="60"/>
            </w:pPr>
            <w:r>
              <w:rPr>
                <w:rFonts w:ascii="Cambria" w:cs="Cambria" w:eastAsia="Cambria" w:hAnsi="Cambria"/>
                <w:b/>
                <w:bCs/>
                <w:color w:val="375623"/>
                <w:sz w:val="22"/>
                <w:szCs w:val="22"/>
              </w:rPr>
              <w:t xml:space="preserve">NOUVEAU — §5.4e — Two limitations addressed in the reference implementation</w:t>
            </w:r>
          </w:p>
          <w:p>
            <w:pPr>
              <w:spacing w:after="80" w:before="80"/>
              <w:jc w:val="both"/>
            </w:pPr>
            <w:r>
              <w:rPr>
                <w:rFonts w:ascii="Cambria" w:cs="Cambria" w:eastAsia="Cambria" w:hAnsi="Cambria"/>
                <w:b/>
                <w:bCs/>
                <w:color w:val="1F6B75"/>
                <w:sz w:val="22"/>
                <w:szCs w:val="22"/>
              </w:rPr>
              <w:t xml:space="preserve">The governance lifecycle problem.</w:t>
            </w:r>
            <w:r>
              <w:rPr>
                <w:rFonts w:ascii="Cambria" w:cs="Cambria" w:eastAsia="Cambria" w:hAnsi="Cambria"/>
                <w:i/>
                <w:iCs/>
                <w:color w:val="404040"/>
                <w:sz w:val="22"/>
                <w:szCs w:val="22"/>
              </w:rPr>
              <w:t xml:space="preserve"> A permanent Hard Block, if left without a renewal mechanism, risks becoming a barrier to repatriation rather than a protection. The reference implementation introduces a five-state lifecycle for GovernanceProtocol instances — ACTIVE, PENDING_REVALIDATION, EXPIRED, RENEWED, PERMANENT — with a configurable sunset date (default: 24 months) and a 90-day revalidation window. The PERMANENT state requires archived justification and a documented succession authority, and can only be declared by a community (not an external institution). This sunset mechanism addresses the limitation identified in §5.4 without relaxing the Hard Block: the block remains active during revalidation, and becomes permanent only on explicit community declaration.</w:t>
            </w:r>
          </w:p>
          <w:p>
            <w:pPr>
              <w:spacing w:after="80" w:before="60"/>
            </w:pPr>
          </w:p>
          <w:p>
            <w:pPr>
              <w:spacing w:after="80" w:before="80"/>
              <w:jc w:val="both"/>
            </w:pPr>
            <w:r>
              <w:rPr>
                <w:rFonts w:ascii="Cambria" w:cs="Cambria" w:eastAsia="Cambria" w:hAnsi="Cambria"/>
                <w:b/>
                <w:bCs/>
                <w:color w:val="1F6B75"/>
                <w:sz w:val="22"/>
                <w:szCs w:val="22"/>
              </w:rPr>
              <w:t xml:space="preserve">The AI-classification provenance problem.</w:t>
            </w:r>
            <w:r>
              <w:rPr>
                <w:rFonts w:ascii="Cambria" w:cs="Cambria" w:eastAsia="Cambria" w:hAnsi="Cambria"/>
                <w:i/>
                <w:iCs/>
                <w:color w:val="404040"/>
                <w:sz w:val="22"/>
                <w:szCs w:val="22"/>
              </w:rPr>
              <w:t xml:space="preserve"> As AI systems become more capable, the risk increases that AI-generated classifications appear legitimate without human validation. The reference implementation extends the epistemic_basis field (Section 5.1) to five values, including 'ai_generated_unvalidated', which blocks any output from feeding Layer 2 regardless of its content. A classification carried by 'ai_assisted_human_validated' — LLM-proposed, human-confirmed — carries a confidence_discount of 0.15 on the combined_confidence score, preserving a computational trace of its non-purely-statistical origin. This operationalises the non-delegation axiom: no algorithm produces a final governance decision without identified, timestamped human action.</w:t>
            </w:r>
          </w:p>
        </w:tc>
      </w:tr>
    </w:tbl>
    <w:p>
      <w:r>
        <w:br w:type="page"/>
      </w:r>
    </w:p>
    <w:p>
      <w:pPr>
        <w:pStyle w:val="Heading1"/>
        <w:spacing w:after="160" w:before="360"/>
      </w:pPr>
      <w:r>
        <w:rPr>
          <w:rFonts w:ascii="Cambria" w:cs="Cambria" w:eastAsia="Cambria" w:hAnsi="Cambria"/>
          <w:b/>
          <w:bCs/>
          <w:color w:val="1F4E79"/>
          <w:sz w:val="36"/>
          <w:szCs w:val="36"/>
        </w:rPr>
        <w:t xml:space="preserve">Amendement A3 — Nouvelle sous-section §5.5 : EAIFCH 2.0 Roadmap</w:t>
      </w:r>
    </w:p>
    <w:p>
      <w:pPr>
        <w:pStyle w:val="Heading2"/>
        <w:spacing w:after="120" w:before="260"/>
      </w:pPr>
      <w:r>
        <w:rPr>
          <w:rFonts w:ascii="Cambria" w:cs="Cambria" w:eastAsia="Cambria" w:hAnsi="Cambria"/>
          <w:b/>
          <w:bCs/>
          <w:color w:val="2E75B6"/>
          <w:sz w:val="28"/>
          <w:szCs w:val="28"/>
        </w:rPr>
        <w:t xml:space="preserve">Localisation exacte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thick" w:color="BFBFBF" w:sz="14"/>
              <w:bottom w:val="single" w:color="BFBFBF" w:sz="4"/>
              <w:right w:val="single" w:color="BFBFBF" w:sz="4"/>
            </w:tcBorders>
            <w:shd w:fill="F5F5F5" w:val="clear"/>
            <w:tcMar>
              <w:top w:type="dxa" w:w="100"/>
              <w:left w:type="dxa" w:w="200"/>
              <w:bottom w:type="dxa" w:w="100"/>
              <w:right w:type="dxa" w:w="200"/>
            </w:tcMar>
          </w:tcPr>
          <w:p>
            <w:pPr>
              <w:spacing w:after="80" w:before="60"/>
            </w:pPr>
            <w:r>
              <w:rPr>
                <w:rFonts w:ascii="Cambria" w:cs="Cambria" w:eastAsia="Cambria" w:hAnsi="Cambria"/>
                <w:b/>
                <w:bCs/>
                <w:color w:val="404040"/>
                <w:sz w:val="22"/>
                <w:szCs w:val="22"/>
              </w:rPr>
              <w:t xml:space="preserve">Localisation : §5 — Discussion, après §5.4</w:t>
            </w:r>
          </w:p>
          <w:p>
            <w:pPr>
              <w:spacing w:after="80" w:before="80"/>
              <w:jc w:val="both"/>
            </w:pPr>
            <w:r>
              <w:rPr>
                <w:rFonts w:ascii="Cambria" w:cs="Cambria" w:eastAsia="Cambria" w:hAnsi="Cambria"/>
                <w:color w:val="404040"/>
                <w:sz w:val="22"/>
                <w:szCs w:val="22"/>
              </w:rPr>
              <w:t xml:space="preserve">Insérer comme nouvelle sous-section §5.5, avant §6 (Conclusion). C'est l'amendement le plus substantiel et le plus important pour le positionnement.</w:t>
            </w:r>
          </w:p>
        </w:tc>
      </w:tr>
    </w:tbl>
    <w:p>
      <w:pPr>
        <w:spacing w:after="80" w:before="120"/>
      </w:pPr>
    </w:p>
    <w:p>
      <w:pPr>
        <w:pStyle w:val="Heading2"/>
        <w:spacing w:after="120" w:before="260"/>
      </w:pPr>
      <w:r>
        <w:rPr>
          <w:rFonts w:ascii="Cambria" w:cs="Cambria" w:eastAsia="Cambria" w:hAnsi="Cambria"/>
          <w:b/>
          <w:bCs/>
          <w:color w:val="2E75B6"/>
          <w:sz w:val="28"/>
          <w:szCs w:val="28"/>
        </w:rPr>
        <w:t xml:space="preserve">Justification stratégique</w:t>
      </w:r>
    </w:p>
    <w:p>
      <w:pPr>
        <w:spacing w:after="80" w:before="80"/>
        <w:jc w:val="both"/>
      </w:pPr>
      <w:r>
        <w:rPr>
          <w:rFonts w:ascii="Cambria" w:cs="Cambria" w:eastAsia="Cambria" w:hAnsi="Cambria"/>
          <w:color w:val="404040"/>
          <w:sz w:val="22"/>
          <w:szCs w:val="22"/>
        </w:rPr>
        <w:t xml:space="preserve">Un reviewer peut légitimement objecter à un manuscrit qui décrit SAVEC comme un framework sans prototype disponible : </w:t>
      </w:r>
      <w:r>
        <w:rPr>
          <w:rFonts w:ascii="Cambria" w:cs="Cambria" w:eastAsia="Cambria" w:hAnsi="Cambria"/>
          <w:i/>
          <w:iCs/>
          <w:color w:val="404040"/>
          <w:sz w:val="22"/>
          <w:szCs w:val="22"/>
        </w:rPr>
        <w:t xml:space="preserve">"Where is the code?"</w:t>
      </w:r>
      <w:r>
        <w:rPr>
          <w:rFonts w:ascii="Cambria" w:cs="Cambria" w:eastAsia="Cambria" w:hAnsi="Cambria"/>
          <w:color w:val="404040"/>
          <w:sz w:val="22"/>
          <w:szCs w:val="22"/>
        </w:rPr>
        <w:t xml:space="preserve">. EAIFCH 2.0 répond à cette objection en montrant que le framework a déjà engendré une évolution architecturale concrète, implémentée et fonctionnelle. §5.5 transforme la conclusion d'un argument théorique en un argument fondé sur un proof-of-concept opérationnel.</w:t>
      </w:r>
    </w:p>
    <w:p>
      <w:pPr>
        <w:spacing w:after="80" w:before="120"/>
      </w:pPr>
    </w:p>
    <w:p>
      <w:pPr>
        <w:pStyle w:val="Heading2"/>
        <w:spacing w:after="120" w:before="260"/>
      </w:pPr>
      <w:r>
        <w:rPr>
          <w:rFonts w:ascii="Cambria" w:cs="Cambria" w:eastAsia="Cambria" w:hAnsi="Cambria"/>
          <w:b/>
          <w:bCs/>
          <w:color w:val="2E75B6"/>
          <w:sz w:val="28"/>
          <w:szCs w:val="28"/>
        </w:rPr>
        <w:t xml:space="preserve">Texte complet de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4"/>
              <w:bottom w:val="single" w:color="375623" w:sz="4"/>
              <w:right w:val="single" w:color="375623" w:sz="4"/>
            </w:tcBorders>
            <w:shd w:fill="E2EFDA" w:val="clear"/>
            <w:tcMar>
              <w:top w:type="dxa" w:w="100"/>
              <w:left w:type="dxa" w:w="200"/>
              <w:bottom w:type="dxa" w:w="100"/>
              <w:right w:type="dxa" w:w="200"/>
            </w:tcMar>
          </w:tcPr>
          <w:p>
            <w:pPr>
              <w:spacing w:after="80" w:before="60"/>
            </w:pPr>
            <w:r>
              <w:rPr>
                <w:rFonts w:ascii="Cambria" w:cs="Cambria" w:eastAsia="Cambria" w:hAnsi="Cambria"/>
                <w:b/>
                <w:bCs/>
                <w:color w:val="375623"/>
                <w:sz w:val="22"/>
                <w:szCs w:val="22"/>
              </w:rPr>
              <w:t xml:space="preserve">NOUVEAU — §5.5 — From Framework to Adaptive System: EAIFCH 2.0</w:t>
            </w:r>
          </w:p>
          <w:p>
            <w:pPr>
              <w:spacing w:after="80" w:before="80"/>
              <w:jc w:val="both"/>
            </w:pPr>
            <w:r>
              <w:rPr>
                <w:rFonts w:ascii="Cambria" w:cs="Cambria" w:eastAsia="Cambria" w:hAnsi="Cambria"/>
                <w:color w:val="404040"/>
                <w:sz w:val="22"/>
                <w:szCs w:val="22"/>
              </w:rPr>
              <w:t xml:space="preserve">5.5.1 </w:t>
            </w:r>
            <w:r>
              <w:rPr>
                <w:rFonts w:ascii="Cambria" w:cs="Cambria" w:eastAsia="Cambria" w:hAnsi="Cambria"/>
                <w:b/>
                <w:bCs/>
                <w:color w:val="1F4E79"/>
                <w:sz w:val="22"/>
                <w:szCs w:val="22"/>
              </w:rPr>
              <w:t xml:space="preserve">The generative capacity of SAVEC.</w:t>
            </w:r>
          </w:p>
          <w:p>
            <w:pPr>
              <w:spacing w:after="80" w:before="40"/>
            </w:pPr>
          </w:p>
          <w:p>
            <w:pPr>
              <w:spacing w:after="80" w:before="80"/>
              <w:jc w:val="both"/>
            </w:pPr>
            <w:r>
              <w:rPr>
                <w:rFonts w:ascii="Cambria" w:cs="Cambria" w:eastAsia="Cambria" w:hAnsi="Cambria"/>
                <w:i/>
                <w:iCs/>
                <w:color w:val="404040"/>
                <w:sz w:val="22"/>
                <w:szCs w:val="22"/>
              </w:rPr>
              <w:t xml:space="preserve">SAVEC was designed as a meta-framework — a set of architectural requirements applicable to any computational system operating on culturally significant materials. Its analytical purchase was demonstrated through two pre-existing proof-of-concept frameworks. A more demanding test of a meta-framework's value is whether it generates new architectural insights when applied to problems it was not originally designed to address.</w:t>
            </w:r>
          </w:p>
          <w:p>
            <w:pPr>
              <w:spacing w:after="80" w:before="60"/>
            </w:pPr>
          </w:p>
          <w:p>
            <w:pPr>
              <w:spacing w:after="80" w:before="80"/>
              <w:jc w:val="both"/>
            </w:pPr>
            <w:r>
              <w:rPr>
                <w:rFonts w:ascii="Cambria" w:cs="Cambria" w:eastAsia="Cambria" w:hAnsi="Cambria"/>
                <w:i/>
                <w:iCs/>
                <w:color w:val="404040"/>
                <w:sz w:val="22"/>
                <w:szCs w:val="22"/>
              </w:rPr>
              <w:t xml:space="preserve">EAIFCH 2.0 — Ethical AI Framework for Cultural Heritage, v2.0 — is that test. It extends the SAVEC architecture from evaluation and blocking toward co-creation with communities, while maintaining strict human control over increasingly capable AI systems. A full specification and an operational prototype (Modules 0 and 7) are available at DOI: 10.17605/OSF.IO/Y8VBU.</w:t>
            </w:r>
          </w:p>
          <w:p>
            <w:pPr>
              <w:spacing w:after="80" w:before="80"/>
            </w:pPr>
          </w:p>
          <w:p>
            <w:pPr>
              <w:spacing w:after="80" w:before="80"/>
              <w:jc w:val="both"/>
            </w:pPr>
            <w:r>
              <w:rPr>
                <w:rFonts w:ascii="Cambria" w:cs="Cambria" w:eastAsia="Cambria" w:hAnsi="Cambria"/>
                <w:color w:val="404040"/>
                <w:sz w:val="22"/>
                <w:szCs w:val="22"/>
              </w:rPr>
              <w:t xml:space="preserve">5.5.2 </w:t>
            </w:r>
            <w:r>
              <w:rPr>
                <w:rFonts w:ascii="Cambria" w:cs="Cambria" w:eastAsia="Cambria" w:hAnsi="Cambria"/>
                <w:b/>
                <w:bCs/>
                <w:color w:val="1F4E79"/>
                <w:sz w:val="22"/>
                <w:szCs w:val="22"/>
              </w:rPr>
              <w:t xml:space="preserve">Module 0: Governance and Taxonomy Management.</w:t>
            </w:r>
          </w:p>
          <w:p>
            <w:pPr>
              <w:spacing w:after="80" w:before="40"/>
            </w:pPr>
          </w:p>
          <w:p>
            <w:pPr>
              <w:spacing w:after="80" w:before="80"/>
              <w:jc w:val="both"/>
            </w:pPr>
            <w:r>
              <w:rPr>
                <w:rFonts w:ascii="Cambria" w:cs="Cambria" w:eastAsia="Cambria" w:hAnsi="Cambria"/>
                <w:i/>
                <w:iCs/>
                <w:color w:val="404040"/>
                <w:sz w:val="22"/>
                <w:szCs w:val="22"/>
              </w:rPr>
              <w:t xml:space="preserve">SAVEC's Axiom 2 (governance constraints must be enforced computationally, not declared normatively) applies equally to the taxonomy that governs classification. EAIFCH 2.0 Module 0 implements Git-like semantic versioning for the central taxonomy — once published, a TaxonomyVersion is immutable, SHA-256 signed, and generates a migration report documenting backward-compatibility status. Community forks are implemented as superposition layers: they do not overwrite the central taxonomy; they add named, versioned, auditable exception rules (BooleanOverrideRule) that can only elevate sensitivity, never lower it. This upward-only asymmetry is the direct extension of SAVEC's asymmetric loss function into taxonomy governance.</w:t>
            </w:r>
          </w:p>
          <w:p>
            <w:pPr>
              <w:spacing w:after="80" w:before="40"/>
            </w:pPr>
          </w:p>
          <w:p>
            <w:pPr>
              <w:spacing w:after="80" w:before="80"/>
              <w:jc w:val="both"/>
            </w:pPr>
            <w:r>
              <w:rPr>
                <w:rFonts w:ascii="Cambria" w:cs="Cambria" w:eastAsia="Cambria" w:hAnsi="Cambria"/>
                <w:i/>
                <w:iCs/>
                <w:color w:val="404040"/>
                <w:sz w:val="22"/>
                <w:szCs w:val="22"/>
              </w:rPr>
              <w:t xml:space="preserve">Fuzzy logic was evaluated and rejected as a primary scoring mechanism for the same reason that unstructured discretion fails in SAVEC: outputs are difficult to audit. When a community challenges a classification, 'your indicators created exponential sensitivity through the dependency graph' is not defensible. The BooleanOverrideRule provides community expressiveness with full auditability — each rule is named, versioned, and recorded in every decision it influences.</w:t>
            </w:r>
          </w:p>
          <w:p>
            <w:pPr>
              <w:spacing w:after="80" w:before="80"/>
            </w:pPr>
          </w:p>
          <w:p>
            <w:pPr>
              <w:spacing w:after="80" w:before="80"/>
              <w:jc w:val="both"/>
            </w:pPr>
            <w:r>
              <w:rPr>
                <w:rFonts w:ascii="Cambria" w:cs="Cambria" w:eastAsia="Cambria" w:hAnsi="Cambria"/>
                <w:color w:val="404040"/>
                <w:sz w:val="22"/>
                <w:szCs w:val="22"/>
              </w:rPr>
              <w:t xml:space="preserve">5.5.3 </w:t>
            </w:r>
            <w:r>
              <w:rPr>
                <w:rFonts w:ascii="Cambria" w:cs="Cambria" w:eastAsia="Cambria" w:hAnsi="Cambria"/>
                <w:b/>
                <w:bCs/>
                <w:color w:val="1F4E79"/>
                <w:sz w:val="22"/>
                <w:szCs w:val="22"/>
              </w:rPr>
              <w:t xml:space="preserve">Module 7: AI Oversight and Human-in-the-Loop.</w:t>
            </w:r>
          </w:p>
          <w:p>
            <w:pPr>
              <w:spacing w:after="80" w:before="40"/>
            </w:pPr>
          </w:p>
          <w:p>
            <w:pPr>
              <w:spacing w:after="80" w:before="80"/>
              <w:jc w:val="both"/>
            </w:pPr>
            <w:r>
              <w:rPr>
                <w:rFonts w:ascii="Cambria" w:cs="Cambria" w:eastAsia="Cambria" w:hAnsi="Cambria"/>
                <w:i/>
                <w:iCs/>
                <w:color w:val="404040"/>
                <w:sz w:val="22"/>
                <w:szCs w:val="22"/>
              </w:rPr>
              <w:t xml:space="preserve">SAVEC Axiom 1 requires that no ethical decision be made on the basis of statistically unvalidated evidence. Module 7 extends this requirement to AI-generated evidence: no LLM output may feed Layer 2 without documented human validation. The AIBsandbox implements five inviolable ConstitutionalRules derived from CARE Principles — prohibiting appropriation, sacred-content interpretation, and any final governance decision by an algorithm. The LLMOutputValidator workflow transitions epistemic_basis from 'ai_generated_unvalidated' (blocked from Layer 2) to 'ai_assisted_human_validated' (permitted, with a 0.15 confidence_discount) only after human confirmation. The non-delegation axiom — no algorithm produces a final governance decision without identified, timestamped human action — is enforced architecturally, not declared in documentation.</w:t>
            </w:r>
          </w:p>
          <w:p>
            <w:pPr>
              <w:spacing w:after="80" w:before="40"/>
            </w:pPr>
          </w:p>
          <w:p>
            <w:pPr>
              <w:spacing w:after="80" w:before="80"/>
              <w:jc w:val="both"/>
            </w:pPr>
            <w:r>
              <w:rPr>
                <w:rFonts w:ascii="Cambria" w:cs="Cambria" w:eastAsia="Cambria" w:hAnsi="Cambria"/>
                <w:i/>
                <w:iCs/>
                <w:color w:val="404040"/>
                <w:sz w:val="22"/>
                <w:szCs w:val="22"/>
              </w:rPr>
              <w:t xml:space="preserve">This module also implements a traced AI Sparring Partner mode (SparkingSessionRecord) that formalises the human-AI collaborative methodology used throughout this research programme — including the development of this manuscript itself. Confidential sparring sessions are available for communities that wish to explore sensitive questions without public exposure of prompt content; the session hash is preserved for audit integrity. This addresses the tension identified in §5.3 between transparency requirements and the CARE Principle of Authority to Control: traceability is maintained; the locus of access is determined by community authority.</w:t>
            </w:r>
          </w:p>
          <w:p>
            <w:pPr>
              <w:spacing w:after="80" w:before="80"/>
            </w:pPr>
          </w:p>
          <w:p>
            <w:pPr>
              <w:spacing w:after="80" w:before="80"/>
              <w:jc w:val="both"/>
            </w:pPr>
            <w:r>
              <w:rPr>
                <w:rFonts w:ascii="Cambria" w:cs="Cambria" w:eastAsia="Cambria" w:hAnsi="Cambria"/>
                <w:color w:val="404040"/>
                <w:sz w:val="22"/>
                <w:szCs w:val="22"/>
              </w:rPr>
              <w:t xml:space="preserve">5.5.4 </w:t>
            </w:r>
            <w:r>
              <w:rPr>
                <w:rFonts w:ascii="Cambria" w:cs="Cambria" w:eastAsia="Cambria" w:hAnsi="Cambria"/>
                <w:b/>
                <w:bCs/>
                <w:color w:val="1F4E79"/>
                <w:sz w:val="22"/>
                <w:szCs w:val="22"/>
              </w:rPr>
              <w:t xml:space="preserve">Design principle and positioning.</w:t>
            </w:r>
          </w:p>
          <w:p>
            <w:pPr>
              <w:spacing w:after="80" w:before="40"/>
            </w:pPr>
          </w:p>
          <w:p>
            <w:pPr>
              <w:spacing w:after="80" w:before="80"/>
              <w:jc w:val="both"/>
            </w:pPr>
            <w:r>
              <w:rPr>
                <w:rFonts w:ascii="Cambria" w:cs="Cambria" w:eastAsia="Cambria" w:hAnsi="Cambria"/>
                <w:i/>
                <w:iCs/>
                <w:color w:val="404040"/>
                <w:sz w:val="22"/>
                <w:szCs w:val="22"/>
              </w:rPr>
              <w:t xml:space="preserve">The design principle of EAIFCH 2.0 — 'maximum community authority with minimum computational privilege' — is the direct application of SAVEC's Sustainability Constraint (Layer 3) to the governance layer itself. A system whose computational complexity exceeds what its epistemic output justifies is disproportionate. A system whose algorithmic authority exceeds what community consent authorises is illegitimate. EAIFCH 2.0 treats both constraints as jointly necessary.</w:t>
            </w:r>
          </w:p>
          <w:p>
            <w:pPr>
              <w:spacing w:after="80" w:before="40"/>
            </w:pPr>
          </w:p>
          <w:p>
            <w:pPr>
              <w:spacing w:after="80" w:before="80"/>
              <w:jc w:val="both"/>
            </w:pPr>
            <w:r>
              <w:rPr>
                <w:rFonts w:ascii="Cambria" w:cs="Cambria" w:eastAsia="Cambria" w:hAnsi="Cambria"/>
                <w:i/>
                <w:iCs/>
                <w:color w:val="404040"/>
                <w:sz w:val="22"/>
                <w:szCs w:val="22"/>
              </w:rPr>
              <w:t xml:space="preserve">This positions EAIFCH 2.0 not as a replacement for SAVEC but as its first major application domain: a proof that the meta-framework generates sound architectural decisions across problem types it was not originally designed to solve. The digital humanities community faces a structural choice between two trajectories: one in which advanced AI systems are deployed on heritage materials without community consent or architectural constraint, and one in which communities define the rules before systems are deployed. SAVEC and EAIFCH 2.0 are contributions to the second trajectory — not aspirations, but demonstrated properties of systems that exist, have been specified, and have produced actionable outputs.</w:t>
            </w:r>
          </w:p>
        </w:tc>
      </w:tr>
    </w:tbl>
    <w:p>
      <w:r>
        <w:br w:type="page"/>
      </w:r>
    </w:p>
    <w:p>
      <w:pPr>
        <w:pStyle w:val="Heading1"/>
        <w:spacing w:after="160" w:before="360"/>
      </w:pPr>
      <w:r>
        <w:rPr>
          <w:rFonts w:ascii="Cambria" w:cs="Cambria" w:eastAsia="Cambria" w:hAnsi="Cambria"/>
          <w:b/>
          <w:bCs/>
          <w:color w:val="1F4E79"/>
          <w:sz w:val="36"/>
          <w:szCs w:val="36"/>
        </w:rPr>
        <w:t xml:space="preserve">Amendement A4 — §6.3 : Extension des implications pour le domaine</w:t>
      </w:r>
    </w:p>
    <w:p>
      <w:pPr>
        <w:pStyle w:val="Heading2"/>
        <w:spacing w:after="120" w:before="260"/>
      </w:pPr>
      <w:r>
        <w:rPr>
          <w:rFonts w:ascii="Cambria" w:cs="Cambria" w:eastAsia="Cambria" w:hAnsi="Cambria"/>
          <w:b/>
          <w:bCs/>
          <w:color w:val="2E75B6"/>
          <w:sz w:val="28"/>
          <w:szCs w:val="28"/>
        </w:rPr>
        <w:t xml:space="preserve">Localisation exacte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thick" w:color="BFBFBF" w:sz="14"/>
              <w:bottom w:val="single" w:color="BFBFBF" w:sz="4"/>
              <w:right w:val="single" w:color="BFBFBF" w:sz="4"/>
            </w:tcBorders>
            <w:shd w:fill="F5F5F5" w:val="clear"/>
            <w:tcMar>
              <w:top w:type="dxa" w:w="100"/>
              <w:left w:type="dxa" w:w="200"/>
              <w:bottom w:type="dxa" w:w="100"/>
              <w:right w:type="dxa" w:w="200"/>
            </w:tcMar>
          </w:tcPr>
          <w:p>
            <w:pPr>
              <w:spacing w:after="80" w:before="60"/>
            </w:pPr>
            <w:r>
              <w:rPr>
                <w:rFonts w:ascii="Cambria" w:cs="Cambria" w:eastAsia="Cambria" w:hAnsi="Cambria"/>
                <w:b/>
                <w:bCs/>
                <w:color w:val="404040"/>
                <w:sz w:val="22"/>
                <w:szCs w:val="22"/>
              </w:rPr>
              <w:t xml:space="preserve">Localisation : §6.3 — Implications for the Field</w:t>
            </w:r>
          </w:p>
          <w:p>
            <w:pPr>
              <w:spacing w:after="80" w:before="80"/>
              <w:jc w:val="both"/>
            </w:pPr>
            <w:r>
              <w:rPr>
                <w:rFonts w:ascii="Cambria" w:cs="Cambria" w:eastAsia="Cambria" w:hAnsi="Cambria"/>
                <w:color w:val="404040"/>
                <w:sz w:val="22"/>
                <w:szCs w:val="22"/>
              </w:rPr>
              <w:t xml:space="preserve">Section 6.3, paragraphe final (actuellement : </w:t>
            </w:r>
            <w:r>
              <w:rPr>
                <w:rFonts w:ascii="Cambria" w:cs="Cambria" w:eastAsia="Cambria" w:hAnsi="Cambria"/>
                <w:i/>
                <w:iCs/>
                <w:color w:val="404040"/>
                <w:sz w:val="22"/>
                <w:szCs w:val="22"/>
              </w:rPr>
              <w:t xml:space="preserve">"The computational humanities has the methods. SAVEC proposes the architecture that makes them jointly necessary."</w:t>
            </w:r>
            <w:r>
              <w:rPr>
                <w:rFonts w:ascii="Cambria" w:cs="Cambria" w:eastAsia="Cambria" w:hAnsi="Cambria"/>
                <w:color w:val="404040"/>
                <w:sz w:val="22"/>
                <w:szCs w:val="22"/>
              </w:rPr>
              <w:t xml:space="preserve">). Ajouter deux paragraphes avant cette phrase de clôture.</w:t>
            </w:r>
          </w:p>
        </w:tc>
      </w:tr>
    </w:tbl>
    <w:p>
      <w:pPr>
        <w:spacing w:after="80" w:before="120"/>
      </w:pPr>
    </w:p>
    <w:p>
      <w:pPr>
        <w:pStyle w:val="Heading2"/>
        <w:spacing w:after="120" w:before="260"/>
      </w:pPr>
      <w:r>
        <w:rPr>
          <w:rFonts w:ascii="Cambria" w:cs="Cambria" w:eastAsia="Cambria" w:hAnsi="Cambria"/>
          <w:b/>
          <w:bCs/>
          <w:color w:val="2E75B6"/>
          <w:sz w:val="28"/>
          <w:szCs w:val="28"/>
        </w:rPr>
        <w:t xml:space="preserve">Contexte</w:t>
      </w:r>
    </w:p>
    <w:p>
      <w:pPr>
        <w:spacing w:after="80" w:before="80"/>
        <w:jc w:val="both"/>
      </w:pPr>
      <w:r>
        <w:rPr>
          <w:rFonts w:ascii="Cambria" w:cs="Cambria" w:eastAsia="Cambria" w:hAnsi="Cambria"/>
          <w:color w:val="404040"/>
          <w:sz w:val="22"/>
          <w:szCs w:val="22"/>
        </w:rPr>
        <w:t xml:space="preserve">La phrase de clôture de §6.3 est forte mais elle reste au niveau du framework. Avec le prototype EAIFCH 2.0 disponible, il est possible d'ajouter deux implications concrètes qui n'étaient pas défendables à la soumission : (1) l'AI Oversight comme condition architecturale, non comme recommandation, et (2) la gouvernance taxonomique décentralisée comme réponse au problème du taxonomy governance gap identifié en §5.4.</w:t>
      </w:r>
    </w:p>
    <w:p>
      <w:pPr>
        <w:spacing w:after="80" w:before="120"/>
      </w:pPr>
    </w:p>
    <w:p>
      <w:pPr>
        <w:pStyle w:val="Heading2"/>
        <w:spacing w:after="120" w:before="260"/>
      </w:pPr>
      <w:r>
        <w:rPr>
          <w:rFonts w:ascii="Cambria" w:cs="Cambria" w:eastAsia="Cambria" w:hAnsi="Cambria"/>
          <w:b/>
          <w:bCs/>
          <w:color w:val="2E75B6"/>
          <w:sz w:val="28"/>
          <w:szCs w:val="28"/>
        </w:rPr>
        <w:t xml:space="preserve">Texte à ajouter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4"/>
              <w:bottom w:val="single" w:color="375623" w:sz="4"/>
              <w:right w:val="single" w:color="375623" w:sz="4"/>
            </w:tcBorders>
            <w:shd w:fill="E2EFDA" w:val="clear"/>
            <w:tcMar>
              <w:top w:type="dxa" w:w="100"/>
              <w:left w:type="dxa" w:w="200"/>
              <w:bottom w:type="dxa" w:w="100"/>
              <w:right w:type="dxa" w:w="200"/>
            </w:tcMar>
          </w:tcPr>
          <w:p>
            <w:pPr>
              <w:spacing w:after="80" w:before="60"/>
            </w:pPr>
            <w:r>
              <w:rPr>
                <w:rFonts w:ascii="Cambria" w:cs="Cambria" w:eastAsia="Cambria" w:hAnsi="Cambria"/>
                <w:b/>
                <w:bCs/>
                <w:color w:val="375623"/>
                <w:sz w:val="22"/>
                <w:szCs w:val="22"/>
              </w:rPr>
              <w:t xml:space="preserve">NOUVEAU — Deux paragraphes à insérer avant la phrase de clôture de §6.3</w:t>
            </w:r>
          </w:p>
          <w:p>
            <w:pPr>
              <w:spacing w:after="80" w:before="80"/>
              <w:jc w:val="both"/>
            </w:pPr>
            <w:r>
              <w:rPr>
                <w:rFonts w:ascii="Cambria" w:cs="Cambria" w:eastAsia="Cambria" w:hAnsi="Cambria"/>
                <w:i/>
                <w:iCs/>
                <w:color w:val="404040"/>
                <w:sz w:val="22"/>
                <w:szCs w:val="22"/>
              </w:rPr>
              <w:t xml:space="preserve">A third implication follows from the EAIFCH 2.0 prototype: AI oversight is an architectural condition, not a policy recommendation. As language models become capable enough to produce classifications that appear legitimate even when drifting, the only reliable safeguard is an architecture that enforces human validation before any AI-generated output reaches a governance decision. The AIBsandbox and LLMOutputValidator demonstrate that this enforcement is technically straightforward and computationally negligible. The discipline that has developed the most rigorous statistical frameworks for validating patterns in cultural materials is positioned to develop equally rigorous frameworks for validating AI behaviour in that domain. SAVEC provides the epistemic architecture; EAIFCH 2.0 provides its first application.</w:t>
            </w:r>
          </w:p>
          <w:p>
            <w:pPr>
              <w:spacing w:after="80" w:before="60"/>
            </w:pPr>
          </w:p>
          <w:p>
            <w:pPr>
              <w:spacing w:after="80" w:before="80"/>
              <w:jc w:val="both"/>
            </w:pPr>
            <w:r>
              <w:rPr>
                <w:rFonts w:ascii="Cambria" w:cs="Cambria" w:eastAsia="Cambria" w:hAnsi="Cambria"/>
                <w:i/>
                <w:iCs/>
                <w:color w:val="404040"/>
                <w:sz w:val="22"/>
                <w:szCs w:val="22"/>
              </w:rPr>
              <w:t xml:space="preserve">A fourth implication concerns the taxonomy itself. Heritage communities are not passive recipients of classification systems — they are, or should be, their co-architects. The CommunityFork mechanism in EAIFCH 2.0 Module 0 demonstrates that decentralised taxonomy governance is implementable without sacrificing backward-compatibility or auditability. A community that identifies a gap between the central taxonomy and its own ontology can declare a named, versioned, SHA-256-signed override rule — auditable by any external reviewer, revocable by the signing authority, and enforceable by the same pessimistic default logic that SAVEC applies to statistical inference. The most culturally appropriate classification system is not the one designed by experts and imposed on communities. It is the one designed by experts, governed by communities, and enforced by architecture.</w:t>
            </w:r>
          </w:p>
        </w:tc>
      </w:tr>
    </w:tbl>
    <w:p>
      <w:r>
        <w:br w:type="page"/>
      </w:r>
    </w:p>
    <w:p>
      <w:pPr>
        <w:pStyle w:val="Heading1"/>
        <w:spacing w:after="160" w:before="360"/>
      </w:pPr>
      <w:r>
        <w:rPr>
          <w:rFonts w:ascii="Cambria" w:cs="Cambria" w:eastAsia="Cambria" w:hAnsi="Cambria"/>
          <w:b/>
          <w:bCs/>
          <w:color w:val="1F4E79"/>
          <w:sz w:val="36"/>
          <w:szCs w:val="36"/>
        </w:rPr>
        <w:t xml:space="preserve">Amendement A5 — Références : Ajouts OSF et EAIFCH 2.0</w:t>
      </w:r>
    </w:p>
    <w:p>
      <w:pPr>
        <w:pStyle w:val="Heading2"/>
        <w:spacing w:after="120" w:before="260"/>
      </w:pPr>
      <w:r>
        <w:rPr>
          <w:rFonts w:ascii="Cambria" w:cs="Cambria" w:eastAsia="Cambria" w:hAnsi="Cambria"/>
          <w:b/>
          <w:bCs/>
          <w:color w:val="2E75B6"/>
          <w:sz w:val="28"/>
          <w:szCs w:val="28"/>
        </w:rPr>
        <w:t xml:space="preserve">Localisation exacte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thick" w:color="BFBFBF" w:sz="14"/>
              <w:bottom w:val="single" w:color="BFBFBF" w:sz="4"/>
              <w:right w:val="single" w:color="BFBFBF" w:sz="4"/>
            </w:tcBorders>
            <w:shd w:fill="F5F5F5" w:val="clear"/>
            <w:tcMar>
              <w:top w:type="dxa" w:w="100"/>
              <w:left w:type="dxa" w:w="200"/>
              <w:bottom w:type="dxa" w:w="100"/>
              <w:right w:type="dxa" w:w="200"/>
            </w:tcMar>
          </w:tcPr>
          <w:p>
            <w:pPr>
              <w:spacing w:after="80" w:before="60"/>
            </w:pPr>
            <w:r>
              <w:rPr>
                <w:rFonts w:ascii="Cambria" w:cs="Cambria" w:eastAsia="Cambria" w:hAnsi="Cambria"/>
                <w:b/>
                <w:bCs/>
                <w:color w:val="404040"/>
                <w:sz w:val="22"/>
                <w:szCs w:val="22"/>
              </w:rPr>
              <w:t xml:space="preserve">Localisation : References, fin de section</w:t>
            </w:r>
          </w:p>
          <w:p>
            <w:pPr>
              <w:spacing w:after="80" w:before="80"/>
              <w:jc w:val="both"/>
            </w:pPr>
            <w:r>
              <w:rPr>
                <w:rFonts w:ascii="Cambria" w:cs="Cambria" w:eastAsia="Cambria" w:hAnsi="Cambria"/>
                <w:color w:val="404040"/>
                <w:sz w:val="22"/>
                <w:szCs w:val="22"/>
              </w:rPr>
              <w:t xml:space="preserve">Ajouter trois entrées à la liste de références, après les entrées existantes [Author, manuscript under review].</w:t>
            </w:r>
          </w:p>
        </w:tc>
      </w:tr>
    </w:tbl>
    <w:p>
      <w:pPr>
        <w:spacing w:after="80" w:before="120"/>
      </w:pPr>
    </w:p>
    <w:p>
      <w:pPr>
        <w:pStyle w:val="Heading2"/>
        <w:spacing w:after="120" w:before="260"/>
      </w:pPr>
      <w:r>
        <w:rPr>
          <w:rFonts w:ascii="Cambria" w:cs="Cambria" w:eastAsia="Cambria" w:hAnsi="Cambria"/>
          <w:b/>
          <w:bCs/>
          <w:color w:val="2E75B6"/>
          <w:sz w:val="28"/>
          <w:szCs w:val="28"/>
        </w:rPr>
        <w:t xml:space="preserve">Entrées à ajouter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4"/>
              <w:bottom w:val="single" w:color="375623" w:sz="4"/>
              <w:right w:val="single" w:color="375623" w:sz="4"/>
            </w:tcBorders>
            <w:shd w:fill="E2EFDA" w:val="clear"/>
            <w:tcMar>
              <w:top w:type="dxa" w:w="100"/>
              <w:left w:type="dxa" w:w="200"/>
              <w:bottom w:type="dxa" w:w="100"/>
              <w:right w:type="dxa" w:w="200"/>
            </w:tcMar>
          </w:tcPr>
          <w:p>
            <w:pPr>
              <w:spacing w:after="80" w:before="60"/>
            </w:pPr>
            <w:r>
              <w:rPr>
                <w:rFonts w:ascii="Cambria" w:cs="Cambria" w:eastAsia="Cambria" w:hAnsi="Cambria"/>
                <w:b/>
                <w:bCs/>
                <w:color w:val="375623"/>
                <w:sz w:val="22"/>
                <w:szCs w:val="22"/>
              </w:rPr>
              <w:t xml:space="preserve">NOUVEAU — Trois nouvelles références</w:t>
            </w:r>
          </w:p>
          <w:p>
            <w:pPr>
              <w:spacing w:after="80" w:before="80"/>
              <w:jc w:val="both"/>
            </w:pPr>
            <w:r>
              <w:rPr>
                <w:rFonts w:ascii="Cambria" w:cs="Cambria" w:eastAsia="Cambria" w:hAnsi="Cambria"/>
                <w:b/>
                <w:bCs/>
                <w:color w:val="1F4E79"/>
                <w:sz w:val="22"/>
                <w:szCs w:val="22"/>
              </w:rPr>
              <w:t xml:space="preserve">Référence 1 — Moteur SAVEC v3.1 :</w:t>
            </w:r>
          </w:p>
          <w:p>
            <w:pPr>
              <w:spacing w:after="80" w:before="40"/>
            </w:pPr>
          </w:p>
          <w:p>
            <w:pPr>
              <w:spacing w:after="80" w:before="80"/>
              <w:jc w:val="both"/>
            </w:pPr>
            <w:r>
              <w:rPr>
                <w:rFonts w:ascii="Cambria" w:cs="Cambria" w:eastAsia="Cambria" w:hAnsi="Cambria"/>
                <w:color w:val="404040"/>
                <w:sz w:val="22"/>
                <w:szCs w:val="22"/>
              </w:rPr>
              <w:t xml:space="preserve">[Author]. (2026). SAVEC Integration Engine v3.1: Statistical Architecture for Validated Ethical Curation — Layer 1 + Layer 2 Reference Implementation. OSF. DOI: 10.17605/OSF.IO/Y8VBU. [Software]</w:t>
            </w:r>
          </w:p>
          <w:p>
            <w:pPr>
              <w:spacing w:after="80" w:before="80"/>
            </w:pPr>
          </w:p>
          <w:p>
            <w:pPr>
              <w:spacing w:after="80" w:before="80"/>
              <w:jc w:val="both"/>
            </w:pPr>
            <w:r>
              <w:rPr>
                <w:rFonts w:ascii="Cambria" w:cs="Cambria" w:eastAsia="Cambria" w:hAnsi="Cambria"/>
                <w:b/>
                <w:bCs/>
                <w:color w:val="1F4E79"/>
                <w:sz w:val="22"/>
                <w:szCs w:val="22"/>
              </w:rPr>
              <w:t xml:space="preserve">Référence 2 — Prototype EAIFCH 2.0 :</w:t>
            </w:r>
          </w:p>
          <w:p>
            <w:pPr>
              <w:spacing w:after="80" w:before="40"/>
            </w:pPr>
          </w:p>
          <w:p>
            <w:pPr>
              <w:spacing w:after="80" w:before="80"/>
              <w:jc w:val="both"/>
            </w:pPr>
            <w:r>
              <w:rPr>
                <w:rFonts w:ascii="Cambria" w:cs="Cambria" w:eastAsia="Cambria" w:hAnsi="Cambria"/>
                <w:color w:val="404040"/>
                <w:sz w:val="22"/>
                <w:szCs w:val="22"/>
              </w:rPr>
              <w:t xml:space="preserve">[Author]. (2026). EAIFCH 2.0: Ethical AI Framework for Cultural Heritage — Module 0 (Governance &amp; Taxonomy) + Module 7 (AI Oversight &amp; Human-in-the-Loop) Prototype. OSF. DOI: 10.17605/OSF.IO/Y8VBU. [Software]</w:t>
            </w:r>
          </w:p>
          <w:p>
            <w:pPr>
              <w:spacing w:after="80" w:before="80"/>
            </w:pPr>
          </w:p>
          <w:p>
            <w:pPr>
              <w:spacing w:after="80" w:before="80"/>
              <w:jc w:val="both"/>
            </w:pPr>
            <w:r>
              <w:rPr>
                <w:rFonts w:ascii="Cambria" w:cs="Cambria" w:eastAsia="Cambria" w:hAnsi="Cambria"/>
                <w:b/>
                <w:bCs/>
                <w:color w:val="1F4E79"/>
                <w:sz w:val="22"/>
                <w:szCs w:val="22"/>
              </w:rPr>
              <w:t xml:space="preserve">Référence 3 — Spécification EAIFCH 2.0 :</w:t>
            </w:r>
          </w:p>
          <w:p>
            <w:pPr>
              <w:spacing w:after="80" w:before="40"/>
            </w:pPr>
          </w:p>
          <w:p>
            <w:pPr>
              <w:spacing w:after="80" w:before="80"/>
              <w:jc w:val="both"/>
            </w:pPr>
            <w:r>
              <w:rPr>
                <w:rFonts w:ascii="Cambria" w:cs="Cambria" w:eastAsia="Cambria" w:hAnsi="Cambria"/>
                <w:color w:val="404040"/>
                <w:sz w:val="22"/>
                <w:szCs w:val="22"/>
              </w:rPr>
              <w:t xml:space="preserve">[Author]. (2026). EAIFCH 2.0 Architecture Specification: From Ethical Decision Framework to Adaptive Socio-Technical System. Pre-specification draft. OSF. DOI: 10.17605/OSF.IO/Y8VBU.</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4"/>
              <w:bottom w:val="single" w:color="2E75B6" w:sz="4"/>
              <w:right w:val="single" w:color="2E75B6" w:sz="4"/>
            </w:tcBorders>
            <w:shd w:fill="D9E8F5" w:val="clear"/>
            <w:tcMar>
              <w:top w:type="dxa" w:w="100"/>
              <w:left w:type="dxa" w:w="200"/>
              <w:bottom w:type="dxa" w:w="100"/>
              <w:right w:type="dxa" w:w="200"/>
            </w:tcMar>
          </w:tcPr>
          <w:p>
            <w:pPr>
              <w:spacing w:after="80" w:before="60"/>
            </w:pPr>
            <w:r>
              <w:rPr>
                <w:rFonts w:ascii="Cambria" w:cs="Cambria" w:eastAsia="Cambria" w:hAnsi="Cambria"/>
                <w:b/>
                <w:bCs/>
                <w:color w:val="1F4E79"/>
                <w:sz w:val="22"/>
                <w:szCs w:val="22"/>
              </w:rPr>
              <w:t xml:space="preserve">Note : Note sur l'anonymisation</w:t>
            </w:r>
          </w:p>
          <w:p>
            <w:pPr>
              <w:spacing w:after="80" w:before="80"/>
              <w:jc w:val="both"/>
            </w:pPr>
            <w:r>
              <w:rPr>
                <w:rFonts w:ascii="Cambria" w:cs="Cambria" w:eastAsia="Cambria" w:hAnsi="Cambria"/>
                <w:color w:val="404040"/>
                <w:sz w:val="22"/>
                <w:szCs w:val="22"/>
              </w:rPr>
              <w:t xml:space="preserve">Les trois références ci-dessus utilisent [Author] pour maintenir l'anonymat double-aveugle si requis par le journal. Pour la version finale post-acceptation, remplacer [Author] par : Benseddik, A.</w:t>
            </w:r>
          </w:p>
        </w:tc>
      </w:tr>
    </w:tbl>
    <w:p>
      <w:r>
        <w:br w:type="page"/>
      </w:r>
    </w:p>
    <w:p>
      <w:pPr>
        <w:pStyle w:val="Heading1"/>
        <w:spacing w:after="160" w:before="360"/>
      </w:pPr>
      <w:r>
        <w:rPr>
          <w:rFonts w:ascii="Cambria" w:cs="Cambria" w:eastAsia="Cambria" w:hAnsi="Cambria"/>
          <w:b/>
          <w:bCs/>
          <w:color w:val="1F4E79"/>
          <w:sz w:val="36"/>
          <w:szCs w:val="36"/>
        </w:rPr>
        <w:t xml:space="preserve">Note sur l'AI Collaboration Statement</w:t>
      </w:r>
    </w:p>
    <w:p>
      <w:pPr>
        <w:spacing w:after="80" w:before="80"/>
        <w:jc w:val="both"/>
      </w:pPr>
      <w:r>
        <w:rPr>
          <w:rFonts w:ascii="Cambria" w:cs="Cambria" w:eastAsia="Cambria" w:hAnsi="Cambria"/>
          <w:color w:val="404040"/>
          <w:sz w:val="22"/>
          <w:szCs w:val="22"/>
        </w:rPr>
        <w:t xml:space="preserve">Le manuscrit soumis contient un AI Collaboration Statement complet en tête de document (avant l'introduction), conformément aux pratiques émergentes de transparence (COPE, 2023). Aucun amendement n'est nécessaire sur ce point.</w:t>
      </w:r>
    </w:p>
    <w:p>
      <w:pPr>
        <w:spacing w:after="80" w:before="80"/>
      </w:pPr>
    </w:p>
    <w:p>
      <w:pPr>
        <w:spacing w:after="80" w:before="80"/>
        <w:jc w:val="both"/>
      </w:pPr>
      <w:r>
        <w:rPr>
          <w:rFonts w:ascii="Cambria" w:cs="Cambria" w:eastAsia="Cambria" w:hAnsi="Cambria"/>
          <w:color w:val="404040"/>
          <w:sz w:val="22"/>
          <w:szCs w:val="22"/>
        </w:rPr>
        <w:t xml:space="preserve">En revanche, la §5.5 ajoutée par l'Amendement A3 contient une référence directe à l'usage du mode Sparring Partner pour le développement du manuscrit lui-même. Cette cohérence — un papier argumentant pour la transparence architecturale dans les humanités computationnelles qui documente les conditions de sa propre production — est intentionnelle et renforce la position du manuscrit.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4"/>
              <w:bottom w:val="single" w:color="2E75B6" w:sz="4"/>
              <w:right w:val="single" w:color="2E75B6" w:sz="4"/>
            </w:tcBorders>
            <w:shd w:fill="D9E8F5" w:val="clear"/>
            <w:tcMar>
              <w:top w:type="dxa" w:w="100"/>
              <w:left w:type="dxa" w:w="200"/>
              <w:bottom w:type="dxa" w:w="100"/>
              <w:right w:type="dxa" w:w="200"/>
            </w:tcMar>
          </w:tcPr>
          <w:p>
            <w:pPr>
              <w:spacing w:after="80" w:before="60"/>
            </w:pPr>
            <w:r>
              <w:rPr>
                <w:rFonts w:ascii="Cambria" w:cs="Cambria" w:eastAsia="Cambria" w:hAnsi="Cambria"/>
                <w:b/>
                <w:bCs/>
                <w:color w:val="1F4E79"/>
                <w:sz w:val="22"/>
                <w:szCs w:val="22"/>
              </w:rPr>
              <w:t xml:space="preserve">Note : Formulation recommandée pour update de l'AI Statement si requis</w:t>
            </w:r>
          </w:p>
          <w:p>
            <w:pPr>
              <w:spacing w:after="80" w:before="80"/>
              <w:jc w:val="both"/>
            </w:pPr>
            <w:r>
              <w:rPr>
                <w:rFonts w:ascii="Cambria" w:cs="Cambria" w:eastAsia="Cambria" w:hAnsi="Cambria"/>
                <w:color w:val="404040"/>
                <w:sz w:val="22"/>
                <w:szCs w:val="22"/>
              </w:rPr>
              <w:t xml:space="preserve">Si le journal demande une mise à jour de l'AI Collaboration Statement suite aux révisions : </w:t>
            </w:r>
            <w:r>
              <w:rPr>
                <w:rFonts w:ascii="Cambria" w:cs="Cambria" w:eastAsia="Cambria" w:hAnsi="Cambria"/>
                <w:i/>
                <w:iCs/>
                <w:color w:val="404040"/>
                <w:sz w:val="22"/>
                <w:szCs w:val="22"/>
              </w:rPr>
              <w:t xml:space="preserve">A subsequent prototype phase (EAIFCH 2.0, May 2026) was developed in continued human-AI collaboration, including the design of Module 0 (Governance &amp; Taxonomy Management) and Module 7 (AI Oversight &amp; Human-in-the-Loop). All architectural decisions documented in §5.5 were reached through structured deliberation between the human author and Claude; the AI Sparring Partner mode used in this phase is itself formalised as a component of Module 7, consistent with the transparency requirements SAVEC imposes on computational systems.</w:t>
            </w:r>
          </w:p>
        </w:tc>
      </w:tr>
    </w:tbl>
    <w:p>
      <w:r>
        <w:br w:type="page"/>
      </w:r>
    </w:p>
    <w:p>
      <w:pPr>
        <w:pStyle w:val="Heading1"/>
        <w:spacing w:after="160" w:before="360"/>
      </w:pPr>
      <w:r>
        <w:rPr>
          <w:rFonts w:ascii="Cambria" w:cs="Cambria" w:eastAsia="Cambria" w:hAnsi="Cambria"/>
          <w:b/>
          <w:bCs/>
          <w:color w:val="1F4E79"/>
          <w:sz w:val="36"/>
          <w:szCs w:val="36"/>
        </w:rPr>
        <w:t xml:space="preserve">Récapitulatif : Impact de chaque amendement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Amendement</w:t>
            </w:r>
          </w:p>
        </w:tc>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mbria" w:cs="Cambria" w:eastAsia="Cambria" w:hAnsi="Cambria"/>
                <w:b/>
                <w:bCs/>
                <w:color w:val="FFFFFF"/>
                <w:sz w:val="20"/>
                <w:szCs w:val="20"/>
              </w:rPr>
              <w:t xml:space="preserve">Ce que ça change pour le reviewer</w:t>
            </w:r>
          </w:p>
        </w:tc>
      </w:tr>
      <w:tr>
        <w:trPr>
          <w:tblHeader w:val="false"/>
        </w:trPr>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A1 — §5.1 + EpistemicBridgeResult</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La dépendance Layer 1 → Layer 2 n'est plus seulement théorisée — elle est implémentée et citée avec DOI. Un reviewer qui demanderait 'show me the code' a une réponse directe.</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A2 — §5.4e : sunset + AI provenance</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Deux limitations identifiées en §5.4 sont désormais adressées dans le prototype. La section des limitations est plus honnête et plus complète.</w:t>
            </w:r>
          </w:p>
        </w:tc>
      </w:tr>
      <w:tr>
        <w:trPr>
          <w:tblHeader w:val="false"/>
        </w:trPr>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A3 — §5.5 EAIFCH 2.0 Roadmap</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Transformation du positionnement : SAVEC n'est plus seulement un cadre théorique mais un générateur architectural ayant produit un proof-of-concept opérationnel. Impact maximal sur la réception.</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A4 — §6.3 : AI Oversight + taxonomie</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Deux implications concrètes s'ajoutent à la conclusion, fondées sur le prototype. Rend la conclusion plus spécifique et moins déclarative.</w:t>
            </w:r>
          </w:p>
        </w:tc>
      </w:tr>
      <w:tr>
        <w:trPr>
          <w:tblHeader w:val="false"/>
        </w:trPr>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A5 — Références OSF</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Cambria" w:cs="Cambria" w:eastAsia="Cambria" w:hAnsi="Cambria"/>
                <w:b w:val="false"/>
                <w:bCs w:val="false"/>
                <w:color w:val="404040"/>
                <w:sz w:val="20"/>
                <w:szCs w:val="20"/>
              </w:rPr>
              <w:t xml:space="preserve">Traçabilité complète : chaque composant cité dans le texte a un DOI ou une référence logicielle. Standard minimal pour la reproductibilité en DH.</w:t>
            </w:r>
          </w:p>
        </w:tc>
      </w:tr>
    </w:tbl>
    <w:p>
      <w:pPr>
        <w:spacing w:after="80" w:before="200"/>
      </w:pPr>
    </w:p>
    <w:p>
      <w:pPr>
        <w:pBdr>
          <w:bottom w:val="single" w:color="1F6B75" w:sz="8" w:space="1"/>
        </w:pBdr>
        <w:spacing w:after="180" w:before="180"/>
      </w:pPr>
    </w:p>
    <w:p>
      <w:pPr>
        <w:spacing w:after="80" w:before="80"/>
      </w:pPr>
    </w:p>
    <w:p>
      <w:pPr>
        <w:spacing w:after="40" w:before="0"/>
        <w:jc w:val="center"/>
      </w:pPr>
      <w:r>
        <w:rPr>
          <w:rFonts w:ascii="Cambria" w:cs="Cambria" w:eastAsia="Cambria" w:hAnsi="Cambria"/>
          <w:i/>
          <w:iCs/>
          <w:color w:val="404040"/>
          <w:sz w:val="20"/>
          <w:szCs w:val="20"/>
        </w:rPr>
        <w:t xml:space="preserve">SAVEC — Mise à jour manuscrit JCA — Mai 2026</w:t>
      </w:r>
    </w:p>
    <w:p>
      <w:pPr>
        <w:spacing w:after="0" w:before="0"/>
        <w:jc w:val="center"/>
      </w:pPr>
      <w:r>
        <w:rPr>
          <w:rFonts w:ascii="Cambria" w:cs="Cambria" w:eastAsia="Cambria" w:hAnsi="Cambria"/>
          <w:color w:val="404040"/>
          <w:sz w:val="18"/>
          <w:szCs w:val="18"/>
        </w:rPr>
        <w:t xml:space="preserve">Ahmed Benseddik  |  ORCID : 0009-0005-6308-8171  |  DOI : 10.17605/OSF.IO/Y8VBU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F4E79"/>
      <w:sz w:val="36"/>
      <w:szCs w:val="36"/>
    </w:rPr>
  </w:style>
  <w:style w:type="paragraph" w:styleId="Heading2">
    <w:name w:val="Heading 2"/>
    <w:basedOn w:val="Normal"/>
    <w:next w:val="Normal"/>
    <w:qFormat/>
    <w:pPr>
      <w:spacing w:after="120" w:before="260"/>
      <w:outlineLvl w:val="1"/>
    </w:pPr>
    <w:rPr>
      <w:rFonts w:ascii="Cambria" w:cs="Cambria" w:eastAsia="Cambria" w:hAnsi="Cambria"/>
      <w:b/>
      <w:bCs/>
      <w:color w:val="2E75B6"/>
      <w:sz w:val="28"/>
      <w:szCs w:val="28"/>
    </w:rPr>
  </w:style>
  <w:style w:type="paragraph" w:styleId="Heading3">
    <w:name w:val="Heading 3"/>
    <w:basedOn w:val="Normal"/>
    <w:next w:val="Normal"/>
    <w:qFormat/>
    <w:pPr>
      <w:spacing w:after="100" w:before="200"/>
      <w:outlineLvl w:val="2"/>
    </w:pPr>
    <w:rPr>
      <w:rFonts w:ascii="Cambria" w:cs="Cambria" w:eastAsia="Cambria" w:hAnsi="Cambria"/>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2026-05-06T10:53:14.989Z</dcterms:created>
  <dcterms:modified xsi:type="dcterms:W3CDTF">2026-05-06T10:53:14.990Z</dcterms:modified>
</cp:coreProperties>
</file>

<file path=docProps/custom.xml><?xml version="1.0" encoding="utf-8"?>
<Properties xmlns="http://schemas.openxmlformats.org/officeDocument/2006/custom-properties" xmlns:vt="http://schemas.openxmlformats.org/officeDocument/2006/docPropsVTypes"/>
</file>