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2F4" w:rsidRDefault="008F67E0" w:rsidP="005B00E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281" type="#_x0000_t202" style="position:absolute;left:0;text-align:left;margin-left:285.5pt;margin-top:22.35pt;width:221pt;height:537.25pt;z-index:251655168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81;mso-column-margin:5.7pt" inset="2.85pt,2.85pt,2.85pt,2.85pt">
              <w:txbxContent>
                <w:p w:rsidR="0014092E" w:rsidRDefault="0014092E" w:rsidP="008A025B">
                  <w:pPr>
                    <w:widowControl w:val="0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sz w:val="24"/>
                      <w:szCs w:val="24"/>
                    </w:rPr>
                    <w:t>Please contact us if you would like more information about the programs and services offered by SEDC’s            International Language Bank.</w:t>
                  </w:r>
                </w:p>
                <w:p w:rsidR="0014092E" w:rsidRPr="0014092E" w:rsidRDefault="0014092E" w:rsidP="008A025B">
                  <w:pPr>
                    <w:widowControl w:val="0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  <w:p w:rsidR="0062194A" w:rsidRDefault="0014092E" w:rsidP="008A025B">
                  <w:pPr>
                    <w:widowControl w:val="0"/>
                    <w:spacing w:after="0" w:line="240" w:lineRule="auto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t xml:space="preserve">Phone: </w:t>
                  </w:r>
                  <w:r w:rsidRPr="0014092E">
                    <w:rPr>
                      <w:rFonts w:ascii="Palatino Linotype" w:hAnsi="Palatino Linotype"/>
                      <w:sz w:val="24"/>
                      <w:szCs w:val="24"/>
                    </w:rPr>
                    <w:t>401.274.8811 x 14</w:t>
                  </w:r>
                </w:p>
                <w:p w:rsidR="0014092E" w:rsidRDefault="0014092E" w:rsidP="008A025B">
                  <w:pPr>
                    <w:widowControl w:val="0"/>
                    <w:spacing w:after="0" w:line="240" w:lineRule="auto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t xml:space="preserve">Fax: </w:t>
                  </w:r>
                  <w:r w:rsidRPr="0014092E">
                    <w:rPr>
                      <w:rFonts w:ascii="Palatino Linotype" w:hAnsi="Palatino Linotype"/>
                      <w:sz w:val="24"/>
                      <w:szCs w:val="24"/>
                    </w:rPr>
                    <w:t>401.274.8877</w:t>
                  </w:r>
                </w:p>
                <w:p w:rsidR="0062194A" w:rsidRPr="0014092E" w:rsidRDefault="0062194A" w:rsidP="008A025B">
                  <w:pPr>
                    <w:widowControl w:val="0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  <w:p w:rsidR="0014092E" w:rsidRPr="0014092E" w:rsidRDefault="0014092E" w:rsidP="008A025B">
                  <w:pPr>
                    <w:widowControl w:val="0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t xml:space="preserve">For 24/7 services, </w:t>
                  </w:r>
                  <w:r w:rsidRPr="0014092E"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t xml:space="preserve">please call: </w:t>
                  </w:r>
                  <w:r w:rsidRPr="0014092E">
                    <w:rPr>
                      <w:rFonts w:ascii="Palatino Linotype" w:hAnsi="Palatino Linotype"/>
                      <w:sz w:val="24"/>
                      <w:szCs w:val="24"/>
                    </w:rPr>
                    <w:t>401.419.3507</w:t>
                  </w:r>
                </w:p>
                <w:p w:rsidR="0014092E" w:rsidRPr="0014092E" w:rsidRDefault="0014092E" w:rsidP="008A025B">
                  <w:pPr>
                    <w:widowControl w:val="0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  <w:p w:rsidR="0014092E" w:rsidRPr="0014092E" w:rsidRDefault="0014092E" w:rsidP="008A025B">
                  <w:pPr>
                    <w:widowControl w:val="0"/>
                    <w:jc w:val="center"/>
                    <w:rPr>
                      <w:rFonts w:ascii="Palatino Linotype" w:hAnsi="Palatino Linotype"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b/>
                      <w:bCs/>
                      <w:sz w:val="24"/>
                      <w:szCs w:val="24"/>
                    </w:rPr>
                    <w:t xml:space="preserve">Email: </w:t>
                  </w:r>
                  <w:r w:rsidRPr="0014092E">
                    <w:rPr>
                      <w:rFonts w:ascii="Palatino Linotype" w:hAnsi="Palatino Linotype"/>
                      <w:sz w:val="24"/>
                      <w:szCs w:val="24"/>
                    </w:rPr>
                    <w:t>MayKue.sedc@verizon.net</w:t>
                  </w:r>
                </w:p>
                <w:p w:rsidR="00F301C3" w:rsidRPr="0062194A" w:rsidRDefault="00F301C3" w:rsidP="008A025B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  <w:p w:rsidR="00F301C3" w:rsidRDefault="0062194A" w:rsidP="008A025B">
                  <w:pPr>
                    <w:spacing w:after="0" w:line="360" w:lineRule="auto"/>
                    <w:jc w:val="center"/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  <w:r>
                    <w:rPr>
                      <w:rFonts w:ascii="Calibri" w:hAnsi="Calibri" w:cs="Arial"/>
                      <w:b/>
                      <w:noProof/>
                      <w:sz w:val="20"/>
                      <w:szCs w:val="20"/>
                    </w:rPr>
                    <w:drawing>
                      <wp:inline distT="0" distB="0" distL="0" distR="0">
                        <wp:extent cx="1263212" cy="1263212"/>
                        <wp:effectExtent l="19050" t="0" r="0" b="0"/>
                        <wp:docPr id="6" name="Picture 5" descr="SEDC Logo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DC Logo.jpg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68260" cy="12682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2194A" w:rsidRPr="001D2C0F" w:rsidRDefault="0062194A" w:rsidP="008A025B">
                  <w:pPr>
                    <w:spacing w:after="0" w:line="360" w:lineRule="auto"/>
                    <w:jc w:val="center"/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  <w:p w:rsidR="0014092E" w:rsidRDefault="0014092E" w:rsidP="008A025B">
                  <w:pPr>
                    <w:pStyle w:val="Address2"/>
                    <w:rPr>
                      <w:b w:val="0"/>
                      <w:sz w:val="22"/>
                    </w:rPr>
                  </w:pPr>
                  <w:r w:rsidRPr="00AA1CA7">
                    <w:rPr>
                      <w:b w:val="0"/>
                      <w:sz w:val="22"/>
                    </w:rPr>
                    <w:t>Socio-Economic Development Center for Southeast Asians (SEDC)</w:t>
                  </w:r>
                </w:p>
                <w:p w:rsidR="0014092E" w:rsidRDefault="0014092E" w:rsidP="008A025B">
                  <w:pPr>
                    <w:pStyle w:val="Address2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270 Elmwood Avenue</w:t>
                  </w:r>
                </w:p>
                <w:p w:rsidR="0014092E" w:rsidRDefault="0014092E" w:rsidP="008A025B">
                  <w:pPr>
                    <w:pStyle w:val="Address2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Providence, RI 02907</w:t>
                  </w:r>
                </w:p>
                <w:p w:rsidR="0014092E" w:rsidRDefault="0014092E" w:rsidP="008A025B">
                  <w:pPr>
                    <w:pStyle w:val="Address2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Tel: (401) 274-8811 Ext. 24</w:t>
                  </w:r>
                </w:p>
                <w:p w:rsidR="0014092E" w:rsidRDefault="0014092E" w:rsidP="008A025B">
                  <w:pPr>
                    <w:pStyle w:val="Address2"/>
                    <w:rPr>
                      <w:b w:val="0"/>
                      <w:sz w:val="22"/>
                    </w:rPr>
                  </w:pPr>
                  <w:r>
                    <w:rPr>
                      <w:b w:val="0"/>
                      <w:sz w:val="22"/>
                    </w:rPr>
                    <w:t>Fax: (401) 274-8877</w:t>
                  </w:r>
                </w:p>
                <w:p w:rsidR="0062194A" w:rsidRPr="00AA1CA7" w:rsidRDefault="008F67E0" w:rsidP="008A025B">
                  <w:pPr>
                    <w:pStyle w:val="Address2"/>
                    <w:rPr>
                      <w:b w:val="0"/>
                      <w:sz w:val="22"/>
                    </w:rPr>
                  </w:pPr>
                  <w:hyperlink r:id="rId9" w:history="1">
                    <w:r w:rsidR="0062194A" w:rsidRPr="00E06745">
                      <w:rPr>
                        <w:rStyle w:val="Hyperlink"/>
                        <w:b w:val="0"/>
                        <w:sz w:val="22"/>
                      </w:rPr>
                      <w:t>http://www.sedcsea.org</w:t>
                    </w:r>
                  </w:hyperlink>
                </w:p>
                <w:p w:rsidR="00F301C3" w:rsidRPr="001D2C0F" w:rsidRDefault="00F301C3" w:rsidP="00F301C3">
                  <w:pPr>
                    <w:jc w:val="left"/>
                    <w:rPr>
                      <w:rFonts w:ascii="Calibri" w:hAnsi="Calibri" w:cs="Arial"/>
                      <w:b/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5" type="#_x0000_t202" style="position:absolute;left:0;text-align:left;margin-left:45.5pt;margin-top:18.2pt;width:209.4pt;height:567.75pt;z-index:251662336;mso-position-horizontal-relative:page;mso-position-vertical-relative:page" filled="f" stroked="f">
            <v:textbox>
              <w:txbxContent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</w:pPr>
                  <w:r w:rsidRPr="00951C08"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  <w:t>Why Choose the International Language Bank?</w:t>
                  </w:r>
                </w:p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2"/>
                      <w:szCs w:val="22"/>
                    </w:rPr>
                  </w:pPr>
                </w:p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>The increase of non-English speaking people</w:t>
                  </w:r>
                  <w:r w:rsid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 living in the U.S. means that the ability to </w:t>
                  </w: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>communicate in other languages is becoming more important than ever.  Multi-</w:t>
                  </w:r>
                  <w:r w:rsid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lingual skills are required to </w:t>
                  </w: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adequately provide services and market products to non-English speaking      </w:t>
                  </w:r>
                  <w:r w:rsid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            </w:t>
                  </w: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>communities.</w:t>
                  </w:r>
                </w:p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Without the best possible communication            between the non-English speaking clients and a company employee, </w:t>
                  </w:r>
                  <w:r w:rsid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the service delivery process is compromised, </w:t>
                  </w: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>cumbersome, costly, and ineffective.</w:t>
                  </w:r>
                </w:p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>Our commitment is to help you bridge the gap efficiently and effectively.</w:t>
                  </w:r>
                </w:p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951C08" w:rsidRP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>Do well while doing good:</w:t>
                  </w:r>
                </w:p>
                <w:p w:rsidR="00951C08" w:rsidRDefault="00951C08" w:rsidP="008A025B">
                  <w:pPr>
                    <w:pStyle w:val="msobodytext4"/>
                    <w:widowControl w:val="0"/>
                    <w:jc w:val="center"/>
                    <w:rPr>
                      <w:rFonts w:ascii="Calibri" w:hAnsi="Calibri"/>
                      <w:sz w:val="22"/>
                      <w:szCs w:val="22"/>
                    </w:rPr>
                  </w:pP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>All proceeds of the ILB benefit the                        Socio-E</w:t>
                  </w:r>
                  <w:r w:rsid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conomic Development Center for </w:t>
                  </w:r>
                  <w:r w:rsidRPr="00951C08">
                    <w:rPr>
                      <w:rFonts w:ascii="Palatino Linotype" w:hAnsi="Palatino Linotype"/>
                      <w:sz w:val="20"/>
                      <w:szCs w:val="20"/>
                    </w:rPr>
                    <w:t>Southeast Asians, a Providence-</w:t>
                  </w:r>
                  <w:r w:rsidRPr="00951C08">
                    <w:rPr>
                      <w:rFonts w:ascii="Palatino Linotype" w:hAnsi="Palatino Linotype"/>
                      <w:sz w:val="22"/>
                      <w:szCs w:val="22"/>
                    </w:rPr>
                    <w:t>based nonprofit that promotes the evolution of healthy and</w:t>
                  </w:r>
                  <w:r w:rsidR="003C0654">
                    <w:rPr>
                      <w:rFonts w:ascii="Calibri" w:hAnsi="Calibri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Calibri" w:hAnsi="Calibri"/>
                      <w:sz w:val="22"/>
                      <w:szCs w:val="22"/>
                    </w:rPr>
                    <w:t>productive citizens among people who have roots in Southeast Asia.</w:t>
                  </w:r>
                </w:p>
                <w:p w:rsidR="00951C08" w:rsidRDefault="00951C08" w:rsidP="00951C08">
                  <w:pPr>
                    <w:widowControl w:val="0"/>
                    <w:rPr>
                      <w:sz w:val="20"/>
                      <w:szCs w:val="20"/>
                    </w:rPr>
                  </w:pPr>
                  <w:r>
                    <w:t> </w:t>
                  </w:r>
                </w:p>
                <w:p w:rsidR="00951C08" w:rsidRDefault="00951C08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279" type="#_x0000_t202" style="position:absolute;left:0;text-align:left;margin-left:570.2pt;margin-top:9.1pt;width:203.6pt;height:576.85pt;z-index:251653120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279;mso-column-margin:5.7pt" inset="2.85pt,2.85pt,2.85pt,2.85pt">
              <w:txbxContent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56"/>
                      <w:szCs w:val="56"/>
                    </w:rPr>
                  </w:pPr>
                  <w:r w:rsidRPr="0014092E">
                    <w:rPr>
                      <w:rFonts w:ascii="Palatino Linotype" w:hAnsi="Palatino Linotype"/>
                      <w:b/>
                      <w:sz w:val="56"/>
                      <w:szCs w:val="56"/>
                    </w:rPr>
                    <w:t>International Language Bank</w:t>
                  </w:r>
                </w:p>
                <w:p w:rsidR="00C044B2" w:rsidRDefault="00C044B2" w:rsidP="0014092E">
                  <w:pPr>
                    <w:spacing w:after="0" w:line="240" w:lineRule="auto"/>
                  </w:pPr>
                </w:p>
                <w:p w:rsidR="00D31667" w:rsidRDefault="00D31667" w:rsidP="00562238">
                  <w:pPr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  <w:p w:rsidR="0014092E" w:rsidRDefault="0014092E" w:rsidP="00562238">
                  <w:pPr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  <w:r>
                    <w:rPr>
                      <w:noProof/>
                      <w:sz w:val="32"/>
                      <w:szCs w:val="32"/>
                    </w:rPr>
                    <w:drawing>
                      <wp:inline distT="0" distB="0" distL="0" distR="0">
                        <wp:extent cx="2196075" cy="1471448"/>
                        <wp:effectExtent l="19050" t="0" r="0" b="0"/>
                        <wp:docPr id="1" name="Picture 0" descr="SEDC front picture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SEDC front picture.JPG"/>
                                <pic:cNvPicPr/>
                              </pic:nvPicPr>
                              <pic:blipFill>
                                <a:blip r:embed="rId10">
                                  <a:grayscl/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199163" cy="147351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4092E" w:rsidRDefault="0014092E" w:rsidP="0014092E">
                  <w:pPr>
                    <w:spacing w:after="0" w:line="240" w:lineRule="auto"/>
                    <w:rPr>
                      <w:sz w:val="32"/>
                      <w:szCs w:val="32"/>
                    </w:rPr>
                  </w:pPr>
                </w:p>
                <w:p w:rsidR="00DB1BF6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44"/>
                      <w:szCs w:val="44"/>
                    </w:rPr>
                  </w:pPr>
                  <w:r w:rsidRPr="0014092E">
                    <w:rPr>
                      <w:rFonts w:ascii="Palatino Linotype" w:hAnsi="Palatino Linotype"/>
                      <w:b/>
                      <w:sz w:val="44"/>
                      <w:szCs w:val="44"/>
                    </w:rPr>
                    <w:t>More than 30 languages!</w:t>
                  </w:r>
                </w:p>
                <w:p w:rsidR="0014092E" w:rsidRDefault="0014092E" w:rsidP="0014092E">
                  <w:pPr>
                    <w:spacing w:after="0" w:line="240" w:lineRule="auto"/>
                    <w:jc w:val="center"/>
                    <w:rPr>
                      <w:sz w:val="32"/>
                      <w:szCs w:val="32"/>
                    </w:rPr>
                  </w:pPr>
                </w:p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>Services Include:</w:t>
                  </w:r>
                </w:p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</w:p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>In-Person Interpreting</w:t>
                  </w:r>
                </w:p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>Document Translation</w:t>
                  </w:r>
                </w:p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>24/7 Emergency Services</w:t>
                  </w:r>
                </w:p>
                <w:p w:rsid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32"/>
                      <w:szCs w:val="32"/>
                    </w:rPr>
                  </w:pPr>
                </w:p>
                <w:p w:rsid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32"/>
                      <w:szCs w:val="32"/>
                    </w:rPr>
                  </w:pPr>
                </w:p>
                <w:p w:rsid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  <w:r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  <w:t>Proceeds benefit:</w:t>
                  </w:r>
                </w:p>
                <w:p w:rsid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</w:p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</w:pPr>
                  <w:r w:rsidRPr="0014092E">
                    <w:rPr>
                      <w:rFonts w:ascii="Palatino Linotype" w:hAnsi="Palatino Linotype"/>
                      <w:b/>
                      <w:sz w:val="24"/>
                      <w:szCs w:val="24"/>
                    </w:rPr>
                    <w:t>The Socio-Economic Development Center</w:t>
                  </w:r>
                </w:p>
                <w:p w:rsid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20"/>
                      <w:szCs w:val="20"/>
                    </w:rPr>
                  </w:pPr>
                </w:p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i/>
                      <w:sz w:val="20"/>
                      <w:szCs w:val="20"/>
                    </w:rPr>
                  </w:pPr>
                  <w:r w:rsidRPr="0014092E">
                    <w:rPr>
                      <w:rFonts w:ascii="Palatino Linotype" w:hAnsi="Palatino Linotype"/>
                      <w:b/>
                      <w:i/>
                      <w:sz w:val="20"/>
                      <w:szCs w:val="20"/>
                    </w:rPr>
                    <w:t>For Southeast Asians</w:t>
                  </w:r>
                </w:p>
                <w:p w:rsid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32"/>
                      <w:szCs w:val="32"/>
                    </w:rPr>
                  </w:pPr>
                  <w:r>
                    <w:rPr>
                      <w:rFonts w:ascii="Palatino Linotype" w:hAnsi="Palatino Linotype"/>
                      <w:b/>
                      <w:sz w:val="32"/>
                      <w:szCs w:val="32"/>
                    </w:rPr>
                    <w:br/>
                  </w:r>
                </w:p>
                <w:p w:rsidR="0014092E" w:rsidRPr="0014092E" w:rsidRDefault="0014092E" w:rsidP="0014092E">
                  <w:pPr>
                    <w:spacing w:after="0" w:line="240" w:lineRule="auto"/>
                    <w:jc w:val="center"/>
                    <w:rPr>
                      <w:rFonts w:ascii="Palatino Linotype" w:hAnsi="Palatino Linotype"/>
                      <w:b/>
                      <w:sz w:val="32"/>
                      <w:szCs w:val="32"/>
                    </w:rPr>
                  </w:pPr>
                </w:p>
                <w:p w:rsidR="00D31667" w:rsidRPr="00D31667" w:rsidRDefault="00D31667" w:rsidP="00F301C3">
                  <w:pPr>
                    <w:spacing w:after="0" w:line="360" w:lineRule="auto"/>
                    <w:jc w:val="left"/>
                    <w:rPr>
                      <w:rFonts w:ascii="Arial" w:hAnsi="Arial" w:cs="Arial"/>
                      <w:sz w:val="24"/>
                      <w:szCs w:val="24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rect id="_x0000_s1036" style="position:absolute;left:0;text-align:left;margin-left:341.95pt;margin-top:517.15pt;width:108pt;height:54pt;z-index:251646976;visibility:hidden;mso-wrap-edited:f;mso-wrap-distance-left:2.88pt;mso-wrap-distance-top:2.88pt;mso-wrap-distance-right:2.88pt;mso-wrap-distance-bottom:2.88pt" o:regroupid="4" filled="f" fillcolor="black" stroked="f" strokecolor="white" strokeweight="0" insetpen="t" o:cliptowrap="t">
            <v:shadow color="#ccc"/>
            <o:lock v:ext="edit" shapetype="t"/>
            <v:textbox inset="2.88pt,2.88pt,2.88pt,2.88pt"/>
            <w10:wrap side="left"/>
          </v:rect>
        </w:pict>
      </w:r>
    </w:p>
    <w:p w:rsidR="00D66791" w:rsidRPr="00FD5EAA" w:rsidRDefault="00D66791" w:rsidP="007C78D2">
      <w:pPr>
        <w:spacing w:after="0" w:line="240" w:lineRule="auto"/>
        <w:rPr>
          <w:rFonts w:ascii="Comic Sans MS" w:hAnsi="Comic Sans MS"/>
          <w:sz w:val="16"/>
          <w:szCs w:val="16"/>
        </w:rPr>
      </w:pPr>
    </w:p>
    <w:p w:rsidR="007B06C1" w:rsidRPr="007B06C1" w:rsidRDefault="00041A1F" w:rsidP="00BF69BD">
      <w:pPr>
        <w:tabs>
          <w:tab w:val="left" w:pos="6295"/>
          <w:tab w:val="center" w:pos="7056"/>
          <w:tab w:val="left" w:pos="10574"/>
        </w:tabs>
      </w:pPr>
      <w:r w:rsidRPr="00D66791">
        <w:br w:type="page"/>
      </w:r>
      <w:r w:rsidR="00483C25">
        <w:lastRenderedPageBreak/>
        <w:t xml:space="preserve">                </w:t>
      </w:r>
      <w:r w:rsidR="0048274C">
        <w:tab/>
      </w:r>
      <w:r w:rsidR="0048274C">
        <w:tab/>
      </w:r>
    </w:p>
    <w:p w:rsidR="007B06C1" w:rsidRPr="007B06C1" w:rsidRDefault="008F67E0" w:rsidP="007B06C1">
      <w:r>
        <w:rPr>
          <w:noProof/>
        </w:rPr>
        <w:pict>
          <v:shape id="_x0000_s1387" type="#_x0000_t202" style="position:absolute;left:0;text-align:left;margin-left:588.4pt;margin-top:38.9pt;width:176.3pt;height:538.75pt;z-index:251664384;mso-position-horizontal-relative:page;mso-position-vertical-relative:page" filled="f" stroked="f">
            <v:textbox>
              <w:txbxContent>
                <w:p w:rsidR="000861B3" w:rsidRPr="000861B3" w:rsidRDefault="000861B3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By choosing SEDC’s International                       Language Bank, you are able to receive high quality translation and interpretation services, while at the same time helping your community to grow and prosper</w:t>
                  </w:r>
                </w:p>
                <w:p w:rsidR="000861B3" w:rsidRDefault="000861B3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0861B3" w:rsidRDefault="000861B3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The money that SEDC earns through the Language Ba</w:t>
                  </w:r>
                  <w:r>
                    <w:rPr>
                      <w:rFonts w:ascii="Palatino Linotype" w:hAnsi="Palatino Linotype"/>
                      <w:sz w:val="20"/>
                      <w:szCs w:val="20"/>
                    </w:rPr>
                    <w:t xml:space="preserve">nk is returned to the 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community throug</w:t>
                  </w:r>
                  <w:r>
                    <w:rPr>
                      <w:rFonts w:ascii="Palatino Linotype" w:hAnsi="Palatino Linotype"/>
                      <w:sz w:val="20"/>
                      <w:szCs w:val="20"/>
                    </w:rPr>
                    <w:t xml:space="preserve">h SEDC’s social 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programs</w:t>
                  </w:r>
                  <w:r>
                    <w:rPr>
                      <w:rFonts w:ascii="Palatino Linotype" w:hAnsi="Palatino Linotype"/>
                      <w:sz w:val="20"/>
                      <w:szCs w:val="20"/>
                    </w:rPr>
                    <w:t>,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 such as:</w:t>
                  </w: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</w:t>
                  </w:r>
                  <w:r w:rsidRPr="000861B3">
                    <w:rPr>
                      <w:rFonts w:ascii="Palatino Linotype" w:hAnsi="Palatino Linotype"/>
                    </w:rPr>
                    <w:t> 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Youth and Family Development                 Program</w:t>
                  </w: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</w:t>
                  </w:r>
                  <w:r w:rsidRPr="000861B3">
                    <w:rPr>
                      <w:rFonts w:ascii="Palatino Linotype" w:hAnsi="Palatino Linotype"/>
                    </w:rPr>
                    <w:t> 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Family Support Program</w:t>
                  </w: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</w:t>
                  </w:r>
                  <w:r w:rsidRPr="000861B3">
                    <w:rPr>
                      <w:rFonts w:ascii="Palatino Linotype" w:hAnsi="Palatino Linotype"/>
                    </w:rPr>
                    <w:t> 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Victims of Crime Assistance</w:t>
                  </w: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</w:t>
                  </w:r>
                  <w:r w:rsidRPr="000861B3">
                    <w:rPr>
                      <w:rFonts w:ascii="Palatino Linotype" w:hAnsi="Palatino Linotype"/>
                    </w:rPr>
                    <w:t> 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Elderly Meal Site</w:t>
                  </w: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</w:t>
                  </w:r>
                  <w:r w:rsidRPr="000861B3">
                    <w:rPr>
                      <w:rFonts w:ascii="Palatino Linotype" w:hAnsi="Palatino Linotype"/>
                    </w:rPr>
                    <w:t> 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GED, ESL and Citizenship Classes</w:t>
                  </w: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</w:t>
                  </w:r>
                  <w:r w:rsidRPr="000861B3">
                    <w:rPr>
                      <w:rFonts w:ascii="Palatino Linotype" w:hAnsi="Palatino Linotype"/>
                    </w:rPr>
                    <w:t> </w:t>
                  </w: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Substance Abuse Prevention</w:t>
                  </w: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0861B3" w:rsidRPr="000861B3" w:rsidRDefault="000861B3" w:rsidP="008A025B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SEDC is a 501 (3) c organization.</w:t>
                  </w:r>
                </w:p>
                <w:p w:rsidR="000861B3" w:rsidRPr="000861B3" w:rsidRDefault="000861B3" w:rsidP="008A025B">
                  <w:pPr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</w:rPr>
                    <w:t>Contributions to SEDC are tax deductible to the fullest extent of the law.</w:t>
                  </w:r>
                </w:p>
                <w:p w:rsidR="000861B3" w:rsidRDefault="000861B3" w:rsidP="000861B3">
                  <w:pPr>
                    <w:widowControl w:val="0"/>
                  </w:pPr>
                  <w:r>
                    <w:t> </w:t>
                  </w:r>
                </w:p>
                <w:p w:rsidR="000861B3" w:rsidRDefault="000861B3"/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86" type="#_x0000_t202" style="position:absolute;left:0;text-align:left;margin-left:305.4pt;margin-top:34.75pt;width:202.75pt;height:550.35pt;z-index:251663360;mso-position-horizontal-relative:page;mso-position-vertical-relative:page" filled="f" stroked="f">
            <v:textbox>
              <w:txbxContent>
                <w:p w:rsidR="000861B3" w:rsidRPr="000861B3" w:rsidRDefault="000861B3" w:rsidP="000861B3">
                  <w:pPr>
                    <w:widowControl w:val="0"/>
                    <w:spacing w:line="360" w:lineRule="auto"/>
                    <w:jc w:val="center"/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0861B3"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“Tom [my interpreter] is very professional. I will continue to use the Language Bank in the future. Very good services in court and with your  staff.</w:t>
                  </w:r>
                </w:p>
                <w:p w:rsidR="000861B3" w:rsidRPr="000861B3" w:rsidRDefault="000861B3" w:rsidP="000861B3">
                  <w:pPr>
                    <w:widowControl w:val="0"/>
                    <w:spacing w:line="360" w:lineRule="auto"/>
                    <w:jc w:val="center"/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0861B3">
                    <w:rPr>
                      <w:b/>
                      <w:bCs/>
                      <w:i/>
                      <w:iCs/>
                      <w:sz w:val="22"/>
                      <w:szCs w:val="22"/>
                    </w:rPr>
                    <w:t>—SEDC client</w:t>
                  </w:r>
                </w:p>
                <w:p w:rsidR="000861B3" w:rsidRDefault="000861B3" w:rsidP="000861B3">
                  <w:pPr>
                    <w:widowControl w:val="0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0861B3" w:rsidRPr="000861B3" w:rsidRDefault="000861B3" w:rsidP="000861B3">
                  <w:pPr>
                    <w:widowControl w:val="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We provide accurate, friendly, and confidential service.  Our interpreters are always reliable and always professional.</w:t>
                  </w:r>
                </w:p>
                <w:p w:rsidR="000861B3" w:rsidRPr="000861B3" w:rsidRDefault="000861B3" w:rsidP="000861B3">
                  <w:pPr>
                    <w:widowControl w:val="0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0861B3" w:rsidRDefault="000861B3" w:rsidP="000861B3">
                  <w:pPr>
                    <w:widowControl w:val="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Our clients include:</w:t>
                  </w:r>
                </w:p>
                <w:p w:rsidR="000861B3" w:rsidRPr="000861B3" w:rsidRDefault="000861B3" w:rsidP="000861B3">
                  <w:pPr>
                    <w:widowControl w:val="0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0861B3" w:rsidRPr="000861B3" w:rsidRDefault="000861B3" w:rsidP="000861B3">
                  <w:pPr>
                    <w:widowControl w:val="0"/>
                    <w:spacing w:after="0" w:line="240" w:lineRule="auto"/>
                    <w:ind w:left="360" w:hanging="36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 Rhode Island Department of Children, Youth, and Families</w:t>
                  </w:r>
                </w:p>
                <w:p w:rsidR="000861B3" w:rsidRPr="000861B3" w:rsidRDefault="000861B3" w:rsidP="000861B3">
                  <w:pPr>
                    <w:widowControl w:val="0"/>
                    <w:spacing w:after="0" w:line="240" w:lineRule="auto"/>
                    <w:ind w:left="360" w:hanging="36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 Rhode Island Department of Human             Services</w:t>
                  </w:r>
                </w:p>
                <w:p w:rsidR="000861B3" w:rsidRPr="000861B3" w:rsidRDefault="000861B3" w:rsidP="000861B3">
                  <w:pPr>
                    <w:widowControl w:val="0"/>
                    <w:spacing w:after="0" w:line="240" w:lineRule="auto"/>
                    <w:ind w:left="360" w:hanging="36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 Our Lady of Fatima Hospital</w:t>
                  </w:r>
                </w:p>
                <w:p w:rsidR="000861B3" w:rsidRPr="000861B3" w:rsidRDefault="000861B3" w:rsidP="000861B3">
                  <w:pPr>
                    <w:widowControl w:val="0"/>
                    <w:spacing w:after="0" w:line="240" w:lineRule="auto"/>
                    <w:ind w:left="360" w:hanging="36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 Private lawyers</w:t>
                  </w:r>
                </w:p>
                <w:p w:rsidR="000861B3" w:rsidRPr="000861B3" w:rsidRDefault="000861B3" w:rsidP="000861B3">
                  <w:pPr>
                    <w:widowControl w:val="0"/>
                    <w:spacing w:after="0" w:line="240" w:lineRule="auto"/>
                    <w:ind w:left="360" w:hanging="36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 District court</w:t>
                  </w:r>
                </w:p>
                <w:p w:rsidR="000861B3" w:rsidRPr="000861B3" w:rsidRDefault="000861B3" w:rsidP="000861B3">
                  <w:pPr>
                    <w:widowControl w:val="0"/>
                    <w:spacing w:after="0" w:line="240" w:lineRule="auto"/>
                    <w:ind w:left="360" w:hanging="36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 Family Court</w:t>
                  </w:r>
                </w:p>
                <w:p w:rsidR="000861B3" w:rsidRPr="000861B3" w:rsidRDefault="000861B3" w:rsidP="000861B3">
                  <w:pPr>
                    <w:widowControl w:val="0"/>
                    <w:spacing w:after="0" w:line="240" w:lineRule="auto"/>
                    <w:ind w:left="360" w:hanging="36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· Providence School Department</w:t>
                  </w:r>
                </w:p>
                <w:p w:rsidR="000861B3" w:rsidRPr="000861B3" w:rsidRDefault="000861B3" w:rsidP="000861B3">
                  <w:pPr>
                    <w:widowControl w:val="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 </w:t>
                  </w:r>
                </w:p>
                <w:p w:rsidR="000861B3" w:rsidRPr="000861B3" w:rsidRDefault="000861B3" w:rsidP="000861B3">
                  <w:pPr>
                    <w:widowControl w:val="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 </w:t>
                  </w:r>
                </w:p>
                <w:p w:rsidR="000861B3" w:rsidRPr="000861B3" w:rsidRDefault="000861B3" w:rsidP="000861B3">
                  <w:pPr>
                    <w:pStyle w:val="msobodytext4"/>
                    <w:widowControl w:val="0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0861B3">
                    <w:rPr>
                      <w:rFonts w:ascii="Palatino Linotype" w:hAnsi="Palatino Linotype"/>
                      <w:sz w:val="20"/>
                      <w:szCs w:val="20"/>
                    </w:rPr>
                    <w:t>All proceeds from the International Language Bank benefit SEDC community programs.</w:t>
                  </w:r>
                </w:p>
                <w:p w:rsidR="000861B3" w:rsidRDefault="000861B3" w:rsidP="000861B3">
                  <w:pPr>
                    <w:widowControl w:val="0"/>
                    <w:rPr>
                      <w:sz w:val="20"/>
                      <w:szCs w:val="20"/>
                    </w:rPr>
                  </w:pPr>
                  <w:r>
                    <w:t> </w:t>
                  </w:r>
                </w:p>
                <w:p w:rsidR="000861B3" w:rsidRPr="000861B3" w:rsidRDefault="000861B3" w:rsidP="000861B3">
                  <w:pPr>
                    <w:widowControl w:val="0"/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 id="_x0000_s1379" type="#_x0000_t202" style="position:absolute;left:0;text-align:left;margin-left:22.25pt;margin-top:27.3pt;width:220.15pt;height:568.55pt;z-index:251658240;visibility:visible;mso-wrap-edited:f;mso-wrap-distance-left:2.88pt;mso-wrap-distance-top:2.88pt;mso-wrap-distance-right:2.88pt;mso-wrap-distance-bottom:2.88pt;mso-position-horizontal-relative:page;mso-position-vertical-relative:page" filled="f" stroked="f" strokeweight="0" insetpen="t" o:cliptowrap="t">
            <v:shadow color="#ccc"/>
            <o:lock v:ext="edit" shapetype="t"/>
            <v:textbox style="mso-next-textbox:#_x0000_s1379;mso-column-margin:5.7pt" inset="2.85pt,2.85pt,2.85pt,2.85pt">
              <w:txbxContent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</w:pPr>
                  <w:r w:rsidRPr="003C0654">
                    <w:rPr>
                      <w:rFonts w:ascii="Palatino Linotype" w:hAnsi="Palatino Linotype"/>
                      <w:b/>
                      <w:sz w:val="28"/>
                      <w:szCs w:val="28"/>
                    </w:rPr>
                    <w:t>Our Services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rPr>
                      <w:rFonts w:ascii="Palatino Linotype" w:hAnsi="Palatino Linotype"/>
                      <w:sz w:val="18"/>
                      <w:szCs w:val="18"/>
                    </w:rPr>
                  </w:pP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SEDC’s International Language Bank offers     confidential and accurate interpretation,                 translation, and language services in </w:t>
                  </w:r>
                  <w:r w:rsidRPr="003C0654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more</w:t>
                  </w: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 </w:t>
                  </w:r>
                  <w:r w:rsidRPr="003C0654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than</w:t>
                  </w: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 </w:t>
                  </w:r>
                  <w:r w:rsidRPr="003C0654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  <w:t>30 languages</w:t>
                  </w: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 at a competitive rate.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</w:rPr>
                  </w:pP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Our interpreters are experienced in translating and interpreting in the following areas: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· Legal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· Medical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· Technical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· Industrial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· Business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· Social Services</w:t>
                  </w:r>
                </w:p>
                <w:p w:rsid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· Parent/School Communications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spacing w:after="0" w:line="240" w:lineRule="auto"/>
                    <w:ind w:left="360" w:hanging="36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3C0654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u w:val="single"/>
                    </w:rPr>
                    <w:t>Interpretation: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Our interpreters are available by appointment to meet your needs.  We commonly provide                interpre</w:t>
                  </w:r>
                  <w:r>
                    <w:rPr>
                      <w:rFonts w:ascii="Palatino Linotype" w:hAnsi="Palatino Linotype"/>
                      <w:sz w:val="20"/>
                      <w:szCs w:val="20"/>
                    </w:rPr>
                    <w:t>tation for hospitals, doctor’s offices, schools, and courts,</w:t>
                  </w: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 xml:space="preserve"> and any organization that might request our services.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u w:val="single"/>
                    </w:rPr>
                  </w:pPr>
                  <w:r w:rsidRPr="003C0654">
                    <w:rPr>
                      <w:rFonts w:ascii="Palatino Linotype" w:hAnsi="Palatino Linotype"/>
                      <w:b/>
                      <w:bCs/>
                      <w:sz w:val="20"/>
                      <w:szCs w:val="20"/>
                      <w:u w:val="single"/>
                    </w:rPr>
                    <w:t>Translations:</w:t>
                  </w:r>
                </w:p>
                <w:p w:rsidR="003C0654" w:rsidRPr="003C0654" w:rsidRDefault="003C0654" w:rsidP="003C0654">
                  <w:pPr>
                    <w:pStyle w:val="msobodytext4"/>
                    <w:widowControl w:val="0"/>
                    <w:jc w:val="center"/>
                    <w:rPr>
                      <w:rFonts w:ascii="Palatino Linotype" w:hAnsi="Palatino Linotype"/>
                      <w:sz w:val="20"/>
                      <w:szCs w:val="20"/>
                    </w:rPr>
                  </w:pPr>
                  <w:r w:rsidRPr="003C0654">
                    <w:rPr>
                      <w:rFonts w:ascii="Palatino Linotype" w:hAnsi="Palatino Linotype"/>
                      <w:sz w:val="20"/>
                      <w:szCs w:val="20"/>
                    </w:rPr>
                    <w:t>We translate any materials such as consent forms, notices, instructions, employee               handbooks, package inserts, advertisements, posters, brochures, pamphlets, etc.</w:t>
                  </w:r>
                </w:p>
                <w:p w:rsidR="003C0654" w:rsidRDefault="003C0654" w:rsidP="003C0654">
                  <w:pPr>
                    <w:widowControl w:val="0"/>
                    <w:rPr>
                      <w:sz w:val="20"/>
                      <w:szCs w:val="20"/>
                    </w:rPr>
                  </w:pPr>
                  <w:r>
                    <w:t> </w:t>
                  </w:r>
                </w:p>
                <w:p w:rsidR="00483C25" w:rsidRPr="003C0654" w:rsidRDefault="00483C25" w:rsidP="00483C25">
                  <w:pPr>
                    <w:pStyle w:val="BodyText"/>
                    <w:spacing w:before="0" w:after="0" w:line="360" w:lineRule="auto"/>
                    <w:rPr>
                      <w:rFonts w:ascii="Palatino Linotype" w:hAnsi="Palatino Linotype"/>
                      <w:sz w:val="24"/>
                      <w:szCs w:val="24"/>
                    </w:rPr>
                  </w:pPr>
                </w:p>
                <w:p w:rsidR="006934D7" w:rsidRPr="00483C25" w:rsidRDefault="006934D7" w:rsidP="00483C25">
                  <w:pPr>
                    <w:pStyle w:val="BodyText"/>
                    <w:spacing w:before="0" w:after="0" w:line="360" w:lineRule="auto"/>
                    <w:rPr>
                      <w:sz w:val="24"/>
                      <w:szCs w:val="24"/>
                    </w:rPr>
                  </w:pPr>
                </w:p>
              </w:txbxContent>
            </v:textbox>
            <w10:wrap side="left" anchorx="page" anchory="page"/>
          </v:shape>
        </w:pict>
      </w:r>
    </w:p>
    <w:p w:rsidR="007B06C1" w:rsidRPr="007B06C1" w:rsidRDefault="007B06C1" w:rsidP="007B06C1"/>
    <w:p w:rsidR="007B06C1" w:rsidRPr="007B06C1" w:rsidRDefault="007B06C1" w:rsidP="007B06C1"/>
    <w:p w:rsidR="007B06C1" w:rsidRPr="007B06C1" w:rsidRDefault="007B06C1" w:rsidP="007B06C1"/>
    <w:p w:rsidR="007B06C1" w:rsidRPr="007B06C1" w:rsidRDefault="007B06C1" w:rsidP="007B06C1"/>
    <w:p w:rsidR="007B06C1" w:rsidRPr="007B06C1" w:rsidRDefault="007B06C1" w:rsidP="007B06C1"/>
    <w:p w:rsidR="007B06C1" w:rsidRPr="007B06C1" w:rsidRDefault="007B06C1" w:rsidP="007B06C1"/>
    <w:p w:rsidR="007B06C1" w:rsidRPr="007B06C1" w:rsidRDefault="007B06C1" w:rsidP="007B06C1"/>
    <w:p w:rsidR="007B06C1" w:rsidRPr="007B06C1" w:rsidRDefault="007B06C1" w:rsidP="007B06C1"/>
    <w:p w:rsidR="007B06C1" w:rsidRPr="007B06C1" w:rsidRDefault="007B06C1" w:rsidP="007B06C1"/>
    <w:p w:rsidR="007B06C1" w:rsidRDefault="007B06C1" w:rsidP="007B06C1"/>
    <w:p w:rsidR="007B06C1" w:rsidRDefault="007B06C1" w:rsidP="007B06C1"/>
    <w:p w:rsidR="007B06C1" w:rsidRDefault="007B06C1" w:rsidP="007B06C1"/>
    <w:p w:rsidR="00A552CD" w:rsidRPr="007B06C1" w:rsidRDefault="007B06C1" w:rsidP="007B06C1">
      <w:pPr>
        <w:tabs>
          <w:tab w:val="left" w:pos="6058"/>
        </w:tabs>
      </w:pPr>
      <w:r>
        <w:tab/>
      </w:r>
    </w:p>
    <w:sectPr w:rsidR="00A552CD" w:rsidRPr="007B06C1" w:rsidSect="00A552CD">
      <w:type w:val="nextColumn"/>
      <w:pgSz w:w="15840" w:h="12240" w:orient="landscape" w:code="1"/>
      <w:pgMar w:top="878" w:right="864" w:bottom="878" w:left="864" w:header="720" w:footer="720" w:gutter="0"/>
      <w:cols w:space="720"/>
      <w:docGrid w:linePitch="2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4E27" w:rsidRDefault="00294E27" w:rsidP="0048274C">
      <w:pPr>
        <w:spacing w:after="0" w:line="240" w:lineRule="auto"/>
      </w:pPr>
      <w:r>
        <w:separator/>
      </w:r>
    </w:p>
  </w:endnote>
  <w:endnote w:type="continuationSeparator" w:id="0">
    <w:p w:rsidR="00294E27" w:rsidRDefault="00294E27" w:rsidP="004827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3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4E27" w:rsidRDefault="00294E27" w:rsidP="0048274C">
      <w:pPr>
        <w:spacing w:after="0" w:line="240" w:lineRule="auto"/>
      </w:pPr>
      <w:r>
        <w:separator/>
      </w:r>
    </w:p>
  </w:footnote>
  <w:footnote w:type="continuationSeparator" w:id="0">
    <w:p w:rsidR="00294E27" w:rsidRDefault="00294E27" w:rsidP="004827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9B94F6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3EA758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0D2B9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6B6F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C4AEF8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0C085F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2A023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C2AA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892602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94EABB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A1CF8"/>
    <w:multiLevelType w:val="hybridMultilevel"/>
    <w:tmpl w:val="F0629652"/>
    <w:lvl w:ilvl="0" w:tplc="FDC8A15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24038B"/>
    <w:multiLevelType w:val="hybridMultilevel"/>
    <w:tmpl w:val="BE42989A"/>
    <w:lvl w:ilvl="0" w:tplc="B4047F3C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296515"/>
    <w:multiLevelType w:val="hybridMultilevel"/>
    <w:tmpl w:val="491AEF2C"/>
    <w:lvl w:ilvl="0" w:tplc="7918ECA0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2D3CC0"/>
    <w:multiLevelType w:val="hybridMultilevel"/>
    <w:tmpl w:val="40E85898"/>
    <w:lvl w:ilvl="0" w:tplc="B1406DAE"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233EAB"/>
    <w:multiLevelType w:val="hybridMultilevel"/>
    <w:tmpl w:val="5FCA4608"/>
    <w:lvl w:ilvl="0" w:tplc="4E50CBF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76E17F8"/>
    <w:multiLevelType w:val="hybridMultilevel"/>
    <w:tmpl w:val="EAC8C36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28F0BBC"/>
    <w:multiLevelType w:val="hybridMultilevel"/>
    <w:tmpl w:val="A7CE2D3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7F616E"/>
    <w:multiLevelType w:val="hybridMultilevel"/>
    <w:tmpl w:val="1382A5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332811"/>
    <w:multiLevelType w:val="hybridMultilevel"/>
    <w:tmpl w:val="F7C27F1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5"/>
  </w:num>
  <w:num w:numId="12">
    <w:abstractNumId w:val="17"/>
  </w:num>
  <w:num w:numId="13">
    <w:abstractNumId w:val="14"/>
  </w:num>
  <w:num w:numId="14">
    <w:abstractNumId w:val="18"/>
  </w:num>
  <w:num w:numId="15">
    <w:abstractNumId w:val="16"/>
  </w:num>
  <w:num w:numId="16">
    <w:abstractNumId w:val="10"/>
  </w:num>
  <w:num w:numId="17">
    <w:abstractNumId w:val="11"/>
  </w:num>
  <w:num w:numId="18">
    <w:abstractNumId w:val="13"/>
  </w:num>
  <w:num w:numId="19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1"/>
  <w:displayBackgroundShape/>
  <w:stylePaneFormatFilter w:val="3F01"/>
  <w:defaultTabStop w:val="720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06068"/>
    <w:rsid w:val="00005933"/>
    <w:rsid w:val="000212FA"/>
    <w:rsid w:val="00032E6D"/>
    <w:rsid w:val="000344AE"/>
    <w:rsid w:val="00036BD5"/>
    <w:rsid w:val="00041A1F"/>
    <w:rsid w:val="000552F4"/>
    <w:rsid w:val="00081971"/>
    <w:rsid w:val="000861B3"/>
    <w:rsid w:val="000A6DF8"/>
    <w:rsid w:val="000D58D4"/>
    <w:rsid w:val="000D6F7F"/>
    <w:rsid w:val="000D7C6F"/>
    <w:rsid w:val="001333CA"/>
    <w:rsid w:val="0014092E"/>
    <w:rsid w:val="0015579E"/>
    <w:rsid w:val="00182688"/>
    <w:rsid w:val="001D2C0F"/>
    <w:rsid w:val="001D4827"/>
    <w:rsid w:val="001F6B65"/>
    <w:rsid w:val="002525D6"/>
    <w:rsid w:val="00252D41"/>
    <w:rsid w:val="00257211"/>
    <w:rsid w:val="00293765"/>
    <w:rsid w:val="00294E27"/>
    <w:rsid w:val="002B0F2C"/>
    <w:rsid w:val="002B2296"/>
    <w:rsid w:val="002C2734"/>
    <w:rsid w:val="002D4A3A"/>
    <w:rsid w:val="00305346"/>
    <w:rsid w:val="00316C3C"/>
    <w:rsid w:val="003252EB"/>
    <w:rsid w:val="00336289"/>
    <w:rsid w:val="00366FDC"/>
    <w:rsid w:val="003806C9"/>
    <w:rsid w:val="003B01EE"/>
    <w:rsid w:val="003C0654"/>
    <w:rsid w:val="003C0AF2"/>
    <w:rsid w:val="003E6F76"/>
    <w:rsid w:val="00426C2D"/>
    <w:rsid w:val="00444F62"/>
    <w:rsid w:val="0048025E"/>
    <w:rsid w:val="0048274C"/>
    <w:rsid w:val="00483C25"/>
    <w:rsid w:val="004A5E49"/>
    <w:rsid w:val="004D61E1"/>
    <w:rsid w:val="004F4BDA"/>
    <w:rsid w:val="00501573"/>
    <w:rsid w:val="00506068"/>
    <w:rsid w:val="005063B3"/>
    <w:rsid w:val="0051406B"/>
    <w:rsid w:val="0053478A"/>
    <w:rsid w:val="00551207"/>
    <w:rsid w:val="00555E4B"/>
    <w:rsid w:val="00562238"/>
    <w:rsid w:val="005625E9"/>
    <w:rsid w:val="00577262"/>
    <w:rsid w:val="00595DB8"/>
    <w:rsid w:val="005B00E2"/>
    <w:rsid w:val="005D37E2"/>
    <w:rsid w:val="005F4E6B"/>
    <w:rsid w:val="0060680C"/>
    <w:rsid w:val="00617216"/>
    <w:rsid w:val="0062194A"/>
    <w:rsid w:val="006337B3"/>
    <w:rsid w:val="00645182"/>
    <w:rsid w:val="00675119"/>
    <w:rsid w:val="006934D7"/>
    <w:rsid w:val="006A71FD"/>
    <w:rsid w:val="006B4078"/>
    <w:rsid w:val="006C6D55"/>
    <w:rsid w:val="006E38E3"/>
    <w:rsid w:val="006F2236"/>
    <w:rsid w:val="00703CAA"/>
    <w:rsid w:val="00710CEF"/>
    <w:rsid w:val="007169E0"/>
    <w:rsid w:val="00733723"/>
    <w:rsid w:val="007500CE"/>
    <w:rsid w:val="00773B00"/>
    <w:rsid w:val="00780BE7"/>
    <w:rsid w:val="00791155"/>
    <w:rsid w:val="007A7421"/>
    <w:rsid w:val="007B06C1"/>
    <w:rsid w:val="007B4C32"/>
    <w:rsid w:val="007B6792"/>
    <w:rsid w:val="007C78D2"/>
    <w:rsid w:val="007D120A"/>
    <w:rsid w:val="007F0CA1"/>
    <w:rsid w:val="008002CB"/>
    <w:rsid w:val="00806EDE"/>
    <w:rsid w:val="00822E1A"/>
    <w:rsid w:val="008A025B"/>
    <w:rsid w:val="008A3F72"/>
    <w:rsid w:val="008C4016"/>
    <w:rsid w:val="008F67E0"/>
    <w:rsid w:val="00916529"/>
    <w:rsid w:val="0094138E"/>
    <w:rsid w:val="00951C08"/>
    <w:rsid w:val="00977C8F"/>
    <w:rsid w:val="00980C65"/>
    <w:rsid w:val="00995996"/>
    <w:rsid w:val="009964C4"/>
    <w:rsid w:val="009D13B5"/>
    <w:rsid w:val="009F732B"/>
    <w:rsid w:val="00A130EA"/>
    <w:rsid w:val="00A21AF2"/>
    <w:rsid w:val="00A32452"/>
    <w:rsid w:val="00A462BB"/>
    <w:rsid w:val="00A552CD"/>
    <w:rsid w:val="00A6625A"/>
    <w:rsid w:val="00AA1CA7"/>
    <w:rsid w:val="00AB30C6"/>
    <w:rsid w:val="00AC438C"/>
    <w:rsid w:val="00AD632C"/>
    <w:rsid w:val="00AE7DD5"/>
    <w:rsid w:val="00AF544E"/>
    <w:rsid w:val="00B62F02"/>
    <w:rsid w:val="00B852CA"/>
    <w:rsid w:val="00BB10FA"/>
    <w:rsid w:val="00BE7A95"/>
    <w:rsid w:val="00BF69BD"/>
    <w:rsid w:val="00C044B2"/>
    <w:rsid w:val="00C32DBF"/>
    <w:rsid w:val="00C35CA8"/>
    <w:rsid w:val="00C41AB2"/>
    <w:rsid w:val="00C539D0"/>
    <w:rsid w:val="00C83ACF"/>
    <w:rsid w:val="00C90E50"/>
    <w:rsid w:val="00CB3A08"/>
    <w:rsid w:val="00CB4883"/>
    <w:rsid w:val="00CB69BD"/>
    <w:rsid w:val="00CC7467"/>
    <w:rsid w:val="00CD2F29"/>
    <w:rsid w:val="00D1738F"/>
    <w:rsid w:val="00D31667"/>
    <w:rsid w:val="00D57CF5"/>
    <w:rsid w:val="00D66791"/>
    <w:rsid w:val="00DB0D6C"/>
    <w:rsid w:val="00DB1BF6"/>
    <w:rsid w:val="00DE58C9"/>
    <w:rsid w:val="00E015A8"/>
    <w:rsid w:val="00E3315C"/>
    <w:rsid w:val="00E46499"/>
    <w:rsid w:val="00E60E03"/>
    <w:rsid w:val="00E82706"/>
    <w:rsid w:val="00EC4517"/>
    <w:rsid w:val="00ED5EA3"/>
    <w:rsid w:val="00F135A1"/>
    <w:rsid w:val="00F17609"/>
    <w:rsid w:val="00F17A54"/>
    <w:rsid w:val="00F2752D"/>
    <w:rsid w:val="00F301C3"/>
    <w:rsid w:val="00F32B20"/>
    <w:rsid w:val="00F54F6A"/>
    <w:rsid w:val="00F62C3B"/>
    <w:rsid w:val="00FA4C24"/>
    <w:rsid w:val="00FA7DA1"/>
    <w:rsid w:val="00FC3D49"/>
    <w:rsid w:val="00FC3FAB"/>
    <w:rsid w:val="00FD5EAA"/>
    <w:rsid w:val="00FE65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 style="mso-position-horizontal-relative:page;mso-position-vertical-relative:page" fill="f" fillcolor="white" stroke="f">
      <v:fill color="white" on="f"/>
      <v:stroke on="f"/>
      <o:colormru v:ext="edit" colors="#dcdce8,#fff5c9,#fc0,#f90,#669,red,#eaeaea,#c7c7d9"/>
      <o:colormenu v:ext="edit" fillcolor="none" shadowcolor="#f90" extrusioncolor="none"/>
    </o:shapedefaults>
    <o:shapelayout v:ext="edit">
      <o:idmap v:ext="edit" data="1"/>
      <o:regrouptable v:ext="edit">
        <o:entry new="1" old="0"/>
        <o:entry new="2" old="1"/>
        <o:entry new="3" old="1"/>
        <o:entry new="4" old="0"/>
        <o:entry new="5" old="0"/>
        <o:entry new="6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52CD"/>
    <w:pPr>
      <w:spacing w:after="180" w:line="271" w:lineRule="auto"/>
      <w:jc w:val="both"/>
    </w:pPr>
    <w:rPr>
      <w:color w:val="000000"/>
      <w:kern w:val="28"/>
      <w:sz w:val="18"/>
      <w:szCs w:val="18"/>
    </w:rPr>
  </w:style>
  <w:style w:type="paragraph" w:styleId="Heading1">
    <w:name w:val="heading 1"/>
    <w:next w:val="Normal"/>
    <w:qFormat/>
    <w:rsid w:val="00293765"/>
    <w:pPr>
      <w:spacing w:after="200"/>
      <w:outlineLvl w:val="0"/>
    </w:pPr>
    <w:rPr>
      <w:rFonts w:ascii="Tahoma" w:hAnsi="Tahoma" w:cs="Arial"/>
      <w:b/>
      <w:bCs/>
      <w:color w:val="666699"/>
      <w:spacing w:val="4"/>
      <w:kern w:val="28"/>
      <w:sz w:val="24"/>
      <w:szCs w:val="24"/>
    </w:rPr>
  </w:style>
  <w:style w:type="paragraph" w:styleId="Heading2">
    <w:name w:val="heading 2"/>
    <w:basedOn w:val="Heading1"/>
    <w:next w:val="Normal"/>
    <w:qFormat/>
    <w:rsid w:val="00182688"/>
    <w:pPr>
      <w:spacing w:after="120"/>
      <w:outlineLvl w:val="1"/>
    </w:pPr>
    <w:rPr>
      <w:i/>
    </w:rPr>
  </w:style>
  <w:style w:type="paragraph" w:styleId="Heading3">
    <w:name w:val="heading 3"/>
    <w:basedOn w:val="Heading1"/>
    <w:next w:val="Normal"/>
    <w:qFormat/>
    <w:rsid w:val="00C539D0"/>
    <w:pPr>
      <w:outlineLvl w:val="2"/>
    </w:pPr>
    <w:rPr>
      <w:b w:val="0"/>
      <w:smallCaps/>
    </w:rPr>
  </w:style>
  <w:style w:type="paragraph" w:styleId="Heading4">
    <w:name w:val="heading 4"/>
    <w:basedOn w:val="Heading1"/>
    <w:qFormat/>
    <w:rsid w:val="00C35CA8"/>
    <w:pPr>
      <w:outlineLvl w:val="3"/>
    </w:pPr>
    <w:rPr>
      <w:color w:val="auto"/>
    </w:rPr>
  </w:style>
  <w:style w:type="paragraph" w:styleId="Heading7">
    <w:name w:val="heading 7"/>
    <w:qFormat/>
    <w:rsid w:val="00A552CD"/>
    <w:pPr>
      <w:spacing w:line="271" w:lineRule="auto"/>
      <w:jc w:val="center"/>
      <w:outlineLvl w:val="6"/>
    </w:pPr>
    <w:rPr>
      <w:i/>
      <w:iCs/>
      <w:color w:val="000000"/>
      <w:kern w:val="28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1">
    <w:name w:val="Body Text 1"/>
    <w:rsid w:val="008C4016"/>
    <w:pPr>
      <w:spacing w:after="240" w:line="320" w:lineRule="atLeast"/>
    </w:pPr>
    <w:rPr>
      <w:rFonts w:ascii="Tahoma" w:hAnsi="Tahoma" w:cs="Arial"/>
      <w:spacing w:val="-5"/>
      <w:sz w:val="22"/>
      <w:szCs w:val="22"/>
    </w:rPr>
  </w:style>
  <w:style w:type="paragraph" w:styleId="BalloonText">
    <w:name w:val="Balloon Text"/>
    <w:basedOn w:val="Normal"/>
    <w:link w:val="BalloonTextChar"/>
    <w:rsid w:val="002B0F2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Address">
    <w:name w:val="Address"/>
    <w:basedOn w:val="Normal"/>
    <w:rsid w:val="00F54F6A"/>
    <w:pPr>
      <w:spacing w:after="0" w:line="240" w:lineRule="auto"/>
      <w:jc w:val="center"/>
    </w:pPr>
    <w:rPr>
      <w:rFonts w:ascii="Tahoma" w:hAnsi="Tahoma" w:cs="Arial"/>
      <w:bCs/>
      <w:color w:val="auto"/>
      <w:spacing w:val="2"/>
      <w:sz w:val="34"/>
      <w:szCs w:val="32"/>
    </w:rPr>
  </w:style>
  <w:style w:type="paragraph" w:customStyle="1" w:styleId="Tagline">
    <w:name w:val="Tagline"/>
    <w:rsid w:val="00F135A1"/>
    <w:pPr>
      <w:spacing w:line="271" w:lineRule="auto"/>
      <w:jc w:val="center"/>
    </w:pPr>
    <w:rPr>
      <w:rFonts w:ascii="Arial" w:hAnsi="Arial" w:cs="Arial"/>
      <w:b/>
      <w:bCs/>
      <w:kern w:val="28"/>
      <w:sz w:val="30"/>
      <w:szCs w:val="30"/>
    </w:rPr>
  </w:style>
  <w:style w:type="character" w:styleId="Hyperlink">
    <w:name w:val="Hyperlink"/>
    <w:basedOn w:val="DefaultParagraphFont"/>
    <w:semiHidden/>
    <w:rsid w:val="004F4BDA"/>
    <w:rPr>
      <w:color w:val="0000FF"/>
      <w:u w:val="single"/>
    </w:rPr>
  </w:style>
  <w:style w:type="paragraph" w:customStyle="1" w:styleId="Address2">
    <w:name w:val="Address 2"/>
    <w:rsid w:val="00D1738F"/>
    <w:pPr>
      <w:jc w:val="center"/>
    </w:pPr>
    <w:rPr>
      <w:rFonts w:ascii="Tahoma" w:hAnsi="Tahoma" w:cs="Arial"/>
      <w:b/>
      <w:kern w:val="28"/>
      <w:szCs w:val="22"/>
    </w:rPr>
  </w:style>
  <w:style w:type="paragraph" w:customStyle="1" w:styleId="Captiontext">
    <w:name w:val="Caption text"/>
    <w:basedOn w:val="Normal"/>
    <w:rsid w:val="00F54F6A"/>
    <w:pPr>
      <w:spacing w:after="0" w:line="240" w:lineRule="auto"/>
      <w:jc w:val="center"/>
    </w:pPr>
    <w:rPr>
      <w:rFonts w:ascii="Tahoma" w:hAnsi="Tahoma" w:cs="Arial"/>
      <w:color w:val="5F5F5F"/>
      <w:spacing w:val="4"/>
      <w:sz w:val="16"/>
      <w:szCs w:val="16"/>
    </w:rPr>
  </w:style>
  <w:style w:type="paragraph" w:customStyle="1" w:styleId="CompanyName">
    <w:name w:val="Company Name"/>
    <w:next w:val="Normal"/>
    <w:rsid w:val="00C35CA8"/>
    <w:pPr>
      <w:jc w:val="center"/>
    </w:pPr>
    <w:rPr>
      <w:rFonts w:ascii="Arial Black" w:hAnsi="Arial Black" w:cs="Arial"/>
      <w:bCs/>
      <w:kern w:val="28"/>
      <w:sz w:val="36"/>
      <w:szCs w:val="36"/>
    </w:rPr>
  </w:style>
  <w:style w:type="paragraph" w:styleId="BodyText">
    <w:name w:val="Body Text"/>
    <w:basedOn w:val="Normal"/>
    <w:link w:val="BodyTextChar"/>
    <w:rsid w:val="00293765"/>
    <w:pPr>
      <w:spacing w:before="40" w:after="160"/>
      <w:jc w:val="left"/>
    </w:pPr>
    <w:rPr>
      <w:rFonts w:ascii="Tahoma" w:hAnsi="Tahoma"/>
      <w:color w:val="auto"/>
      <w:sz w:val="20"/>
      <w:szCs w:val="22"/>
    </w:rPr>
  </w:style>
  <w:style w:type="character" w:customStyle="1" w:styleId="BodyTextChar">
    <w:name w:val="Body Text Char"/>
    <w:basedOn w:val="DefaultParagraphFont"/>
    <w:link w:val="BodyText"/>
    <w:rsid w:val="00293765"/>
    <w:rPr>
      <w:rFonts w:ascii="Tahoma" w:hAnsi="Tahoma"/>
      <w:kern w:val="28"/>
      <w:szCs w:val="22"/>
      <w:lang w:val="en-US" w:eastAsia="en-US" w:bidi="ar-SA"/>
    </w:rPr>
  </w:style>
  <w:style w:type="paragraph" w:styleId="BodyText2">
    <w:name w:val="Body Text 2"/>
    <w:basedOn w:val="Normal"/>
    <w:rsid w:val="00B852CA"/>
    <w:pPr>
      <w:jc w:val="left"/>
    </w:pPr>
    <w:rPr>
      <w:rFonts w:ascii="Arial" w:hAnsi="Arial" w:cs="Arial"/>
      <w:i/>
      <w:color w:val="auto"/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rsid w:val="002B0F2C"/>
    <w:rPr>
      <w:rFonts w:ascii="Tahoma" w:hAnsi="Tahoma" w:cs="Tahoma"/>
      <w:color w:val="000000"/>
      <w:kern w:val="28"/>
      <w:sz w:val="16"/>
      <w:szCs w:val="16"/>
    </w:rPr>
  </w:style>
  <w:style w:type="paragraph" w:styleId="ListParagraph">
    <w:name w:val="List Paragraph"/>
    <w:basedOn w:val="Normal"/>
    <w:uiPriority w:val="34"/>
    <w:qFormat/>
    <w:rsid w:val="002B0F2C"/>
    <w:pPr>
      <w:ind w:left="720"/>
      <w:contextualSpacing/>
    </w:pPr>
  </w:style>
  <w:style w:type="paragraph" w:styleId="Header">
    <w:name w:val="header"/>
    <w:basedOn w:val="Normal"/>
    <w:link w:val="HeaderChar"/>
    <w:rsid w:val="0048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48274C"/>
    <w:rPr>
      <w:color w:val="000000"/>
      <w:kern w:val="28"/>
      <w:sz w:val="18"/>
      <w:szCs w:val="18"/>
    </w:rPr>
  </w:style>
  <w:style w:type="paragraph" w:styleId="Footer">
    <w:name w:val="footer"/>
    <w:basedOn w:val="Normal"/>
    <w:link w:val="FooterChar"/>
    <w:rsid w:val="004827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48274C"/>
    <w:rPr>
      <w:color w:val="000000"/>
      <w:kern w:val="28"/>
      <w:sz w:val="18"/>
      <w:szCs w:val="18"/>
    </w:rPr>
  </w:style>
  <w:style w:type="paragraph" w:customStyle="1" w:styleId="msobodytext4">
    <w:name w:val="msobodytext4"/>
    <w:rsid w:val="00951C08"/>
    <w:pPr>
      <w:spacing w:after="180" w:line="271" w:lineRule="auto"/>
    </w:pPr>
    <w:rPr>
      <w:rFonts w:ascii="Agency FB" w:hAnsi="Agency FB"/>
      <w:color w:val="000000"/>
      <w:kern w:val="28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463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://www.sedcsea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59162A-E6E4-4FA4-8E64-B78F9DF19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Microsoft Corporation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rlaporte</dc:creator>
  <cp:keywords/>
  <dc:description/>
  <cp:lastModifiedBy>RSandow</cp:lastModifiedBy>
  <cp:revision>2</cp:revision>
  <cp:lastPrinted>2010-03-16T19:32:00Z</cp:lastPrinted>
  <dcterms:created xsi:type="dcterms:W3CDTF">2010-03-17T18:58:00Z</dcterms:created>
  <dcterms:modified xsi:type="dcterms:W3CDTF">2010-03-17T18:58:00Z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TC060874601033</vt:lpwstr>
  </property>
</Properties>
</file>