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C4DBB" w14:textId="0FF3B6B9" w:rsidR="003E3485" w:rsidRDefault="00000000">
      <w:pPr>
        <w:spacing w:after="300"/>
      </w:pPr>
      <w:r>
        <w:rPr>
          <w:b/>
          <w:sz w:val="26"/>
        </w:rPr>
        <w:t xml:space="preserve">IRESEN </w:t>
      </w:r>
      <w:r w:rsidR="00404A09">
        <w:rPr>
          <w:b/>
          <w:sz w:val="26"/>
        </w:rPr>
        <w:t xml:space="preserve">- </w:t>
      </w:r>
      <w:r w:rsidR="00404A09" w:rsidRPr="00404A09">
        <w:rPr>
          <w:b/>
          <w:sz w:val="26"/>
        </w:rPr>
        <w:t>Direction Partenariats et Marketing de l’Innovation</w:t>
      </w:r>
    </w:p>
    <w:p w14:paraId="67FD9766" w14:textId="77777777" w:rsidR="003E3485" w:rsidRPr="00404A09" w:rsidRDefault="00000000" w:rsidP="00404A09">
      <w:pPr>
        <w:pStyle w:val="Title"/>
      </w:pPr>
      <w:r w:rsidRPr="00404A09">
        <w:t>Narratif institutionnel</w:t>
      </w:r>
    </w:p>
    <w:p w14:paraId="01E30EF4" w14:textId="359E0B8B" w:rsidR="003E3485" w:rsidRPr="00404A09" w:rsidRDefault="00000000" w:rsidP="00100943">
      <w:pPr>
        <w:pStyle w:val="Title"/>
        <w:spacing w:after="0"/>
        <w:ind w:left="720" w:hanging="720"/>
        <w:rPr>
          <w:rFonts w:ascii="Plus Jakarta Sans Medium" w:hAnsi="Plus Jakarta Sans Medium"/>
          <w:b w:val="0"/>
          <w:i/>
          <w:iCs/>
          <w:caps w:val="0"/>
          <w:sz w:val="32"/>
          <w:szCs w:val="40"/>
        </w:rPr>
      </w:pPr>
      <w:r w:rsidRPr="00404A09">
        <w:rPr>
          <w:rFonts w:ascii="Plus Jakarta Sans Medium" w:hAnsi="Plus Jakarta Sans Medium"/>
          <w:b w:val="0"/>
          <w:i/>
          <w:iCs/>
          <w:caps w:val="0"/>
          <w:sz w:val="32"/>
          <w:szCs w:val="40"/>
        </w:rPr>
        <w:t xml:space="preserve">Phase </w:t>
      </w:r>
      <w:r w:rsidR="00404A09">
        <w:rPr>
          <w:rFonts w:ascii="Plus Jakarta Sans Medium" w:hAnsi="Plus Jakarta Sans Medium"/>
          <w:b w:val="0"/>
          <w:i/>
          <w:iCs/>
          <w:caps w:val="0"/>
          <w:sz w:val="32"/>
          <w:szCs w:val="40"/>
        </w:rPr>
        <w:t>I.</w:t>
      </w:r>
      <w:r w:rsidRPr="00404A09">
        <w:rPr>
          <w:rFonts w:ascii="Plus Jakarta Sans Medium" w:hAnsi="Plus Jakarta Sans Medium"/>
          <w:b w:val="0"/>
          <w:i/>
          <w:iCs/>
          <w:caps w:val="0"/>
          <w:sz w:val="32"/>
          <w:szCs w:val="40"/>
        </w:rPr>
        <w:t xml:space="preserve"> </w:t>
      </w:r>
      <w:r w:rsidR="00382967" w:rsidRPr="00382967">
        <w:rPr>
          <w:rFonts w:ascii="Plus Jakarta Sans Medium" w:hAnsi="Plus Jakarta Sans Medium"/>
          <w:b w:val="0"/>
          <w:i/>
          <w:iCs/>
          <w:caps w:val="0"/>
          <w:sz w:val="32"/>
          <w:szCs w:val="40"/>
        </w:rPr>
        <w:t>Le socle commun de notre communication</w:t>
      </w:r>
    </w:p>
    <w:p w14:paraId="35342680" w14:textId="441B75C3" w:rsidR="003E3485" w:rsidRPr="00005AD8" w:rsidRDefault="00567174" w:rsidP="00100943">
      <w:pPr>
        <w:pStyle w:val="Subtitle"/>
        <w:spacing w:before="60"/>
      </w:pPr>
      <w:r w:rsidRPr="00567174">
        <w:t>Faire comprendre notre rôle et notre contribution</w:t>
      </w:r>
    </w:p>
    <w:p w14:paraId="647776AB" w14:textId="77777777" w:rsidR="005E1B13" w:rsidRDefault="005E1B13" w:rsidP="005E1B13">
      <w:r>
        <w:t>Notre communication doit permettre de comprendre rapidement pourquoi IRESEN existe, ce qu’il apporte au Maroc et comment il travaille avec ses partenaires. Ce rapport propose une lecture commune de l’Institut, fondée sur ses réalisations et sur les orientations de la prochaine décennie.</w:t>
      </w:r>
    </w:p>
    <w:p w14:paraId="5B9C1211" w14:textId="5610733C" w:rsidR="00567174" w:rsidRDefault="005E1B13" w:rsidP="005E1B13">
      <w:r>
        <w:t>Le choix retenu est simple : partir de notre rôle, expliquer le parcours qui relie la recherche aux usages, puis présenter les capacités qui rendent ce parcours possible. Cette lecture doit pouvoir être comprise et portée par toutes les équipes, et permettre à nos interlocuteurs de reconnaître les besoins auxquels IRESEN peut répondre.</w:t>
      </w:r>
    </w:p>
    <w:p w14:paraId="300EA4D6" w14:textId="1D1C95C1" w:rsidR="003E3485" w:rsidRPr="009D3D1E" w:rsidRDefault="00567174" w:rsidP="00615AC2">
      <w:pPr>
        <w:pStyle w:val="Heading1"/>
        <w:numPr>
          <w:ilvl w:val="0"/>
          <w:numId w:val="0"/>
        </w:numPr>
      </w:pPr>
      <w:r w:rsidRPr="009D3D1E">
        <w:t>Pourquoi faire évoluer notre narratif maintenant</w:t>
      </w:r>
    </w:p>
    <w:p w14:paraId="10A1DC8D" w14:textId="77777777" w:rsidR="005E1B13" w:rsidRDefault="005E1B13" w:rsidP="005E1B13">
      <w:r>
        <w:t>En quinze ans, IRESEN a soutenu des projets de recherche, contribué à équiper des équipes et développé avec ses partenaires des plateformes d’expérimentation. Ces acquis donnent aujourd’hui davantage de matière pour expliquer ce que la recherche et l’innovation permettent de produire au Maroc.</w:t>
      </w:r>
    </w:p>
    <w:p w14:paraId="2C96C772" w14:textId="77777777" w:rsidR="005E1B13" w:rsidRDefault="005E1B13" w:rsidP="005E1B13">
      <w:r>
        <w:t>Les besoins énergétiques appellent aussi une lecture plus intégrée. Production renouvelable, stockage, réseaux, bâtiment et mobilité se rejoignent dans des problèmes concrets de performance et de fiabilité. La décarbonation industrielle et la compétitivité des entreprises renforcent le besoin de développer et d’éprouver des solutions adaptées aux usages. Ces travaux contribuent également aux enjeux de développement durable, notamment dans les relations entre énergie, eau et autres ressources.</w:t>
      </w:r>
    </w:p>
    <w:p w14:paraId="2F6E1910" w14:textId="77777777" w:rsidR="005E1B13" w:rsidRDefault="005E1B13" w:rsidP="005E1B13">
      <w:r>
        <w:t xml:space="preserve">La réorganisation de l’Institut et ses nouvelles orientations stratégiques invitent à mieux relier la programmation scientifique, les plateformes, les partenariats et la valorisation. Le projet de convention État–IRESEN 2026–2035 </w:t>
      </w:r>
      <w:proofErr w:type="gramStart"/>
      <w:r>
        <w:t>prolonge</w:t>
      </w:r>
      <w:proofErr w:type="gramEnd"/>
      <w:r>
        <w:t xml:space="preserve"> cette direction, avec une place renforcée pour la démonstration, la réduction des incertitudes technologiques, les compétences et l’appui à la décision publique.</w:t>
      </w:r>
    </w:p>
    <w:p w14:paraId="63FE23C4" w14:textId="2DC43A94" w:rsidR="00A62010" w:rsidRDefault="005E1B13" w:rsidP="005E1B13">
      <w:r>
        <w:t>Nous devons donc mieux expliquer comment les capacités construites se traduisent en connaissances utiles, en technologies éprouvées et en possibilités de transfert. Les réalisations actuelles constituent notre point de départ ; les objectifs 2035 expriment ce que nous voulons consolider et développer.</w:t>
      </w:r>
    </w:p>
    <w:p w14:paraId="7FBA9671" w14:textId="77777777" w:rsidR="00A0695A" w:rsidRDefault="00A0695A" w:rsidP="00A62010"/>
    <w:tbl>
      <w:tblPr>
        <w:tblStyle w:val="TableGrid"/>
        <w:tblW w:w="5641" w:type="pct"/>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CellMar>
          <w:top w:w="142" w:type="dxa"/>
          <w:left w:w="142" w:type="dxa"/>
          <w:bottom w:w="142" w:type="dxa"/>
          <w:right w:w="142" w:type="dxa"/>
        </w:tblCellMar>
        <w:tblLook w:val="04A0" w:firstRow="1" w:lastRow="0" w:firstColumn="1" w:lastColumn="0" w:noHBand="0" w:noVBand="1"/>
      </w:tblPr>
      <w:tblGrid>
        <w:gridCol w:w="11341"/>
      </w:tblGrid>
      <w:tr w:rsidR="00F23DBD" w:rsidRPr="00A0695A" w14:paraId="7DB6E549" w14:textId="77777777" w:rsidTr="00A0695A">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C6D9F1" w:themeFill="text2" w:themeFillTint="33"/>
          </w:tcPr>
          <w:p w14:paraId="7C5C585D" w14:textId="68805EDC" w:rsidR="00F23DBD" w:rsidRPr="00A0695A" w:rsidRDefault="00F23DBD" w:rsidP="00A0695A">
            <w:pPr>
              <w:ind w:left="995" w:right="285"/>
              <w:rPr>
                <w:color w:val="1D4F91"/>
              </w:rPr>
            </w:pPr>
            <w:r w:rsidRPr="00A0695A">
              <w:rPr>
                <w:b w:val="0"/>
                <w:bCs/>
                <w:color w:val="1D4F91"/>
              </w:rPr>
              <w:t>Le changement attendu :</w:t>
            </w:r>
            <w:r w:rsidRPr="00A0695A">
              <w:rPr>
                <w:color w:val="1D4F91"/>
              </w:rPr>
              <w:t xml:space="preserve"> </w:t>
            </w:r>
            <w:r w:rsidR="005E1B13" w:rsidRPr="005E1B13">
              <w:rPr>
                <w:color w:val="1D4F91"/>
              </w:rPr>
              <w:t>Passer d’une présentation principalement organisée autour de nos instruments à une présentation qui explique leur contribution à la transition énergétique, au développement durable et aux besoins des acteurs concernés.</w:t>
            </w:r>
          </w:p>
        </w:tc>
      </w:tr>
    </w:tbl>
    <w:p w14:paraId="7FE35C17" w14:textId="0532EABD" w:rsidR="00A62010" w:rsidRDefault="00A62010" w:rsidP="00A62010">
      <w:pPr>
        <w:pStyle w:val="Heading1"/>
        <w:pageBreakBefore/>
      </w:pPr>
      <w:r w:rsidRPr="00A62010">
        <w:lastRenderedPageBreak/>
        <w:t>Que raconte notre présentation actuell</w:t>
      </w:r>
      <w:r>
        <w:t>e</w:t>
      </w:r>
    </w:p>
    <w:p w14:paraId="066A7FC3" w14:textId="77777777" w:rsidR="005E1B13" w:rsidRDefault="005E1B13" w:rsidP="005E1B13">
      <w:r>
        <w:t>Le discours institutionnel s’organise principalement autour de deux instruments : l’Agence de moyens, qui soutient la recherche collaborative, et le réseau de plateformes, qui mutualise des capacités de recherche et d’expérimentation. Cette organisation rend lisible le travail de construction réalisé depuis 2011.</w:t>
      </w:r>
    </w:p>
    <w:p w14:paraId="2FB15417" w14:textId="3EB40653" w:rsidR="00A62010" w:rsidRDefault="005E1B13" w:rsidP="005E1B13">
      <w:r>
        <w:t>Les textes historiques évoquent déjà le transfert, la formation, l’expertise et les relations avec l’industrie. Toutefois, ces dimensions restent dispersées. Le lecteur identifie plus facilement les moyens disponibles que le parcours qui permet de les mobiliser ensemble pour répondre à un besoin.</w:t>
      </w:r>
    </w:p>
    <w:p w14:paraId="40F3C75A" w14:textId="77777777" w:rsidR="00A62010" w:rsidRDefault="00A62010" w:rsidP="00A62010">
      <w:pPr>
        <w:pStyle w:val="Heading2"/>
      </w:pPr>
      <w:r>
        <w:t>Ce qui est déjà bien expliqué</w:t>
      </w:r>
    </w:p>
    <w:p w14:paraId="580DD89F" w14:textId="727CB10A" w:rsidR="003E3485" w:rsidRDefault="005E1B13" w:rsidP="00A62010">
      <w:r w:rsidRPr="005E1B13">
        <w:t>Nos supports montrent les programmes financés, les infrastructures développées, les domaines technologiques couverts et les partenaires associés. Ils rendent visibles la capacité à soutenir des équipes de recherche et l’effort de mutualisation des moyens expérimentaux.</w:t>
      </w:r>
    </w:p>
    <w:tbl>
      <w:tblPr>
        <w:tblStyle w:val="MyStyle"/>
        <w:tblW w:w="0" w:type="auto"/>
        <w:tblInd w:w="142" w:type="dxa"/>
        <w:tblLayout w:type="fixed"/>
        <w:tblLook w:val="04A0" w:firstRow="1" w:lastRow="0" w:firstColumn="1" w:lastColumn="0" w:noHBand="0" w:noVBand="1"/>
      </w:tblPr>
      <w:tblGrid>
        <w:gridCol w:w="2522"/>
        <w:gridCol w:w="7259"/>
      </w:tblGrid>
      <w:tr w:rsidR="00A62010" w14:paraId="4DA74566" w14:textId="77777777" w:rsidTr="00ED4C43">
        <w:trPr>
          <w:cnfStyle w:val="100000000000" w:firstRow="1" w:lastRow="0" w:firstColumn="0" w:lastColumn="0" w:oddVBand="0" w:evenVBand="0" w:oddHBand="0" w:evenHBand="0" w:firstRowFirstColumn="0" w:firstRowLastColumn="0" w:lastRowFirstColumn="0" w:lastRowLastColumn="0"/>
        </w:trPr>
        <w:tc>
          <w:tcPr>
            <w:tcW w:w="2522" w:type="dxa"/>
          </w:tcPr>
          <w:p w14:paraId="05255758" w14:textId="77777777" w:rsidR="00A62010" w:rsidRDefault="00A62010" w:rsidP="00A62010">
            <w:pPr>
              <w:spacing w:before="0" w:after="0" w:line="250" w:lineRule="auto"/>
            </w:pPr>
            <w:r>
              <w:rPr>
                <w:color w:val="FFFFFF"/>
                <w:sz w:val="21"/>
              </w:rPr>
              <w:t>Entrée dominante</w:t>
            </w:r>
          </w:p>
        </w:tc>
        <w:tc>
          <w:tcPr>
            <w:tcW w:w="7259" w:type="dxa"/>
          </w:tcPr>
          <w:p w14:paraId="0494705D" w14:textId="77777777" w:rsidR="00A62010" w:rsidRDefault="00A62010" w:rsidP="00A62010">
            <w:pPr>
              <w:spacing w:before="0" w:after="0" w:line="250" w:lineRule="auto"/>
            </w:pPr>
            <w:r>
              <w:rPr>
                <w:color w:val="FFFFFF"/>
                <w:sz w:val="21"/>
              </w:rPr>
              <w:t xml:space="preserve">Ce qu’il </w:t>
            </w:r>
            <w:proofErr w:type="gramStart"/>
            <w:r>
              <w:rPr>
                <w:color w:val="FFFFFF"/>
                <w:sz w:val="21"/>
              </w:rPr>
              <w:t>faut</w:t>
            </w:r>
            <w:proofErr w:type="gramEnd"/>
            <w:r>
              <w:rPr>
                <w:color w:val="FFFFFF"/>
                <w:sz w:val="21"/>
              </w:rPr>
              <w:t xml:space="preserve"> mieux faire comprendre</w:t>
            </w:r>
          </w:p>
        </w:tc>
      </w:tr>
      <w:tr w:rsidR="00A62010" w14:paraId="75913E65" w14:textId="77777777" w:rsidTr="00ED4C43">
        <w:tc>
          <w:tcPr>
            <w:tcW w:w="2522" w:type="dxa"/>
          </w:tcPr>
          <w:p w14:paraId="251E3AF0" w14:textId="77777777" w:rsidR="00A62010" w:rsidRDefault="00A62010" w:rsidP="00A62010">
            <w:pPr>
              <w:spacing w:before="0" w:after="0" w:line="250" w:lineRule="auto"/>
              <w:jc w:val="left"/>
            </w:pPr>
            <w:r>
              <w:rPr>
                <w:color w:val="000000"/>
                <w:sz w:val="21"/>
              </w:rPr>
              <w:t>Agence de moyens</w:t>
            </w:r>
          </w:p>
        </w:tc>
        <w:tc>
          <w:tcPr>
            <w:tcW w:w="7259" w:type="dxa"/>
          </w:tcPr>
          <w:p w14:paraId="13C7DDB6" w14:textId="729E288E" w:rsidR="00A62010" w:rsidRDefault="005E1B13" w:rsidP="00A62010">
            <w:pPr>
              <w:spacing w:before="0" w:after="0" w:line="250" w:lineRule="auto"/>
              <w:jc w:val="left"/>
            </w:pPr>
            <w:r w:rsidRPr="005E1B13">
              <w:rPr>
                <w:color w:val="000000"/>
                <w:sz w:val="21"/>
              </w:rPr>
              <w:t>Comment un besoin devient un programme, puis un projet suivi jusqu’à ses résultats et à leurs possibilités de valorisation.</w:t>
            </w:r>
          </w:p>
        </w:tc>
      </w:tr>
      <w:tr w:rsidR="00A62010" w14:paraId="68A0BD36" w14:textId="77777777" w:rsidTr="00ED4C43">
        <w:trPr>
          <w:cnfStyle w:val="000000010000" w:firstRow="0" w:lastRow="0" w:firstColumn="0" w:lastColumn="0" w:oddVBand="0" w:evenVBand="0" w:oddHBand="0" w:evenHBand="1" w:firstRowFirstColumn="0" w:firstRowLastColumn="0" w:lastRowFirstColumn="0" w:lastRowLastColumn="0"/>
        </w:trPr>
        <w:tc>
          <w:tcPr>
            <w:tcW w:w="2522" w:type="dxa"/>
          </w:tcPr>
          <w:p w14:paraId="60139A22" w14:textId="77777777" w:rsidR="00A62010" w:rsidRDefault="00A62010" w:rsidP="00A62010">
            <w:pPr>
              <w:spacing w:before="0" w:after="0" w:line="250" w:lineRule="auto"/>
              <w:jc w:val="left"/>
            </w:pPr>
            <w:r>
              <w:rPr>
                <w:color w:val="000000"/>
                <w:sz w:val="21"/>
              </w:rPr>
              <w:t>Infrastructures et équipements</w:t>
            </w:r>
          </w:p>
        </w:tc>
        <w:tc>
          <w:tcPr>
            <w:tcW w:w="7259" w:type="dxa"/>
          </w:tcPr>
          <w:p w14:paraId="6B0CE457" w14:textId="1022A1FE" w:rsidR="00A62010" w:rsidRDefault="005E1B13" w:rsidP="00A62010">
            <w:pPr>
              <w:spacing w:before="0" w:after="0" w:line="250" w:lineRule="auto"/>
              <w:jc w:val="left"/>
            </w:pPr>
            <w:r w:rsidRPr="005E1B13">
              <w:rPr>
                <w:color w:val="000000"/>
                <w:sz w:val="21"/>
              </w:rPr>
              <w:t>À quels travaux ils donnent accès : recherche, essais, qualification, démonstration, formation et prestations.</w:t>
            </w:r>
          </w:p>
        </w:tc>
      </w:tr>
      <w:tr w:rsidR="00A62010" w14:paraId="798C0070" w14:textId="77777777" w:rsidTr="00ED4C43">
        <w:tc>
          <w:tcPr>
            <w:tcW w:w="2522" w:type="dxa"/>
          </w:tcPr>
          <w:p w14:paraId="7987B820" w14:textId="77777777" w:rsidR="00A62010" w:rsidRDefault="00A62010" w:rsidP="00A62010">
            <w:pPr>
              <w:spacing w:before="0" w:after="0" w:line="250" w:lineRule="auto"/>
              <w:jc w:val="left"/>
            </w:pPr>
            <w:r>
              <w:rPr>
                <w:color w:val="000000"/>
                <w:sz w:val="21"/>
              </w:rPr>
              <w:t>Projets et domaines technologiques</w:t>
            </w:r>
          </w:p>
        </w:tc>
        <w:tc>
          <w:tcPr>
            <w:tcW w:w="7259" w:type="dxa"/>
          </w:tcPr>
          <w:p w14:paraId="66AF98F6" w14:textId="0EC46DC8" w:rsidR="00A62010" w:rsidRDefault="005E1B13" w:rsidP="00A62010">
            <w:pPr>
              <w:spacing w:before="0" w:after="0" w:line="250" w:lineRule="auto"/>
              <w:jc w:val="left"/>
            </w:pPr>
            <w:r w:rsidRPr="005E1B13">
              <w:rPr>
                <w:color w:val="000000"/>
                <w:sz w:val="21"/>
              </w:rPr>
              <w:t>Quel problème est traité, pour quel utilisateur et avec quel résultat vérifié.</w:t>
            </w:r>
          </w:p>
        </w:tc>
      </w:tr>
      <w:tr w:rsidR="00A62010" w14:paraId="24095E46" w14:textId="77777777" w:rsidTr="00ED4C43">
        <w:trPr>
          <w:cnfStyle w:val="000000010000" w:firstRow="0" w:lastRow="0" w:firstColumn="0" w:lastColumn="0" w:oddVBand="0" w:evenVBand="0" w:oddHBand="0" w:evenHBand="1" w:firstRowFirstColumn="0" w:firstRowLastColumn="0" w:lastRowFirstColumn="0" w:lastRowLastColumn="0"/>
        </w:trPr>
        <w:tc>
          <w:tcPr>
            <w:tcW w:w="2522" w:type="dxa"/>
          </w:tcPr>
          <w:p w14:paraId="0AF9B82F" w14:textId="77777777" w:rsidR="00A62010" w:rsidRDefault="00A62010" w:rsidP="00A62010">
            <w:pPr>
              <w:spacing w:before="0" w:after="0" w:line="250" w:lineRule="auto"/>
              <w:jc w:val="left"/>
            </w:pPr>
            <w:r>
              <w:rPr>
                <w:color w:val="000000"/>
                <w:sz w:val="21"/>
              </w:rPr>
              <w:t>Partenariats et coopération</w:t>
            </w:r>
          </w:p>
        </w:tc>
        <w:tc>
          <w:tcPr>
            <w:tcW w:w="7259" w:type="dxa"/>
          </w:tcPr>
          <w:p w14:paraId="291BA157" w14:textId="0152F241" w:rsidR="00A62010" w:rsidRDefault="005E1B13" w:rsidP="00A62010">
            <w:pPr>
              <w:spacing w:before="0" w:after="0" w:line="250" w:lineRule="auto"/>
              <w:jc w:val="left"/>
            </w:pPr>
            <w:r w:rsidRPr="005E1B13">
              <w:rPr>
                <w:color w:val="000000"/>
                <w:sz w:val="21"/>
              </w:rPr>
              <w:t>Quelles compétences, capacités expérimentales, ressources ou applications la collaboration rend possibles.</w:t>
            </w:r>
          </w:p>
        </w:tc>
      </w:tr>
    </w:tbl>
    <w:p w14:paraId="6FA6D530" w14:textId="77777777" w:rsidR="00A62010" w:rsidRDefault="00A62010" w:rsidP="00A62010">
      <w:pPr>
        <w:pStyle w:val="Heading2"/>
      </w:pPr>
      <w:r>
        <w:t>Les dimensions à rendre plus visibles</w:t>
      </w:r>
    </w:p>
    <w:p w14:paraId="4CF1EFCF" w14:textId="77777777" w:rsidR="005E1B13" w:rsidRDefault="005E1B13" w:rsidP="005E1B13">
      <w:r>
        <w:t>Le nouveau discours doit mieux montrer la continuité entre recherche, expérimentation et valorisation. Il doit expliquer la réduction des incertitudes techniques, la construction de compétences durables, l’apport de l’expertise aux décisions et la valeur attendue pour les entreprises, les institutions publiques et les territoires.</w:t>
      </w:r>
    </w:p>
    <w:p w14:paraId="7889B0E9" w14:textId="77777777" w:rsidR="005E1B13" w:rsidRDefault="005E1B13" w:rsidP="005E1B13">
      <w:r>
        <w:t>La contribution à la décarbonation industrielle et à la performance énergétique doit être plus explicite pour les acteurs économiques. L’articulation entre les avancées internationales et les conditions marocaines et régionales doit également mieux apparaître. Enfin, le récit doit montrer comment les résultats peuvent être utilisés et comment leurs enseignements enrichissent les travaux suivants.</w:t>
      </w:r>
    </w:p>
    <w:p w14:paraId="2D257B9C" w14:textId="5554DD3E" w:rsidR="00A62010" w:rsidRDefault="005E1B13" w:rsidP="005E1B13">
      <w:r>
        <w:t>Certaines formulations, comme « acteur majeur » ou « bras armé efficace », affirment une importance sans expliquer précisément notre intervention. Elles gagneront à être remplacées par une description du besoin traité, du rôle d’IRESEN et des résultats qui permettent de l’attester.</w:t>
      </w:r>
    </w:p>
    <w:tbl>
      <w:tblPr>
        <w:tblStyle w:val="TableGrid"/>
        <w:tblW w:w="5641" w:type="pct"/>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CellMar>
          <w:top w:w="142" w:type="dxa"/>
          <w:left w:w="142" w:type="dxa"/>
          <w:bottom w:w="142" w:type="dxa"/>
          <w:right w:w="142" w:type="dxa"/>
        </w:tblCellMar>
        <w:tblLook w:val="04A0" w:firstRow="1" w:lastRow="0" w:firstColumn="1" w:lastColumn="0" w:noHBand="0" w:noVBand="1"/>
      </w:tblPr>
      <w:tblGrid>
        <w:gridCol w:w="11341"/>
      </w:tblGrid>
      <w:tr w:rsidR="001D3569" w:rsidRPr="00A0695A" w14:paraId="720D05E8" w14:textId="77777777" w:rsidTr="001F3831">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C6D9F1" w:themeFill="text2" w:themeFillTint="33"/>
          </w:tcPr>
          <w:p w14:paraId="512E234C" w14:textId="47FD70B0" w:rsidR="001D3569" w:rsidRPr="00A0695A" w:rsidRDefault="001D3569" w:rsidP="001F3831">
            <w:pPr>
              <w:ind w:left="995" w:right="285"/>
              <w:rPr>
                <w:color w:val="1D4F91"/>
              </w:rPr>
            </w:pPr>
            <w:r w:rsidRPr="001D3569">
              <w:rPr>
                <w:b w:val="0"/>
                <w:bCs/>
                <w:color w:val="1D4F91"/>
              </w:rPr>
              <w:t xml:space="preserve">Notre point de départ : </w:t>
            </w:r>
            <w:r w:rsidR="005E1B13" w:rsidRPr="005E1B13">
              <w:rPr>
                <w:color w:val="1D4F91"/>
              </w:rPr>
              <w:t>Les deux instruments historiques restent essentiels. Ils prennent place dans un modèle commun qui explique ce qu’ils permettent de développer, d’éprouver et de valoriser.</w:t>
            </w:r>
          </w:p>
        </w:tc>
      </w:tr>
    </w:tbl>
    <w:p w14:paraId="3605B192" w14:textId="335680D8" w:rsidR="003E3485" w:rsidRDefault="007A5269">
      <w:pPr>
        <w:pStyle w:val="Heading1"/>
        <w:pageBreakBefore/>
      </w:pPr>
      <w:r w:rsidRPr="007A5269">
        <w:lastRenderedPageBreak/>
        <w:t>Sur quoi repose la nouvelle lecture proposée</w:t>
      </w:r>
    </w:p>
    <w:p w14:paraId="03C213D0" w14:textId="5D61945C" w:rsidR="003E3485" w:rsidRDefault="005E1B13">
      <w:r w:rsidRPr="005E1B13">
        <w:t>Le narratif rapproche quatre apports. Les réalisations donnent les preuves ; les orientations stratégiques indiquent ce que nous voulons renforcer ; le projet de convention inscrit cette trajectoire dans l’horizon 2035 ; l’analyse de nos supports révèle ce qui doit être mieux expliqué.</w:t>
      </w:r>
    </w:p>
    <w:tbl>
      <w:tblPr>
        <w:tblStyle w:val="MyStyle"/>
        <w:tblW w:w="0" w:type="auto"/>
        <w:tblInd w:w="142" w:type="dxa"/>
        <w:tblLayout w:type="fixed"/>
        <w:tblLook w:val="04A0" w:firstRow="1" w:lastRow="0" w:firstColumn="1" w:lastColumn="0" w:noHBand="0" w:noVBand="1"/>
      </w:tblPr>
      <w:tblGrid>
        <w:gridCol w:w="2954"/>
        <w:gridCol w:w="6827"/>
      </w:tblGrid>
      <w:tr w:rsidR="007A5269" w14:paraId="70A7D885" w14:textId="77777777" w:rsidTr="00ED4C43">
        <w:trPr>
          <w:cnfStyle w:val="100000000000" w:firstRow="1" w:lastRow="0" w:firstColumn="0" w:lastColumn="0" w:oddVBand="0" w:evenVBand="0" w:oddHBand="0" w:evenHBand="0" w:firstRowFirstColumn="0" w:firstRowLastColumn="0" w:lastRowFirstColumn="0" w:lastRowLastColumn="0"/>
        </w:trPr>
        <w:tc>
          <w:tcPr>
            <w:tcW w:w="2954" w:type="dxa"/>
          </w:tcPr>
          <w:p w14:paraId="115B9484" w14:textId="77777777" w:rsidR="007A5269" w:rsidRDefault="007A5269" w:rsidP="007A5269">
            <w:pPr>
              <w:spacing w:before="0" w:after="0" w:line="250" w:lineRule="auto"/>
            </w:pPr>
            <w:r>
              <w:rPr>
                <w:color w:val="FFFFFF"/>
                <w:sz w:val="21"/>
              </w:rPr>
              <w:t>Apport</w:t>
            </w:r>
          </w:p>
        </w:tc>
        <w:tc>
          <w:tcPr>
            <w:tcW w:w="6827" w:type="dxa"/>
          </w:tcPr>
          <w:p w14:paraId="015D3ADD" w14:textId="77777777" w:rsidR="007A5269" w:rsidRDefault="007A5269" w:rsidP="007A5269">
            <w:pPr>
              <w:spacing w:before="0" w:after="0" w:line="250" w:lineRule="auto"/>
            </w:pPr>
            <w:r>
              <w:rPr>
                <w:color w:val="FFFFFF"/>
                <w:sz w:val="21"/>
              </w:rPr>
              <w:t>Ce que nous en retenons</w:t>
            </w:r>
          </w:p>
        </w:tc>
      </w:tr>
      <w:tr w:rsidR="007A5269" w14:paraId="2421B428" w14:textId="77777777" w:rsidTr="00ED4C43">
        <w:tc>
          <w:tcPr>
            <w:tcW w:w="2954" w:type="dxa"/>
          </w:tcPr>
          <w:p w14:paraId="722A54E9" w14:textId="77777777" w:rsidR="007A5269" w:rsidRDefault="007A5269" w:rsidP="007A5269">
            <w:pPr>
              <w:spacing w:before="0" w:after="0" w:line="250" w:lineRule="auto"/>
              <w:jc w:val="left"/>
            </w:pPr>
            <w:r>
              <w:rPr>
                <w:color w:val="000000"/>
                <w:sz w:val="21"/>
              </w:rPr>
              <w:t>Les acquis depuis 2011</w:t>
            </w:r>
          </w:p>
        </w:tc>
        <w:tc>
          <w:tcPr>
            <w:tcW w:w="6827" w:type="dxa"/>
          </w:tcPr>
          <w:p w14:paraId="5D0857EB" w14:textId="10C7B209" w:rsidR="007A5269" w:rsidRDefault="005E1B13" w:rsidP="007A5269">
            <w:pPr>
              <w:spacing w:before="0" w:after="0" w:line="250" w:lineRule="auto"/>
              <w:jc w:val="left"/>
            </w:pPr>
            <w:r w:rsidRPr="005E1B13">
              <w:rPr>
                <w:color w:val="000000"/>
                <w:sz w:val="21"/>
              </w:rPr>
              <w:t>Recherche collaborative, programmes, plateformes, expertise, formation et partenariats construits dans la durée.</w:t>
            </w:r>
          </w:p>
        </w:tc>
      </w:tr>
      <w:tr w:rsidR="007A5269" w14:paraId="2F7AFE26" w14:textId="77777777" w:rsidTr="00ED4C43">
        <w:trPr>
          <w:cnfStyle w:val="000000010000" w:firstRow="0" w:lastRow="0" w:firstColumn="0" w:lastColumn="0" w:oddVBand="0" w:evenVBand="0" w:oddHBand="0" w:evenHBand="1" w:firstRowFirstColumn="0" w:firstRowLastColumn="0" w:lastRowFirstColumn="0" w:lastRowLastColumn="0"/>
        </w:trPr>
        <w:tc>
          <w:tcPr>
            <w:tcW w:w="2954" w:type="dxa"/>
          </w:tcPr>
          <w:p w14:paraId="3C091795" w14:textId="77777777" w:rsidR="007A5269" w:rsidRDefault="007A5269" w:rsidP="007A5269">
            <w:pPr>
              <w:spacing w:before="0" w:after="0" w:line="250" w:lineRule="auto"/>
              <w:jc w:val="left"/>
            </w:pPr>
            <w:r>
              <w:rPr>
                <w:color w:val="000000"/>
                <w:sz w:val="21"/>
              </w:rPr>
              <w:t>Les orientations stratégiques</w:t>
            </w:r>
          </w:p>
        </w:tc>
        <w:tc>
          <w:tcPr>
            <w:tcW w:w="6827" w:type="dxa"/>
          </w:tcPr>
          <w:p w14:paraId="43DA79AF" w14:textId="57153FFC" w:rsidR="007A5269" w:rsidRDefault="005E1B13" w:rsidP="007A5269">
            <w:pPr>
              <w:spacing w:before="0" w:after="0" w:line="250" w:lineRule="auto"/>
              <w:jc w:val="left"/>
            </w:pPr>
            <w:r w:rsidRPr="005E1B13">
              <w:rPr>
                <w:color w:val="000000"/>
                <w:sz w:val="21"/>
              </w:rPr>
              <w:t>Une programmation reliée aux besoins scientifiques et socioéconomiques, des résultats utilisables et des liens renforcés avec l’industrie.</w:t>
            </w:r>
          </w:p>
        </w:tc>
      </w:tr>
      <w:tr w:rsidR="007A5269" w14:paraId="05AE49E5" w14:textId="77777777" w:rsidTr="00ED4C43">
        <w:tc>
          <w:tcPr>
            <w:tcW w:w="2954" w:type="dxa"/>
          </w:tcPr>
          <w:p w14:paraId="1C74CDE6" w14:textId="77777777" w:rsidR="007A5269" w:rsidRDefault="007A5269" w:rsidP="007A5269">
            <w:pPr>
              <w:spacing w:before="0" w:after="0" w:line="250" w:lineRule="auto"/>
              <w:jc w:val="left"/>
            </w:pPr>
            <w:r>
              <w:rPr>
                <w:color w:val="000000"/>
                <w:sz w:val="21"/>
              </w:rPr>
              <w:t>Le projet de convention 2026–2035</w:t>
            </w:r>
          </w:p>
        </w:tc>
        <w:tc>
          <w:tcPr>
            <w:tcW w:w="6827" w:type="dxa"/>
          </w:tcPr>
          <w:p w14:paraId="480BBF14" w14:textId="21529A4B" w:rsidR="007A5269" w:rsidRDefault="005E1B13" w:rsidP="007A5269">
            <w:pPr>
              <w:spacing w:before="0" w:after="0" w:line="250" w:lineRule="auto"/>
              <w:jc w:val="left"/>
            </w:pPr>
            <w:r w:rsidRPr="005E1B13">
              <w:rPr>
                <w:color w:val="000000"/>
                <w:sz w:val="21"/>
              </w:rPr>
              <w:t>Une ambition plus explicite de démonstration, de valorisation, de développement des compétences et d’appui à la décision.</w:t>
            </w:r>
          </w:p>
        </w:tc>
      </w:tr>
      <w:tr w:rsidR="007A5269" w14:paraId="3EA42570" w14:textId="77777777" w:rsidTr="00ED4C43">
        <w:trPr>
          <w:cnfStyle w:val="000000010000" w:firstRow="0" w:lastRow="0" w:firstColumn="0" w:lastColumn="0" w:oddVBand="0" w:evenVBand="0" w:oddHBand="0" w:evenHBand="1" w:firstRowFirstColumn="0" w:firstRowLastColumn="0" w:lastRowFirstColumn="0" w:lastRowLastColumn="0"/>
        </w:trPr>
        <w:tc>
          <w:tcPr>
            <w:tcW w:w="2954" w:type="dxa"/>
          </w:tcPr>
          <w:p w14:paraId="0A5591B0" w14:textId="77777777" w:rsidR="007A5269" w:rsidRDefault="007A5269" w:rsidP="007A5269">
            <w:pPr>
              <w:spacing w:before="0" w:after="0" w:line="250" w:lineRule="auto"/>
              <w:jc w:val="left"/>
            </w:pPr>
            <w:r>
              <w:rPr>
                <w:color w:val="000000"/>
                <w:sz w:val="21"/>
              </w:rPr>
              <w:t>Les dimensions peu visibles</w:t>
            </w:r>
          </w:p>
        </w:tc>
        <w:tc>
          <w:tcPr>
            <w:tcW w:w="6827" w:type="dxa"/>
          </w:tcPr>
          <w:p w14:paraId="0FC2C8F5" w14:textId="432EBCBC" w:rsidR="007A5269" w:rsidRDefault="005E1B13" w:rsidP="007A5269">
            <w:pPr>
              <w:spacing w:before="0" w:after="0" w:line="250" w:lineRule="auto"/>
              <w:jc w:val="left"/>
            </w:pPr>
            <w:r>
              <w:rPr>
                <w:color w:val="000000"/>
                <w:sz w:val="21"/>
              </w:rPr>
              <w:t>L</w:t>
            </w:r>
            <w:r w:rsidRPr="005E1B13">
              <w:rPr>
                <w:color w:val="000000"/>
                <w:sz w:val="21"/>
              </w:rPr>
              <w:t>a maturation, la propriété intellectuelle, les services scientifiques et techniques</w:t>
            </w:r>
            <w:r>
              <w:rPr>
                <w:color w:val="000000"/>
                <w:sz w:val="21"/>
              </w:rPr>
              <w:t xml:space="preserve">, </w:t>
            </w:r>
            <w:r w:rsidRPr="005E1B13">
              <w:rPr>
                <w:color w:val="000000"/>
                <w:sz w:val="21"/>
              </w:rPr>
              <w:t>la mobilisation de ressources</w:t>
            </w:r>
            <w:r>
              <w:rPr>
                <w:color w:val="000000"/>
                <w:sz w:val="21"/>
              </w:rPr>
              <w:t>, l</w:t>
            </w:r>
            <w:r w:rsidRPr="005E1B13">
              <w:rPr>
                <w:color w:val="000000"/>
                <w:sz w:val="21"/>
              </w:rPr>
              <w:t>a veille</w:t>
            </w:r>
            <w:r>
              <w:rPr>
                <w:color w:val="000000"/>
                <w:sz w:val="21"/>
              </w:rPr>
              <w:t>…</w:t>
            </w:r>
          </w:p>
        </w:tc>
      </w:tr>
    </w:tbl>
    <w:p w14:paraId="3BE9CA83" w14:textId="77777777" w:rsidR="007A5269" w:rsidRDefault="007A5269" w:rsidP="007A5269">
      <w:pPr>
        <w:pStyle w:val="Heading2"/>
      </w:pPr>
      <w:r>
        <w:t>Le principe qui relie ces apports</w:t>
      </w:r>
    </w:p>
    <w:p w14:paraId="2127AE3C" w14:textId="77777777" w:rsidR="005E1B13" w:rsidRDefault="005E1B13" w:rsidP="005E1B13">
      <w:r>
        <w:t>Nous organisons le discours autour du chemin parcouru par un besoin : construire une réponse par la recherche, confronter les résultats à l’expérimentation, puis préparer leur utilisation. L’anticipation et l’expertise éclairent les priorités de R&amp;D&amp;I. Les plateformes, les financements et les partenariats apportent les capacités nécessaires aux différentes étapes.</w:t>
      </w:r>
    </w:p>
    <w:p w14:paraId="0A53F836" w14:textId="77777777" w:rsidR="005E1B13" w:rsidRDefault="005E1B13" w:rsidP="005E1B13">
      <w:r>
        <w:t>Ce parcours peut conduire à une solution transférable, mais aussi à une connaissance, une méthode de mesure, une compétence ou une décision mieux informée. Il comporte des retours entre recherche et expérimentation. Tous les projets n’aboutissent pas à un produit commercialisé.</w:t>
      </w:r>
    </w:p>
    <w:p w14:paraId="2489E35D" w14:textId="5265DCE0" w:rsidR="007A5269" w:rsidRDefault="005E1B13" w:rsidP="005E1B13">
      <w:r>
        <w:t>Les résultats des projets, des expérimentations et des transferts enrichissent les connaissances disponibles et orientent les programmes suivants. Leur utilisation et leurs effets sont suivis lorsqu’ils peuvent être documentés. Cette capitalisation traverse les six piliers et relie les travaux à leur contribution durable.</w:t>
      </w:r>
    </w:p>
    <w:p w14:paraId="58E43FF3" w14:textId="77777777" w:rsidR="007A5269" w:rsidRDefault="007A5269" w:rsidP="007A5269">
      <w:pPr>
        <w:pStyle w:val="Heading2"/>
      </w:pPr>
      <w:r>
        <w:t>Comment lire les affirmations du nouveau narratif</w:t>
      </w:r>
    </w:p>
    <w:p w14:paraId="5211BA6F" w14:textId="77777777" w:rsidR="005E1B13" w:rsidRDefault="005E1B13" w:rsidP="005E1B13">
      <w:r>
        <w:t>Les réalisations établies décrivent ce qui a été effectivement obtenu. Les orientations présentent ce que l’Institut entend renforcer. La lecture « développer, éprouver, valoriser » relie ces éléments ; elle constitue une architecture de communication, distincte de l’organigramme et du détail des missions de la convention.</w:t>
      </w:r>
    </w:p>
    <w:p w14:paraId="45E597B2" w14:textId="22FDC0F5" w:rsidR="001D3569" w:rsidRDefault="005E1B13" w:rsidP="007A5269">
      <w:r>
        <w:t>Nous réservons les résultats économiques ou environnementaux aux situations où ils sont mesurés. Une plateforme en développement, un prototype et une solution exploitée doivent être présentés à leur stade réel. Un partenariat signé n’atteste pas à lui seul d’un transfert ou d’un financement mobilisé. L’ambition d’excellence africaine exprime une trajectoire à construire.</w:t>
      </w:r>
    </w:p>
    <w:tbl>
      <w:tblPr>
        <w:tblStyle w:val="TableGrid"/>
        <w:tblW w:w="5641" w:type="pct"/>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CellMar>
          <w:top w:w="142" w:type="dxa"/>
          <w:left w:w="142" w:type="dxa"/>
          <w:bottom w:w="142" w:type="dxa"/>
          <w:right w:w="142" w:type="dxa"/>
        </w:tblCellMar>
        <w:tblLook w:val="04A0" w:firstRow="1" w:lastRow="0" w:firstColumn="1" w:lastColumn="0" w:noHBand="0" w:noVBand="1"/>
      </w:tblPr>
      <w:tblGrid>
        <w:gridCol w:w="11341"/>
      </w:tblGrid>
      <w:tr w:rsidR="001D3569" w:rsidRPr="00A0695A" w14:paraId="73833BA7" w14:textId="77777777" w:rsidTr="001F3831">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C6D9F1" w:themeFill="text2" w:themeFillTint="33"/>
          </w:tcPr>
          <w:p w14:paraId="54163885" w14:textId="4F629258" w:rsidR="001D3569" w:rsidRPr="00A0695A" w:rsidRDefault="001D3569" w:rsidP="001F3831">
            <w:pPr>
              <w:ind w:left="995" w:right="285"/>
              <w:rPr>
                <w:color w:val="1D4F91"/>
              </w:rPr>
            </w:pPr>
            <w:r w:rsidRPr="001D3569">
              <w:rPr>
                <w:b w:val="0"/>
                <w:bCs/>
                <w:color w:val="1D4F91"/>
              </w:rPr>
              <w:t xml:space="preserve">Le résultat recherché : </w:t>
            </w:r>
            <w:r w:rsidR="005E1B13" w:rsidRPr="005E1B13">
              <w:rPr>
                <w:color w:val="1D4F91"/>
              </w:rPr>
              <w:t>Un rôle compréhensible, un parcours mémorisable et des capacités appuyées par des preuves adaptées à leur maturité réelle.</w:t>
            </w:r>
          </w:p>
        </w:tc>
      </w:tr>
    </w:tbl>
    <w:p w14:paraId="18884042" w14:textId="02597983" w:rsidR="003E3485" w:rsidRDefault="00D331B3">
      <w:pPr>
        <w:pStyle w:val="Heading1"/>
        <w:pageBreakBefore/>
      </w:pPr>
      <w:r w:rsidRPr="00D331B3">
        <w:lastRenderedPageBreak/>
        <w:t>Ce que nous voulons faire comprendre sur IRESEN</w:t>
      </w:r>
    </w:p>
    <w:p w14:paraId="28681E31" w14:textId="77777777" w:rsidR="00D331B3" w:rsidRDefault="00D331B3" w:rsidP="00D331B3">
      <w:pPr>
        <w:pStyle w:val="Heading2"/>
      </w:pPr>
      <w:r>
        <w:t>Notre rôle</w:t>
      </w:r>
    </w:p>
    <w:p w14:paraId="016D9E29" w14:textId="77777777" w:rsidR="005E1B13" w:rsidRDefault="005E1B13" w:rsidP="005E1B13">
      <w:r>
        <w:t>IRESEN relie la recherche aux besoins du Maroc en matière de transition énergétique et de développement durable. Il fédère des équipes scientifiques, des acteurs publics et des partenaires industriels pour développer des connaissances et des solutions, les confronter à l’expérimentation et préparer leur utilisation. Son intervention repose sur la R&amp;D et l’innovation dans ses domaines scientifiques et technologiques.</w:t>
      </w:r>
    </w:p>
    <w:p w14:paraId="65C45881" w14:textId="65593DD8" w:rsidR="00D331B3" w:rsidRDefault="005E1B13" w:rsidP="005E1B13">
      <w:r>
        <w:t>IRESEN articule les avancées et les feuilles de route technologiques internationales avec les priorités du Maroc et les besoins de la région, pour orienter la recherche et éprouver les solutions dans leurs conditions réelles d’application.</w:t>
      </w:r>
    </w:p>
    <w:p w14:paraId="189A3957" w14:textId="38844234" w:rsidR="003E3485" w:rsidRDefault="00D331B3" w:rsidP="00D331B3">
      <w:pPr>
        <w:pStyle w:val="Heading2"/>
      </w:pPr>
      <w:r>
        <w:t>Trois fonctions pour comprendre le parcours des solutions</w:t>
      </w:r>
    </w:p>
    <w:tbl>
      <w:tblPr>
        <w:tblStyle w:val="MyStyle"/>
        <w:tblW w:w="0" w:type="auto"/>
        <w:tblInd w:w="142" w:type="dxa"/>
        <w:tblLayout w:type="fixed"/>
        <w:tblLook w:val="04A0" w:firstRow="1" w:lastRow="0" w:firstColumn="1" w:lastColumn="0" w:noHBand="0" w:noVBand="1"/>
      </w:tblPr>
      <w:tblGrid>
        <w:gridCol w:w="1845"/>
        <w:gridCol w:w="7936"/>
      </w:tblGrid>
      <w:tr w:rsidR="00D331B3" w14:paraId="5C3294BD" w14:textId="77777777" w:rsidTr="00D331B3">
        <w:trPr>
          <w:cnfStyle w:val="100000000000" w:firstRow="1" w:lastRow="0" w:firstColumn="0" w:lastColumn="0" w:oddVBand="0" w:evenVBand="0" w:oddHBand="0" w:evenHBand="0" w:firstRowFirstColumn="0" w:firstRowLastColumn="0" w:lastRowFirstColumn="0" w:lastRowLastColumn="0"/>
        </w:trPr>
        <w:tc>
          <w:tcPr>
            <w:tcW w:w="1845" w:type="dxa"/>
          </w:tcPr>
          <w:p w14:paraId="69E9B365" w14:textId="77777777" w:rsidR="00D331B3" w:rsidRDefault="00D331B3" w:rsidP="00D331B3">
            <w:pPr>
              <w:spacing w:before="0" w:after="0" w:line="250" w:lineRule="auto"/>
            </w:pPr>
            <w:r>
              <w:rPr>
                <w:color w:val="FFFFFF"/>
                <w:sz w:val="21"/>
              </w:rPr>
              <w:t>Fonction</w:t>
            </w:r>
          </w:p>
        </w:tc>
        <w:tc>
          <w:tcPr>
            <w:tcW w:w="7936" w:type="dxa"/>
          </w:tcPr>
          <w:p w14:paraId="45940FE5" w14:textId="77777777" w:rsidR="00D331B3" w:rsidRDefault="00D331B3" w:rsidP="00D331B3">
            <w:pPr>
              <w:spacing w:before="0" w:after="0" w:line="250" w:lineRule="auto"/>
            </w:pPr>
            <w:r>
              <w:rPr>
                <w:color w:val="FFFFFF"/>
                <w:sz w:val="21"/>
              </w:rPr>
              <w:t>Ce que nous voulons faire comprendre</w:t>
            </w:r>
          </w:p>
        </w:tc>
      </w:tr>
      <w:tr w:rsidR="00D331B3" w14:paraId="3641B89D" w14:textId="77777777" w:rsidTr="00D331B3">
        <w:tc>
          <w:tcPr>
            <w:tcW w:w="1845" w:type="dxa"/>
          </w:tcPr>
          <w:p w14:paraId="1B80FA9E" w14:textId="77777777" w:rsidR="00D331B3" w:rsidRDefault="00D331B3" w:rsidP="00D331B3">
            <w:pPr>
              <w:spacing w:before="0" w:after="0" w:line="250" w:lineRule="auto"/>
            </w:pPr>
            <w:r>
              <w:rPr>
                <w:color w:val="000000"/>
                <w:sz w:val="21"/>
              </w:rPr>
              <w:t>Développer</w:t>
            </w:r>
          </w:p>
        </w:tc>
        <w:tc>
          <w:tcPr>
            <w:tcW w:w="7936" w:type="dxa"/>
          </w:tcPr>
          <w:p w14:paraId="3E1B3EB7" w14:textId="5E3A1C63" w:rsidR="00D331B3" w:rsidRDefault="005E1B13" w:rsidP="00D331B3">
            <w:pPr>
              <w:spacing w:before="0" w:after="0" w:line="250" w:lineRule="auto"/>
            </w:pPr>
            <w:r w:rsidRPr="005E1B13">
              <w:rPr>
                <w:color w:val="000000"/>
                <w:sz w:val="21"/>
              </w:rPr>
              <w:t>Relier les besoins scientifiques, industriels et territoriaux à des programmes de recherche et faire progresser des connaissances, des méthodes ou des solutions avec les compétences nécessaires.</w:t>
            </w:r>
          </w:p>
        </w:tc>
      </w:tr>
      <w:tr w:rsidR="00D331B3" w14:paraId="2945E3E0" w14:textId="77777777" w:rsidTr="00D331B3">
        <w:trPr>
          <w:cnfStyle w:val="000000010000" w:firstRow="0" w:lastRow="0" w:firstColumn="0" w:lastColumn="0" w:oddVBand="0" w:evenVBand="0" w:oddHBand="0" w:evenHBand="1" w:firstRowFirstColumn="0" w:firstRowLastColumn="0" w:lastRowFirstColumn="0" w:lastRowLastColumn="0"/>
        </w:trPr>
        <w:tc>
          <w:tcPr>
            <w:tcW w:w="1845" w:type="dxa"/>
          </w:tcPr>
          <w:p w14:paraId="1254397A" w14:textId="77777777" w:rsidR="00D331B3" w:rsidRDefault="00D331B3" w:rsidP="00D331B3">
            <w:pPr>
              <w:spacing w:before="0" w:after="0" w:line="250" w:lineRule="auto"/>
            </w:pPr>
            <w:r>
              <w:rPr>
                <w:color w:val="000000"/>
                <w:sz w:val="21"/>
              </w:rPr>
              <w:t>Éprouver</w:t>
            </w:r>
          </w:p>
        </w:tc>
        <w:tc>
          <w:tcPr>
            <w:tcW w:w="7936" w:type="dxa"/>
          </w:tcPr>
          <w:p w14:paraId="442DBA03" w14:textId="02A79D3D" w:rsidR="00D331B3" w:rsidRDefault="005E1B13" w:rsidP="00D331B3">
            <w:pPr>
              <w:spacing w:before="0" w:after="0" w:line="250" w:lineRule="auto"/>
            </w:pPr>
            <w:r w:rsidRPr="005E1B13">
              <w:rPr>
                <w:color w:val="000000"/>
                <w:sz w:val="21"/>
              </w:rPr>
              <w:t>Tester, expérimenter et démontrer pour connaître les performances, les limites et les adaptations nécessaires dans les conditions d’utilisation, notamment marocaines et régionales.</w:t>
            </w:r>
          </w:p>
        </w:tc>
      </w:tr>
      <w:tr w:rsidR="00D331B3" w14:paraId="7A8B33B4" w14:textId="77777777" w:rsidTr="00D331B3">
        <w:tc>
          <w:tcPr>
            <w:tcW w:w="1845" w:type="dxa"/>
          </w:tcPr>
          <w:p w14:paraId="7943D998" w14:textId="77777777" w:rsidR="00D331B3" w:rsidRDefault="00D331B3" w:rsidP="00D331B3">
            <w:pPr>
              <w:spacing w:before="0" w:after="0" w:line="250" w:lineRule="auto"/>
            </w:pPr>
            <w:r>
              <w:rPr>
                <w:color w:val="000000"/>
                <w:sz w:val="21"/>
              </w:rPr>
              <w:t>Valoriser</w:t>
            </w:r>
          </w:p>
        </w:tc>
        <w:tc>
          <w:tcPr>
            <w:tcW w:w="7936" w:type="dxa"/>
          </w:tcPr>
          <w:p w14:paraId="3AFF9887" w14:textId="73CE3D35" w:rsidR="00D331B3" w:rsidRDefault="005E1B13" w:rsidP="00D331B3">
            <w:pPr>
              <w:spacing w:before="0" w:after="0" w:line="250" w:lineRule="auto"/>
            </w:pPr>
            <w:r w:rsidRPr="005E1B13">
              <w:rPr>
                <w:color w:val="000000"/>
                <w:sz w:val="21"/>
              </w:rPr>
              <w:t>Préparer la maturation, le transfert et la reprise des résultats par les acteurs capables de les utiliser, de les produire ou de les déployer, et suivre leur adoption lorsqu’elle peut être documentée.</w:t>
            </w:r>
          </w:p>
        </w:tc>
      </w:tr>
    </w:tbl>
    <w:p w14:paraId="21F2D7A2" w14:textId="4675853B" w:rsidR="00D331B3" w:rsidRDefault="005E1B13" w:rsidP="00D331B3">
      <w:r w:rsidRPr="005E1B13">
        <w:t>Cette lecture situe IRESEN entre les questions de recherche et les conditions d’usage. L’Institut peut intervenir à plusieurs moments du parcours, selon le besoin, la maturité technologique et les partenaires impliqués. La maturation progresse au fil des travaux et des essais. Le passage à l’exploitation ou à l’industrialisation repose sur les acteurs qui le portent.</w:t>
      </w:r>
    </w:p>
    <w:p w14:paraId="7C4724FC" w14:textId="77777777" w:rsidR="00D331B3" w:rsidRDefault="00D331B3" w:rsidP="00D331B3">
      <w:pPr>
        <w:pStyle w:val="Heading2"/>
      </w:pPr>
      <w:r>
        <w:t>Six capacités pour rendre ce parcours possible</w:t>
      </w:r>
    </w:p>
    <w:p w14:paraId="4DB12C6D" w14:textId="77777777" w:rsidR="005E1B13" w:rsidRDefault="005E1B13" w:rsidP="005E1B13">
      <w:r>
        <w:t>Les six piliers donnent sa substance à cette présentation : expertise scientifique et technologique ; programmation et R&amp;DI collaborative ; plateformes et expérimentation ; valorisation et transfert ; capital humain et réseaux d’experts ; partenariats, coopération et ressources.</w:t>
      </w:r>
    </w:p>
    <w:p w14:paraId="21022E5C" w14:textId="77777777" w:rsidR="005E1B13" w:rsidRDefault="005E1B13" w:rsidP="005E1B13">
      <w:r>
        <w:t>Ces capacités se complètent. L’expertise éclaire les choix de R&amp;D&amp;I, interprète un essai ou appuie une décision. La formation construit des compétences au fil des projets. La coopération apporte des savoir-faire et des ressources à plusieurs étapes. La capitalisation permet de réutiliser les connaissances et les méthodes acquises.</w:t>
      </w:r>
    </w:p>
    <w:p w14:paraId="2949A795" w14:textId="6BB95450" w:rsidR="00D331B3" w:rsidRDefault="005E1B13" w:rsidP="005E1B13">
      <w:r>
        <w:t>L’appui à la décision publique s’appuie sur les connaissances, la veille, les données et les résultats expérimentaux. IRESEN apporte des éléments scientifiques et techniques ; l’élaboration et l’arbitrage des politiques publiques relèvent des autorités compétentes.</w:t>
      </w:r>
    </w:p>
    <w:p w14:paraId="0F326542" w14:textId="77777777" w:rsidR="000F2882" w:rsidRDefault="000F2882">
      <w:pPr>
        <w:spacing w:before="0" w:after="200" w:line="276" w:lineRule="auto"/>
        <w:jc w:val="left"/>
        <w:rPr>
          <w:rFonts w:ascii="Plus Jakarta Sans SemiBold" w:eastAsiaTheme="majorEastAsia" w:hAnsi="Plus Jakarta Sans SemiBold" w:cstheme="majorBidi"/>
          <w:b/>
          <w:bCs/>
          <w:color w:val="507F70"/>
          <w:sz w:val="28"/>
          <w:szCs w:val="26"/>
        </w:rPr>
      </w:pPr>
      <w:r>
        <w:br w:type="page"/>
      </w:r>
    </w:p>
    <w:p w14:paraId="4E93E544" w14:textId="4B9ADD8E" w:rsidR="00D331B3" w:rsidRDefault="00D331B3" w:rsidP="00D331B3">
      <w:pPr>
        <w:pStyle w:val="Heading2"/>
      </w:pPr>
      <w:r>
        <w:lastRenderedPageBreak/>
        <w:t>Message central</w:t>
      </w:r>
    </w:p>
    <w:p w14:paraId="1ACF38B3" w14:textId="24E7DEDF" w:rsidR="00D331B3" w:rsidRPr="005E1B13" w:rsidRDefault="00D331B3" w:rsidP="005E1B13">
      <w:pPr>
        <w:pStyle w:val="Quote"/>
      </w:pPr>
      <w:r w:rsidRPr="005E1B13">
        <w:t xml:space="preserve">" </w:t>
      </w:r>
      <w:r w:rsidR="00EB0E1C" w:rsidRPr="00EB0E1C">
        <w:t>IRESEN relie la recherche aux besoins de la transition énergétique et du développement durable et mobilise, avec ses partenaires, les expertises et les capacités nécessaires pour développer, éprouver et valoriser des solutions innovantes pour y répondre.</w:t>
      </w:r>
      <w:r w:rsidRPr="005E1B13">
        <w:t xml:space="preserve"> "</w:t>
      </w:r>
    </w:p>
    <w:p w14:paraId="1ABEDA16" w14:textId="77777777" w:rsidR="00D331B3" w:rsidRPr="00DC0728" w:rsidRDefault="00D331B3" w:rsidP="00D331B3">
      <w:pPr>
        <w:pStyle w:val="Heading2"/>
      </w:pPr>
      <w:r>
        <w:t xml:space="preserve">Mission </w:t>
      </w:r>
      <w:proofErr w:type="spellStart"/>
      <w:r>
        <w:t>statement</w:t>
      </w:r>
      <w:proofErr w:type="spellEnd"/>
      <w:r>
        <w:t xml:space="preserve"> en anglais</w:t>
      </w:r>
    </w:p>
    <w:p w14:paraId="26C1342B" w14:textId="130FAF60" w:rsidR="00D331B3" w:rsidRPr="00C26449" w:rsidRDefault="00D331B3" w:rsidP="00D331B3">
      <w:pPr>
        <w:pStyle w:val="Quote"/>
        <w:rPr>
          <w:lang w:val="en-US"/>
        </w:rPr>
      </w:pPr>
      <w:r w:rsidRPr="00C26449">
        <w:rPr>
          <w:lang w:val="en-US"/>
        </w:rPr>
        <w:t xml:space="preserve">" </w:t>
      </w:r>
      <w:r w:rsidR="00D84E5A" w:rsidRPr="00D84E5A">
        <w:rPr>
          <w:lang w:val="en-US"/>
        </w:rPr>
        <w:t>IRESEN connects research with the needs of the energy transition and sustainable development and, together with its partners, mobilizes the expertise and capabilities needed to develop, test and translate innovative solutions into value to meet those needs</w:t>
      </w:r>
      <w:r w:rsidRPr="00C26449">
        <w:rPr>
          <w:lang w:val="en-US"/>
        </w:rPr>
        <w:t>. "</w:t>
      </w:r>
    </w:p>
    <w:p w14:paraId="5CFB159C" w14:textId="77777777" w:rsidR="00D331B3" w:rsidRPr="00DC0728" w:rsidRDefault="00D331B3" w:rsidP="00D331B3">
      <w:pPr>
        <w:pStyle w:val="Heading2"/>
      </w:pPr>
      <w:r>
        <w:t>Signature commune (slogan)</w:t>
      </w:r>
    </w:p>
    <w:p w14:paraId="5EFB0AAE" w14:textId="2778E029" w:rsidR="003E3485" w:rsidRDefault="00D331B3" w:rsidP="00D331B3">
      <w:pPr>
        <w:rPr>
          <w:lang w:val="en-US"/>
        </w:rPr>
      </w:pPr>
      <w:r w:rsidRPr="00C26449">
        <w:rPr>
          <w:lang w:val="en-US"/>
        </w:rPr>
        <w:t>Research that moves energy forward.</w:t>
      </w:r>
    </w:p>
    <w:p w14:paraId="349F0545" w14:textId="77777777" w:rsidR="005E1B13" w:rsidRDefault="005E1B13" w:rsidP="005E1B13">
      <w:pPr>
        <w:pStyle w:val="Heading2"/>
      </w:pPr>
      <w:r>
        <w:t>Notre ambition à l’horizon 2035</w:t>
      </w:r>
    </w:p>
    <w:p w14:paraId="539A0ABF" w14:textId="77777777" w:rsidR="005E1B13" w:rsidRDefault="005E1B13" w:rsidP="005E1B13">
      <w:r>
        <w:t>Faire d’IRESEN une référence d’excellence en Afrique pour la recherche, l’expérimentation et la valorisation de solutions au service de la transition énergétique et du développement durable.</w:t>
      </w:r>
    </w:p>
    <w:p w14:paraId="38214A3E" w14:textId="579B23B1" w:rsidR="005E1B13" w:rsidRDefault="005E1B13" w:rsidP="005E1B13">
      <w:r>
        <w:t>Cette ambition se construit par la qualité scientifique, les compétences, les capacités expérimentales, les résultats repris par les utilisateurs et les réalisations avec les partenaires. Elle contribue à une transition énergétique sûre, compétitive et durable, adaptée aux besoins du Maroc et de la région.</w:t>
      </w:r>
    </w:p>
    <w:p w14:paraId="342CDB2A" w14:textId="77777777" w:rsidR="005E1B13" w:rsidRDefault="005E1B13" w:rsidP="005E1B13">
      <w:pPr>
        <w:pStyle w:val="Heading2"/>
      </w:pPr>
      <w:r>
        <w:t>Ce que nos interlocuteurs peuvent attendre d’IRESEN</w:t>
      </w:r>
    </w:p>
    <w:tbl>
      <w:tblPr>
        <w:tblStyle w:val="MyStyle"/>
        <w:tblW w:w="4865" w:type="pct"/>
        <w:tblInd w:w="142" w:type="dxa"/>
        <w:tblLook w:val="04A0" w:firstRow="1" w:lastRow="0" w:firstColumn="1" w:lastColumn="0" w:noHBand="0" w:noVBand="1"/>
      </w:tblPr>
      <w:tblGrid>
        <w:gridCol w:w="2674"/>
        <w:gridCol w:w="7107"/>
      </w:tblGrid>
      <w:tr w:rsidR="005E1B13" w14:paraId="215B2FDC" w14:textId="77777777" w:rsidTr="00EB0E1C">
        <w:trPr>
          <w:cnfStyle w:val="100000000000" w:firstRow="1" w:lastRow="0" w:firstColumn="0" w:lastColumn="0" w:oddVBand="0" w:evenVBand="0" w:oddHBand="0" w:evenHBand="0" w:firstRowFirstColumn="0" w:firstRowLastColumn="0" w:lastRowFirstColumn="0" w:lastRowLastColumn="0"/>
        </w:trPr>
        <w:tc>
          <w:tcPr>
            <w:tcW w:w="1367" w:type="pct"/>
          </w:tcPr>
          <w:p w14:paraId="17181015" w14:textId="77777777" w:rsidR="005E1B13" w:rsidRDefault="005E1B13" w:rsidP="005E1B13">
            <w:pPr>
              <w:spacing w:before="0" w:after="0" w:line="245" w:lineRule="auto"/>
              <w:jc w:val="left"/>
            </w:pPr>
            <w:r>
              <w:rPr>
                <w:color w:val="FFFFFF"/>
                <w:sz w:val="21"/>
              </w:rPr>
              <w:t>Interlocuteurs</w:t>
            </w:r>
          </w:p>
        </w:tc>
        <w:tc>
          <w:tcPr>
            <w:tcW w:w="3633" w:type="pct"/>
          </w:tcPr>
          <w:p w14:paraId="112DB3E6" w14:textId="77777777" w:rsidR="005E1B13" w:rsidRDefault="005E1B13" w:rsidP="005E1B13">
            <w:pPr>
              <w:spacing w:before="0" w:after="0" w:line="245" w:lineRule="auto"/>
              <w:jc w:val="left"/>
            </w:pPr>
            <w:r>
              <w:rPr>
                <w:color w:val="FFFFFF"/>
                <w:sz w:val="21"/>
              </w:rPr>
              <w:t>Valeur à rendre explicite</w:t>
            </w:r>
          </w:p>
        </w:tc>
      </w:tr>
      <w:tr w:rsidR="005E1B13" w14:paraId="78FE5FDF" w14:textId="77777777" w:rsidTr="00EB0E1C">
        <w:tc>
          <w:tcPr>
            <w:tcW w:w="1367" w:type="pct"/>
          </w:tcPr>
          <w:p w14:paraId="4247D254" w14:textId="77777777" w:rsidR="005E1B13" w:rsidRDefault="005E1B13" w:rsidP="005E1B13">
            <w:pPr>
              <w:spacing w:before="0" w:after="0" w:line="245" w:lineRule="auto"/>
              <w:jc w:val="left"/>
            </w:pPr>
            <w:r>
              <w:rPr>
                <w:color w:val="404040"/>
                <w:sz w:val="21"/>
              </w:rPr>
              <w:t>État et institutions publiques</w:t>
            </w:r>
          </w:p>
        </w:tc>
        <w:tc>
          <w:tcPr>
            <w:tcW w:w="3633" w:type="pct"/>
          </w:tcPr>
          <w:p w14:paraId="585CBE53" w14:textId="77777777" w:rsidR="005E1B13" w:rsidRDefault="005E1B13" w:rsidP="005E1B13">
            <w:pPr>
              <w:spacing w:before="0" w:after="0" w:line="245" w:lineRule="auto"/>
              <w:jc w:val="left"/>
            </w:pPr>
            <w:r>
              <w:rPr>
                <w:color w:val="404040"/>
                <w:sz w:val="21"/>
              </w:rPr>
              <w:t>Des connaissances et des données pour éclairer les choix technologiques et les priorités de recherche.</w:t>
            </w:r>
          </w:p>
        </w:tc>
      </w:tr>
      <w:tr w:rsidR="005E1B13" w14:paraId="732FA68B" w14:textId="77777777" w:rsidTr="00EB0E1C">
        <w:trPr>
          <w:cnfStyle w:val="000000010000" w:firstRow="0" w:lastRow="0" w:firstColumn="0" w:lastColumn="0" w:oddVBand="0" w:evenVBand="0" w:oddHBand="0" w:evenHBand="1" w:firstRowFirstColumn="0" w:firstRowLastColumn="0" w:lastRowFirstColumn="0" w:lastRowLastColumn="0"/>
        </w:trPr>
        <w:tc>
          <w:tcPr>
            <w:tcW w:w="1367" w:type="pct"/>
          </w:tcPr>
          <w:p w14:paraId="51B0F987" w14:textId="77777777" w:rsidR="005E1B13" w:rsidRDefault="005E1B13" w:rsidP="005E1B13">
            <w:pPr>
              <w:spacing w:before="0" w:after="0" w:line="245" w:lineRule="auto"/>
              <w:jc w:val="left"/>
            </w:pPr>
            <w:r>
              <w:rPr>
                <w:color w:val="404040"/>
                <w:sz w:val="21"/>
              </w:rPr>
              <w:t>Entreprises et opérateurs</w:t>
            </w:r>
          </w:p>
        </w:tc>
        <w:tc>
          <w:tcPr>
            <w:tcW w:w="3633" w:type="pct"/>
          </w:tcPr>
          <w:p w14:paraId="0D619221" w14:textId="77777777" w:rsidR="005E1B13" w:rsidRDefault="005E1B13" w:rsidP="005E1B13">
            <w:pPr>
              <w:spacing w:before="0" w:after="0" w:line="245" w:lineRule="auto"/>
              <w:jc w:val="left"/>
            </w:pPr>
            <w:r>
              <w:rPr>
                <w:color w:val="404040"/>
                <w:sz w:val="21"/>
              </w:rPr>
              <w:t>Des solutions, des essais et une expertise pour la décarbonation industrielle, la performance énergétique et la réduction des incertitudes avant l’adoption.</w:t>
            </w:r>
          </w:p>
        </w:tc>
      </w:tr>
      <w:tr w:rsidR="005E1B13" w14:paraId="01CF38AC" w14:textId="77777777" w:rsidTr="00EB0E1C">
        <w:tc>
          <w:tcPr>
            <w:tcW w:w="1367" w:type="pct"/>
          </w:tcPr>
          <w:p w14:paraId="0615294C" w14:textId="77777777" w:rsidR="005E1B13" w:rsidRDefault="005E1B13" w:rsidP="005E1B13">
            <w:pPr>
              <w:spacing w:before="0" w:after="0" w:line="245" w:lineRule="auto"/>
              <w:jc w:val="left"/>
            </w:pPr>
            <w:r>
              <w:rPr>
                <w:color w:val="404040"/>
                <w:sz w:val="21"/>
              </w:rPr>
              <w:t>Universités et équipes de recherche</w:t>
            </w:r>
          </w:p>
        </w:tc>
        <w:tc>
          <w:tcPr>
            <w:tcW w:w="3633" w:type="pct"/>
          </w:tcPr>
          <w:p w14:paraId="74DDF364" w14:textId="77777777" w:rsidR="005E1B13" w:rsidRDefault="005E1B13" w:rsidP="005E1B13">
            <w:pPr>
              <w:spacing w:before="0" w:after="0" w:line="245" w:lineRule="auto"/>
              <w:jc w:val="left"/>
            </w:pPr>
            <w:r>
              <w:rPr>
                <w:color w:val="404040"/>
                <w:sz w:val="21"/>
              </w:rPr>
              <w:t>Des programmes, des moyens expérimentaux et des collaborations pour faire progresser les connaissances et les compétences.</w:t>
            </w:r>
          </w:p>
        </w:tc>
      </w:tr>
      <w:tr w:rsidR="005E1B13" w14:paraId="76DA76DA" w14:textId="77777777" w:rsidTr="00EB0E1C">
        <w:trPr>
          <w:cnfStyle w:val="000000010000" w:firstRow="0" w:lastRow="0" w:firstColumn="0" w:lastColumn="0" w:oddVBand="0" w:evenVBand="0" w:oddHBand="0" w:evenHBand="1" w:firstRowFirstColumn="0" w:firstRowLastColumn="0" w:lastRowFirstColumn="0" w:lastRowLastColumn="0"/>
        </w:trPr>
        <w:tc>
          <w:tcPr>
            <w:tcW w:w="1367" w:type="pct"/>
          </w:tcPr>
          <w:p w14:paraId="05BDBCD6" w14:textId="77777777" w:rsidR="005E1B13" w:rsidRDefault="005E1B13" w:rsidP="005E1B13">
            <w:pPr>
              <w:spacing w:before="0" w:after="0" w:line="245" w:lineRule="auto"/>
              <w:jc w:val="left"/>
            </w:pPr>
            <w:r>
              <w:rPr>
                <w:color w:val="404040"/>
                <w:sz w:val="21"/>
              </w:rPr>
              <w:t>Territoires</w:t>
            </w:r>
          </w:p>
        </w:tc>
        <w:tc>
          <w:tcPr>
            <w:tcW w:w="3633" w:type="pct"/>
          </w:tcPr>
          <w:p w14:paraId="5B020083" w14:textId="77777777" w:rsidR="005E1B13" w:rsidRDefault="005E1B13" w:rsidP="005E1B13">
            <w:pPr>
              <w:spacing w:before="0" w:after="0" w:line="245" w:lineRule="auto"/>
              <w:jc w:val="left"/>
            </w:pPr>
            <w:r>
              <w:rPr>
                <w:color w:val="404040"/>
                <w:sz w:val="21"/>
              </w:rPr>
              <w:t>Des réponses technologiques adaptées aux ressources, aux usages et aux conditions locales.</w:t>
            </w:r>
          </w:p>
        </w:tc>
      </w:tr>
      <w:tr w:rsidR="005E1B13" w14:paraId="767B5F61" w14:textId="77777777" w:rsidTr="00EB0E1C">
        <w:tc>
          <w:tcPr>
            <w:tcW w:w="1367" w:type="pct"/>
          </w:tcPr>
          <w:p w14:paraId="360E7684" w14:textId="77777777" w:rsidR="005E1B13" w:rsidRDefault="005E1B13" w:rsidP="005E1B13">
            <w:pPr>
              <w:spacing w:before="0" w:after="0" w:line="245" w:lineRule="auto"/>
              <w:jc w:val="left"/>
            </w:pPr>
            <w:r>
              <w:rPr>
                <w:color w:val="404040"/>
                <w:sz w:val="21"/>
              </w:rPr>
              <w:t>Partenaires internationaux et bailleurs</w:t>
            </w:r>
          </w:p>
        </w:tc>
        <w:tc>
          <w:tcPr>
            <w:tcW w:w="3633" w:type="pct"/>
          </w:tcPr>
          <w:p w14:paraId="63E58064" w14:textId="77777777" w:rsidR="005E1B13" w:rsidRDefault="005E1B13" w:rsidP="005E1B13">
            <w:pPr>
              <w:spacing w:before="0" w:after="0" w:line="245" w:lineRule="auto"/>
              <w:jc w:val="left"/>
            </w:pPr>
            <w:r>
              <w:rPr>
                <w:color w:val="404040"/>
                <w:sz w:val="21"/>
              </w:rPr>
              <w:t>Des capacités de recherche et de démonstration pour conduire des projets communs répondant à des besoins concrets.</w:t>
            </w:r>
          </w:p>
        </w:tc>
      </w:tr>
    </w:tbl>
    <w:p w14:paraId="4F45647C" w14:textId="77777777" w:rsidR="005E1B13" w:rsidRDefault="005E1B13" w:rsidP="005E1B13"/>
    <w:p w14:paraId="68225229" w14:textId="42EF7A86" w:rsidR="003E3485" w:rsidRDefault="00000000">
      <w:pPr>
        <w:pStyle w:val="Heading1"/>
        <w:pageBreakBefore/>
      </w:pPr>
      <w:r>
        <w:lastRenderedPageBreak/>
        <w:t>Fiches des piliers</w:t>
      </w:r>
    </w:p>
    <w:tbl>
      <w:tblPr>
        <w:tblStyle w:val="TableGrid"/>
        <w:tblW w:w="9666" w:type="dxa"/>
        <w:tblInd w:w="108" w:type="dxa"/>
        <w:tblLook w:val="04A0" w:firstRow="1" w:lastRow="0" w:firstColumn="1" w:lastColumn="0" w:noHBand="0" w:noVBand="1"/>
      </w:tblPr>
      <w:tblGrid>
        <w:gridCol w:w="1809"/>
        <w:gridCol w:w="7857"/>
      </w:tblGrid>
      <w:tr w:rsidR="00C764B7" w:rsidRPr="00C764B7" w14:paraId="676E81E1" w14:textId="77777777" w:rsidTr="00C764B7">
        <w:trPr>
          <w:cnfStyle w:val="100000000000" w:firstRow="1" w:lastRow="0" w:firstColumn="0" w:lastColumn="0" w:oddVBand="0" w:evenVBand="0" w:oddHBand="0" w:evenHBand="0" w:firstRowFirstColumn="0" w:firstRowLastColumn="0" w:lastRowFirstColumn="0" w:lastRowLastColumn="0"/>
        </w:trPr>
        <w:tc>
          <w:tcPr>
            <w:tcW w:w="9666" w:type="dxa"/>
            <w:gridSpan w:val="2"/>
            <w:shd w:val="clear" w:color="auto" w:fill="507F70"/>
          </w:tcPr>
          <w:p w14:paraId="1DD09EF3" w14:textId="2F10D6E9" w:rsidR="00C764B7" w:rsidRPr="00C764B7" w:rsidRDefault="00C764B7" w:rsidP="00C764B7">
            <w:pPr>
              <w:pStyle w:val="Heading2"/>
              <w:rPr>
                <w:color w:val="FFFFFF" w:themeColor="background1"/>
              </w:rPr>
            </w:pPr>
            <w:r w:rsidRPr="00C764B7">
              <w:rPr>
                <w:color w:val="FFFFFF" w:themeColor="background1"/>
              </w:rPr>
              <w:t>1 - Éclairer les choix technologiques</w:t>
            </w:r>
          </w:p>
        </w:tc>
      </w:tr>
      <w:tr w:rsidR="00C764B7" w14:paraId="03E3C14E" w14:textId="77777777" w:rsidTr="00C764B7">
        <w:tc>
          <w:tcPr>
            <w:tcW w:w="9666" w:type="dxa"/>
            <w:gridSpan w:val="2"/>
            <w:shd w:val="clear" w:color="auto" w:fill="EAF1DD" w:themeFill="accent3" w:themeFillTint="33"/>
          </w:tcPr>
          <w:p w14:paraId="6FFE2524" w14:textId="096F0B56" w:rsidR="00C764B7" w:rsidRDefault="00B02514" w:rsidP="00FD4869">
            <w:r w:rsidRPr="00B02514">
              <w:t>Apporter les connaissances et les données nécessaires pour anticiper les besoins, apprécier les options technologiques et orienter les efforts de R&amp;D&amp;I selon leurs conditions d’application.</w:t>
            </w:r>
          </w:p>
        </w:tc>
      </w:tr>
      <w:tr w:rsidR="00C764B7" w14:paraId="392F5C20" w14:textId="77777777" w:rsidTr="00C764B7">
        <w:tc>
          <w:tcPr>
            <w:tcW w:w="1809" w:type="dxa"/>
            <w:shd w:val="clear" w:color="auto" w:fill="D9D9D9" w:themeFill="background1" w:themeFillShade="D9"/>
          </w:tcPr>
          <w:p w14:paraId="537B7E1D" w14:textId="7E358E32" w:rsidR="00C764B7" w:rsidRDefault="00C764B7" w:rsidP="00C764B7">
            <w:r>
              <w:rPr>
                <w:b/>
              </w:rPr>
              <w:t>Valeur apportée</w:t>
            </w:r>
          </w:p>
        </w:tc>
        <w:tc>
          <w:tcPr>
            <w:tcW w:w="7857" w:type="dxa"/>
            <w:shd w:val="clear" w:color="auto" w:fill="F2F2F2" w:themeFill="background1" w:themeFillShade="F2"/>
          </w:tcPr>
          <w:p w14:paraId="43A201E4" w14:textId="04AACBCF" w:rsidR="00C764B7" w:rsidRDefault="00B02514" w:rsidP="00C764B7">
            <w:r w:rsidRPr="00B02514">
              <w:t>Pour l’État, les opérateurs, les entreprises et les territoires, disposer d’analyses utiles pour comparer les options, anticiper les contraintes et éclairer les décisions techniques ou les efforts de recherche.</w:t>
            </w:r>
          </w:p>
        </w:tc>
      </w:tr>
      <w:tr w:rsidR="00C764B7" w14:paraId="51CF83E8" w14:textId="77777777" w:rsidTr="00C764B7">
        <w:tc>
          <w:tcPr>
            <w:tcW w:w="1809" w:type="dxa"/>
            <w:shd w:val="clear" w:color="auto" w:fill="D9D9D9" w:themeFill="background1" w:themeFillShade="D9"/>
          </w:tcPr>
          <w:p w14:paraId="447F582E" w14:textId="4D14998C" w:rsidR="00C764B7" w:rsidRDefault="00C764B7" w:rsidP="00C764B7">
            <w:r>
              <w:rPr>
                <w:b/>
              </w:rPr>
              <w:t>Capacités mobilisées</w:t>
            </w:r>
          </w:p>
        </w:tc>
        <w:tc>
          <w:tcPr>
            <w:tcW w:w="7857" w:type="dxa"/>
            <w:shd w:val="clear" w:color="auto" w:fill="F2F2F2" w:themeFill="background1" w:themeFillShade="F2"/>
          </w:tcPr>
          <w:p w14:paraId="6466AB89" w14:textId="647CF1FD" w:rsidR="00C764B7" w:rsidRDefault="00B02514" w:rsidP="00C764B7">
            <w:r w:rsidRPr="00B02514">
              <w:t>Mesures, cartographie, modélisation, analyses techniques et économiques, retours des programmes et des expérimentations, mobilisation des experts, veille et prospective.</w:t>
            </w:r>
          </w:p>
        </w:tc>
      </w:tr>
      <w:tr w:rsidR="00C764B7" w14:paraId="74841562" w14:textId="77777777" w:rsidTr="00C764B7">
        <w:tc>
          <w:tcPr>
            <w:tcW w:w="1809" w:type="dxa"/>
            <w:shd w:val="clear" w:color="auto" w:fill="D9D9D9" w:themeFill="background1" w:themeFillShade="D9"/>
          </w:tcPr>
          <w:p w14:paraId="6D666791" w14:textId="4A3115E1" w:rsidR="00C764B7" w:rsidRDefault="00C764B7" w:rsidP="00C764B7">
            <w:r>
              <w:rPr>
                <w:b/>
              </w:rPr>
              <w:t>Appuis concrets</w:t>
            </w:r>
          </w:p>
        </w:tc>
        <w:tc>
          <w:tcPr>
            <w:tcW w:w="7857" w:type="dxa"/>
            <w:shd w:val="clear" w:color="auto" w:fill="F2F2F2" w:themeFill="background1" w:themeFillShade="F2"/>
          </w:tcPr>
          <w:p w14:paraId="0CA0164C" w14:textId="455D947F" w:rsidR="00C764B7" w:rsidRDefault="00B02514" w:rsidP="00C764B7">
            <w:r w:rsidRPr="00B02514">
              <w:t>Les travaux de cartographie et de mesur</w:t>
            </w:r>
            <w:r>
              <w:t>e et de zoning</w:t>
            </w:r>
            <w:r w:rsidRPr="00B02514">
              <w:t xml:space="preserve">, illustrent l’apport des données aux choix technologiques. Les études </w:t>
            </w:r>
            <w:r>
              <w:t>sur le potentiel de la filière de l’hydrogène vert</w:t>
            </w:r>
            <w:r w:rsidRPr="00B02514">
              <w:t xml:space="preserve"> apportent des éléments sur les conditions d’application des technologies.</w:t>
            </w:r>
          </w:p>
        </w:tc>
      </w:tr>
      <w:tr w:rsidR="00C764B7" w14:paraId="47ACADFF" w14:textId="77777777" w:rsidTr="00C764B7">
        <w:tc>
          <w:tcPr>
            <w:tcW w:w="1809" w:type="dxa"/>
            <w:shd w:val="clear" w:color="auto" w:fill="D9D9D9" w:themeFill="background1" w:themeFillShade="D9"/>
          </w:tcPr>
          <w:p w14:paraId="438E15D7" w14:textId="58DCF07E" w:rsidR="00C764B7" w:rsidRDefault="00C764B7" w:rsidP="00C764B7">
            <w:r>
              <w:rPr>
                <w:b/>
              </w:rPr>
              <w:t>Contribution collective</w:t>
            </w:r>
          </w:p>
        </w:tc>
        <w:tc>
          <w:tcPr>
            <w:tcW w:w="7857" w:type="dxa"/>
            <w:shd w:val="clear" w:color="auto" w:fill="F2F2F2" w:themeFill="background1" w:themeFillShade="F2"/>
          </w:tcPr>
          <w:p w14:paraId="3CE8BD23" w14:textId="6139329F" w:rsidR="00C764B7" w:rsidRDefault="00884BF2" w:rsidP="00C764B7">
            <w:r w:rsidRPr="00884BF2">
              <w:t>Les besoins des partenaires orientent les analyses. Les projets et les essais produisent des connaissances qui les enrichissent. L’expertise rapproche les avancées internationales des ressources, des usages et des contraintes du Maroc et de la région.</w:t>
            </w:r>
          </w:p>
        </w:tc>
      </w:tr>
      <w:tr w:rsidR="00C764B7" w:rsidRPr="00C764B7" w14:paraId="62B136E2" w14:textId="77777777" w:rsidTr="00C764B7">
        <w:tc>
          <w:tcPr>
            <w:tcW w:w="1809" w:type="dxa"/>
            <w:shd w:val="clear" w:color="auto" w:fill="D9D9D9" w:themeFill="background1" w:themeFillShade="D9"/>
          </w:tcPr>
          <w:p w14:paraId="07002E75" w14:textId="1A1F0F80" w:rsidR="00C764B7" w:rsidRPr="00C764B7" w:rsidRDefault="00C764B7" w:rsidP="00C764B7">
            <w:pPr>
              <w:rPr>
                <w:b/>
              </w:rPr>
            </w:pPr>
            <w:r w:rsidRPr="00C764B7">
              <w:rPr>
                <w:b/>
              </w:rPr>
              <w:t>Cap vers 2035</w:t>
            </w:r>
          </w:p>
        </w:tc>
        <w:tc>
          <w:tcPr>
            <w:tcW w:w="7857" w:type="dxa"/>
            <w:shd w:val="clear" w:color="auto" w:fill="F2F2F2" w:themeFill="background1" w:themeFillShade="F2"/>
          </w:tcPr>
          <w:p w14:paraId="2D02E252" w14:textId="3FCA1BB0" w:rsidR="00C764B7" w:rsidRPr="00C764B7" w:rsidRDefault="00884BF2" w:rsidP="00C764B7">
            <w:pPr>
              <w:rPr>
                <w:b/>
              </w:rPr>
            </w:pPr>
            <w:r w:rsidRPr="00884BF2">
              <w:t>Consolider une expertise mobilisable et partageable pour orienter la R&amp;D&amp;I selon les contextes locaux. Faire circuler les enseignements entre analyses, programmes et expérimentations pour éclairer les travaux et les choix suivants.</w:t>
            </w:r>
          </w:p>
        </w:tc>
      </w:tr>
    </w:tbl>
    <w:p w14:paraId="4FEE18BE" w14:textId="77777777" w:rsidR="00076206" w:rsidRDefault="00076206" w:rsidP="00076206">
      <w:pPr>
        <w:pStyle w:val="Heading2"/>
        <w:spacing w:before="0" w:after="0"/>
      </w:pPr>
    </w:p>
    <w:tbl>
      <w:tblPr>
        <w:tblStyle w:val="TableGrid"/>
        <w:tblW w:w="9666" w:type="dxa"/>
        <w:tblInd w:w="108" w:type="dxa"/>
        <w:tblLook w:val="04A0" w:firstRow="1" w:lastRow="0" w:firstColumn="1" w:lastColumn="0" w:noHBand="0" w:noVBand="1"/>
      </w:tblPr>
      <w:tblGrid>
        <w:gridCol w:w="1809"/>
        <w:gridCol w:w="7857"/>
      </w:tblGrid>
      <w:tr w:rsidR="00076206" w:rsidRPr="00076206" w14:paraId="5169A746" w14:textId="77777777" w:rsidTr="00AD7254">
        <w:trPr>
          <w:cnfStyle w:val="100000000000" w:firstRow="1" w:lastRow="0" w:firstColumn="0" w:lastColumn="0" w:oddVBand="0" w:evenVBand="0" w:oddHBand="0" w:evenHBand="0" w:firstRowFirstColumn="0" w:firstRowLastColumn="0" w:lastRowFirstColumn="0" w:lastRowLastColumn="0"/>
        </w:trPr>
        <w:tc>
          <w:tcPr>
            <w:tcW w:w="9666" w:type="dxa"/>
            <w:gridSpan w:val="2"/>
            <w:shd w:val="clear" w:color="auto" w:fill="507F70"/>
          </w:tcPr>
          <w:p w14:paraId="5865B8A6" w14:textId="69DE7714" w:rsidR="00076206" w:rsidRPr="00C764B7" w:rsidRDefault="00076206" w:rsidP="00AD7254">
            <w:pPr>
              <w:pStyle w:val="Heading2"/>
              <w:rPr>
                <w:color w:val="FFFFFF" w:themeColor="background1"/>
              </w:rPr>
            </w:pPr>
            <w:r>
              <w:rPr>
                <w:color w:val="FFFFFF" w:themeColor="background1"/>
              </w:rPr>
              <w:t xml:space="preserve">2 </w:t>
            </w:r>
            <w:r w:rsidRPr="00C764B7">
              <w:rPr>
                <w:color w:val="FFFFFF" w:themeColor="background1"/>
              </w:rPr>
              <w:t xml:space="preserve">- </w:t>
            </w:r>
            <w:r w:rsidRPr="00076206">
              <w:rPr>
                <w:color w:val="FFFFFF" w:themeColor="background1"/>
              </w:rPr>
              <w:t>Structurer et faire progresser la R&amp;DI collaborative</w:t>
            </w:r>
          </w:p>
        </w:tc>
      </w:tr>
      <w:tr w:rsidR="00076206" w14:paraId="6EC94217" w14:textId="77777777" w:rsidTr="00AD7254">
        <w:tc>
          <w:tcPr>
            <w:tcW w:w="9666" w:type="dxa"/>
            <w:gridSpan w:val="2"/>
            <w:shd w:val="clear" w:color="auto" w:fill="EAF1DD" w:themeFill="accent3" w:themeFillTint="33"/>
          </w:tcPr>
          <w:p w14:paraId="5D4302A4" w14:textId="19BF2E97" w:rsidR="00076206" w:rsidRDefault="00884BF2" w:rsidP="00AD7254">
            <w:r w:rsidRPr="00884BF2">
              <w:t>Transformer les priorités de transition énergétique et de développement durable, ainsi que les besoins scientifiques et socioéconomiques, en programmes de recherche, de développement et d’innovation orientés vers des résultats utiles.</w:t>
            </w:r>
          </w:p>
        </w:tc>
      </w:tr>
      <w:tr w:rsidR="00076206" w14:paraId="3E3720E0" w14:textId="77777777" w:rsidTr="00AD7254">
        <w:tc>
          <w:tcPr>
            <w:tcW w:w="1809" w:type="dxa"/>
            <w:shd w:val="clear" w:color="auto" w:fill="D9D9D9" w:themeFill="background1" w:themeFillShade="D9"/>
          </w:tcPr>
          <w:p w14:paraId="39F95781" w14:textId="77777777" w:rsidR="00076206" w:rsidRDefault="00076206" w:rsidP="00AD7254">
            <w:r>
              <w:rPr>
                <w:b/>
              </w:rPr>
              <w:t>Valeur apportée</w:t>
            </w:r>
          </w:p>
        </w:tc>
        <w:tc>
          <w:tcPr>
            <w:tcW w:w="7857" w:type="dxa"/>
            <w:shd w:val="clear" w:color="auto" w:fill="F2F2F2" w:themeFill="background1" w:themeFillShade="F2"/>
          </w:tcPr>
          <w:p w14:paraId="2D9EBFF7" w14:textId="3DA93698" w:rsidR="00076206" w:rsidRDefault="00884BF2" w:rsidP="00AD7254">
            <w:r w:rsidRPr="00884BF2">
              <w:t>Pour les équipes de recherche, les entreprises et les opérateurs, réunir les compétences et les moyens pour lever des verrous scientifiques et technologiques, développer des solutions et préparer leur application, notamment pour la décarbonation industrielle et la performance énergétique.</w:t>
            </w:r>
          </w:p>
        </w:tc>
      </w:tr>
      <w:tr w:rsidR="00076206" w14:paraId="54F108AE" w14:textId="77777777" w:rsidTr="00AD7254">
        <w:tc>
          <w:tcPr>
            <w:tcW w:w="1809" w:type="dxa"/>
            <w:shd w:val="clear" w:color="auto" w:fill="D9D9D9" w:themeFill="background1" w:themeFillShade="D9"/>
          </w:tcPr>
          <w:p w14:paraId="63F5096A" w14:textId="77777777" w:rsidR="00076206" w:rsidRDefault="00076206" w:rsidP="00AD7254">
            <w:r>
              <w:rPr>
                <w:b/>
              </w:rPr>
              <w:t>Capacités mobilisées</w:t>
            </w:r>
          </w:p>
        </w:tc>
        <w:tc>
          <w:tcPr>
            <w:tcW w:w="7857" w:type="dxa"/>
            <w:shd w:val="clear" w:color="auto" w:fill="F2F2F2" w:themeFill="background1" w:themeFillShade="F2"/>
          </w:tcPr>
          <w:p w14:paraId="4A7711C1" w14:textId="4EC76A62" w:rsidR="00076206" w:rsidRDefault="00884BF2" w:rsidP="00AD7254">
            <w:r w:rsidRPr="00884BF2">
              <w:t>Programmation, appels à projets, évaluation scientifique, constitution de consortiums, financement, contractualisation, suivi scientifique et financier, accompagnement des travaux et de leurs possibilités de maturation.</w:t>
            </w:r>
          </w:p>
        </w:tc>
      </w:tr>
      <w:tr w:rsidR="00076206" w14:paraId="283F752B" w14:textId="77777777" w:rsidTr="00AD7254">
        <w:tc>
          <w:tcPr>
            <w:tcW w:w="1809" w:type="dxa"/>
            <w:shd w:val="clear" w:color="auto" w:fill="D9D9D9" w:themeFill="background1" w:themeFillShade="D9"/>
          </w:tcPr>
          <w:p w14:paraId="3DE6E6CF" w14:textId="77777777" w:rsidR="00076206" w:rsidRDefault="00076206" w:rsidP="00AD7254">
            <w:r>
              <w:rPr>
                <w:b/>
              </w:rPr>
              <w:t>Appuis concrets</w:t>
            </w:r>
          </w:p>
        </w:tc>
        <w:tc>
          <w:tcPr>
            <w:tcW w:w="7857" w:type="dxa"/>
            <w:shd w:val="clear" w:color="auto" w:fill="F2F2F2" w:themeFill="background1" w:themeFillShade="F2"/>
          </w:tcPr>
          <w:p w14:paraId="5E3166BE" w14:textId="4D005069" w:rsidR="00076206" w:rsidRDefault="00884BF2" w:rsidP="00AD7254">
            <w:r w:rsidRPr="00884BF2">
              <w:t xml:space="preserve">Les programmes nationaux et les collaborations comme </w:t>
            </w:r>
            <w:proofErr w:type="spellStart"/>
            <w:r w:rsidRPr="00884BF2">
              <w:t>InnoESPAMAROC</w:t>
            </w:r>
            <w:proofErr w:type="spellEnd"/>
            <w:r w:rsidRPr="00884BF2">
              <w:t xml:space="preserve">, LEAP-RE et LEAP-SE constituent une expérience de structuration et de conduite de projets collectifs. Les projets soutenus </w:t>
            </w:r>
            <w:r w:rsidRPr="00884BF2">
              <w:lastRenderedPageBreak/>
              <w:t>illustrent des réponses à des besoins énergétiques concrets.</w:t>
            </w:r>
          </w:p>
        </w:tc>
      </w:tr>
      <w:tr w:rsidR="00076206" w14:paraId="5306AEDE" w14:textId="77777777" w:rsidTr="00AD7254">
        <w:tc>
          <w:tcPr>
            <w:tcW w:w="1809" w:type="dxa"/>
            <w:shd w:val="clear" w:color="auto" w:fill="D9D9D9" w:themeFill="background1" w:themeFillShade="D9"/>
          </w:tcPr>
          <w:p w14:paraId="257ECCE9" w14:textId="77777777" w:rsidR="00076206" w:rsidRDefault="00076206" w:rsidP="00AD7254">
            <w:r>
              <w:rPr>
                <w:b/>
              </w:rPr>
              <w:lastRenderedPageBreak/>
              <w:t>Contribution collective</w:t>
            </w:r>
          </w:p>
        </w:tc>
        <w:tc>
          <w:tcPr>
            <w:tcW w:w="7857" w:type="dxa"/>
            <w:shd w:val="clear" w:color="auto" w:fill="F2F2F2" w:themeFill="background1" w:themeFillShade="F2"/>
          </w:tcPr>
          <w:p w14:paraId="0C87DBC4" w14:textId="07D00CC0" w:rsidR="00076206" w:rsidRDefault="00884BF2" w:rsidP="00AD7254">
            <w:r w:rsidRPr="00884BF2">
              <w:t>Les équipes scientifiques construisent les réponses de recherche avec les partenaires concernés. Les utilisateurs précisent les contraintes d’application, les plateformes apportent l’expérimentation et la valorisation prépare les suites. Le financement soutient l’ensemble de ce parcours.</w:t>
            </w:r>
          </w:p>
        </w:tc>
      </w:tr>
      <w:tr w:rsidR="00076206" w:rsidRPr="00C764B7" w14:paraId="527F77AF" w14:textId="77777777" w:rsidTr="00AD7254">
        <w:tc>
          <w:tcPr>
            <w:tcW w:w="1809" w:type="dxa"/>
            <w:shd w:val="clear" w:color="auto" w:fill="D9D9D9" w:themeFill="background1" w:themeFillShade="D9"/>
          </w:tcPr>
          <w:p w14:paraId="426F4B1F" w14:textId="77777777" w:rsidR="00076206" w:rsidRPr="00C764B7" w:rsidRDefault="00076206" w:rsidP="00AD7254">
            <w:pPr>
              <w:rPr>
                <w:b/>
              </w:rPr>
            </w:pPr>
            <w:r w:rsidRPr="00C764B7">
              <w:rPr>
                <w:b/>
              </w:rPr>
              <w:t>Cap vers 2035</w:t>
            </w:r>
          </w:p>
        </w:tc>
        <w:tc>
          <w:tcPr>
            <w:tcW w:w="7857" w:type="dxa"/>
            <w:shd w:val="clear" w:color="auto" w:fill="F2F2F2" w:themeFill="background1" w:themeFillShade="F2"/>
          </w:tcPr>
          <w:p w14:paraId="42A1C13F" w14:textId="6BCC752E" w:rsidR="00076206" w:rsidRPr="00C764B7" w:rsidRDefault="00884BF2" w:rsidP="00AD7254">
            <w:pPr>
              <w:rPr>
                <w:b/>
              </w:rPr>
            </w:pPr>
            <w:r w:rsidRPr="00884BF2">
              <w:t>Renforcer les programmes intégrés reliant recherche, développement et démonstration. Associer plus tôt les intégrateurs et les utilisateurs aux projets applicatifs et capitaliser leurs résultats pour les programmes suivants. Poursuivre les recherches sur les verrous stratégiques de plus long terme.</w:t>
            </w:r>
          </w:p>
        </w:tc>
      </w:tr>
    </w:tbl>
    <w:p w14:paraId="1463EC1C" w14:textId="77777777" w:rsidR="00076206" w:rsidRPr="00076206" w:rsidRDefault="00076206" w:rsidP="00076206"/>
    <w:tbl>
      <w:tblPr>
        <w:tblStyle w:val="TableGrid"/>
        <w:tblW w:w="9666" w:type="dxa"/>
        <w:tblInd w:w="108" w:type="dxa"/>
        <w:tblLook w:val="04A0" w:firstRow="1" w:lastRow="0" w:firstColumn="1" w:lastColumn="0" w:noHBand="0" w:noVBand="1"/>
      </w:tblPr>
      <w:tblGrid>
        <w:gridCol w:w="1809"/>
        <w:gridCol w:w="7857"/>
      </w:tblGrid>
      <w:tr w:rsidR="00076206" w:rsidRPr="00C764B7" w14:paraId="269FEB3D" w14:textId="77777777" w:rsidTr="00AD7254">
        <w:trPr>
          <w:cnfStyle w:val="100000000000" w:firstRow="1" w:lastRow="0" w:firstColumn="0" w:lastColumn="0" w:oddVBand="0" w:evenVBand="0" w:oddHBand="0" w:evenHBand="0" w:firstRowFirstColumn="0" w:firstRowLastColumn="0" w:lastRowFirstColumn="0" w:lastRowLastColumn="0"/>
        </w:trPr>
        <w:tc>
          <w:tcPr>
            <w:tcW w:w="9666" w:type="dxa"/>
            <w:gridSpan w:val="2"/>
            <w:shd w:val="clear" w:color="auto" w:fill="507F70"/>
          </w:tcPr>
          <w:p w14:paraId="55C94D1B" w14:textId="31CFBF36" w:rsidR="00076206" w:rsidRPr="00076206" w:rsidRDefault="00076206" w:rsidP="00076206">
            <w:pPr>
              <w:pStyle w:val="Heading2"/>
              <w:rPr>
                <w:color w:val="FFFFFF" w:themeColor="background1"/>
              </w:rPr>
            </w:pPr>
            <w:r w:rsidRPr="00076206">
              <w:rPr>
                <w:color w:val="FFFFFF" w:themeColor="background1"/>
              </w:rPr>
              <w:t xml:space="preserve">3 </w:t>
            </w:r>
            <w:r>
              <w:rPr>
                <w:color w:val="FFFFFF" w:themeColor="background1"/>
              </w:rPr>
              <w:t xml:space="preserve">- </w:t>
            </w:r>
            <w:r w:rsidRPr="00076206">
              <w:rPr>
                <w:color w:val="FFFFFF" w:themeColor="background1"/>
              </w:rPr>
              <w:t>Éprouver les technologies et préparer leur montée en échelle</w:t>
            </w:r>
          </w:p>
        </w:tc>
      </w:tr>
      <w:tr w:rsidR="00076206" w14:paraId="6ACA68D7" w14:textId="77777777" w:rsidTr="00AD7254">
        <w:tc>
          <w:tcPr>
            <w:tcW w:w="9666" w:type="dxa"/>
            <w:gridSpan w:val="2"/>
            <w:shd w:val="clear" w:color="auto" w:fill="EAF1DD" w:themeFill="accent3" w:themeFillTint="33"/>
          </w:tcPr>
          <w:p w14:paraId="60104240" w14:textId="7B1C33BD" w:rsidR="00076206" w:rsidRDefault="00884BF2" w:rsidP="00AD7254">
            <w:r w:rsidRPr="00884BF2">
              <w:t>Tester, qualifier et démontrer les technologies dans des conditions représentatives de leurs usages, pour réduire les incertitudes techniques et préparer leur passage à une plus grande échelle.</w:t>
            </w:r>
          </w:p>
        </w:tc>
      </w:tr>
      <w:tr w:rsidR="00076206" w14:paraId="04CEE50C" w14:textId="77777777" w:rsidTr="00AD7254">
        <w:tc>
          <w:tcPr>
            <w:tcW w:w="1809" w:type="dxa"/>
            <w:shd w:val="clear" w:color="auto" w:fill="D9D9D9" w:themeFill="background1" w:themeFillShade="D9"/>
          </w:tcPr>
          <w:p w14:paraId="7224E6E8" w14:textId="77777777" w:rsidR="00076206" w:rsidRDefault="00076206" w:rsidP="00AD7254">
            <w:r>
              <w:rPr>
                <w:b/>
              </w:rPr>
              <w:t>Valeur apportée</w:t>
            </w:r>
          </w:p>
        </w:tc>
        <w:tc>
          <w:tcPr>
            <w:tcW w:w="7857" w:type="dxa"/>
            <w:shd w:val="clear" w:color="auto" w:fill="F2F2F2" w:themeFill="background1" w:themeFillShade="F2"/>
          </w:tcPr>
          <w:p w14:paraId="0CBB3437" w14:textId="278B3243" w:rsidR="00076206" w:rsidRDefault="00884BF2" w:rsidP="00AD7254">
            <w:r w:rsidRPr="00884BF2">
              <w:t>Pour les chercheurs, les industriels et les utilisateurs, mieux connaître les performances, les limites et les adaptations nécessaires avant de poursuivre le développement ou d’envisager un déploiement, notamment dans les conditions marocaines et régionales.</w:t>
            </w:r>
          </w:p>
        </w:tc>
      </w:tr>
      <w:tr w:rsidR="00076206" w14:paraId="1E6AF910" w14:textId="77777777" w:rsidTr="00AD7254">
        <w:tc>
          <w:tcPr>
            <w:tcW w:w="1809" w:type="dxa"/>
            <w:shd w:val="clear" w:color="auto" w:fill="D9D9D9" w:themeFill="background1" w:themeFillShade="D9"/>
          </w:tcPr>
          <w:p w14:paraId="1035A047" w14:textId="77777777" w:rsidR="00076206" w:rsidRDefault="00076206" w:rsidP="00AD7254">
            <w:r>
              <w:rPr>
                <w:b/>
              </w:rPr>
              <w:t>Capacités mobilisées</w:t>
            </w:r>
          </w:p>
        </w:tc>
        <w:tc>
          <w:tcPr>
            <w:tcW w:w="7857" w:type="dxa"/>
            <w:shd w:val="clear" w:color="auto" w:fill="F2F2F2" w:themeFill="background1" w:themeFillShade="F2"/>
          </w:tcPr>
          <w:p w14:paraId="74528FFE" w14:textId="4BEEE791" w:rsidR="00076206" w:rsidRDefault="00884BF2" w:rsidP="00AD7254">
            <w:r w:rsidRPr="00884BF2">
              <w:t>Plateformes mutualisées, laboratoires, bancs d’essai, pilotes, démonstrateurs, simulation, protocoles de mesure et équipes scientifiques et techniques. Ces moyens servent aussi la formation et les prestations scientifiques et technologiques.</w:t>
            </w:r>
          </w:p>
        </w:tc>
      </w:tr>
      <w:tr w:rsidR="00076206" w14:paraId="541A10CC" w14:textId="77777777" w:rsidTr="00AD7254">
        <w:tc>
          <w:tcPr>
            <w:tcW w:w="1809" w:type="dxa"/>
            <w:shd w:val="clear" w:color="auto" w:fill="D9D9D9" w:themeFill="background1" w:themeFillShade="D9"/>
          </w:tcPr>
          <w:p w14:paraId="08E1A2F9" w14:textId="77777777" w:rsidR="00076206" w:rsidRDefault="00076206" w:rsidP="00AD7254">
            <w:r>
              <w:rPr>
                <w:b/>
              </w:rPr>
              <w:t>Appuis concrets</w:t>
            </w:r>
          </w:p>
        </w:tc>
        <w:tc>
          <w:tcPr>
            <w:tcW w:w="7857" w:type="dxa"/>
            <w:shd w:val="clear" w:color="auto" w:fill="F2F2F2" w:themeFill="background1" w:themeFillShade="F2"/>
          </w:tcPr>
          <w:p w14:paraId="5335DADC" w14:textId="518292BC" w:rsidR="00076206" w:rsidRDefault="00884BF2" w:rsidP="00AD7254">
            <w:r w:rsidRPr="00884BF2">
              <w:t xml:space="preserve">Les essais photovoltaïques, </w:t>
            </w:r>
            <w:proofErr w:type="spellStart"/>
            <w:r w:rsidRPr="00884BF2">
              <w:t>AquaSolar</w:t>
            </w:r>
            <w:proofErr w:type="spellEnd"/>
            <w:r w:rsidRPr="00884BF2">
              <w:t xml:space="preserve"> et les travaux sur les réseaux électriques illustrent différents parcours d’expérimentation. </w:t>
            </w:r>
            <w:proofErr w:type="spellStart"/>
            <w:r w:rsidRPr="00884BF2">
              <w:t>GreenH₂A</w:t>
            </w:r>
            <w:proofErr w:type="spellEnd"/>
            <w:r w:rsidRPr="00884BF2">
              <w:t xml:space="preserve"> </w:t>
            </w:r>
            <w:proofErr w:type="spellStart"/>
            <w:r w:rsidRPr="00884BF2">
              <w:t>porte</w:t>
            </w:r>
            <w:proofErr w:type="spellEnd"/>
            <w:r w:rsidRPr="00884BF2">
              <w:t xml:space="preserve"> le développement de capacités dédiées à l’hydrogène et au Power-to-X, à présenter selon leur disponibilité effective.</w:t>
            </w:r>
          </w:p>
        </w:tc>
      </w:tr>
      <w:tr w:rsidR="00076206" w14:paraId="493729B1" w14:textId="77777777" w:rsidTr="00AD7254">
        <w:tc>
          <w:tcPr>
            <w:tcW w:w="1809" w:type="dxa"/>
            <w:shd w:val="clear" w:color="auto" w:fill="D9D9D9" w:themeFill="background1" w:themeFillShade="D9"/>
          </w:tcPr>
          <w:p w14:paraId="07034B03" w14:textId="77777777" w:rsidR="00076206" w:rsidRDefault="00076206" w:rsidP="00AD7254">
            <w:r>
              <w:rPr>
                <w:b/>
              </w:rPr>
              <w:t>Contribution collective</w:t>
            </w:r>
          </w:p>
        </w:tc>
        <w:tc>
          <w:tcPr>
            <w:tcW w:w="7857" w:type="dxa"/>
            <w:shd w:val="clear" w:color="auto" w:fill="F2F2F2" w:themeFill="background1" w:themeFillShade="F2"/>
          </w:tcPr>
          <w:p w14:paraId="246170F5" w14:textId="4EF58379" w:rsidR="00076206" w:rsidRDefault="00884BF2" w:rsidP="00AD7254">
            <w:r w:rsidRPr="00884BF2">
              <w:t>Les chercheurs et les équipes techniques préparent les essais avec les partenaires d’application. Les résultats permettent d’améliorer les solutions, de préciser leurs conditions d’utilisation et d’orienter les étapes suivantes de développement ou de transfert.</w:t>
            </w:r>
          </w:p>
        </w:tc>
      </w:tr>
      <w:tr w:rsidR="00076206" w:rsidRPr="00C764B7" w14:paraId="05D5712B" w14:textId="77777777" w:rsidTr="00AD7254">
        <w:tc>
          <w:tcPr>
            <w:tcW w:w="1809" w:type="dxa"/>
            <w:shd w:val="clear" w:color="auto" w:fill="D9D9D9" w:themeFill="background1" w:themeFillShade="D9"/>
          </w:tcPr>
          <w:p w14:paraId="6447381A" w14:textId="77777777" w:rsidR="00076206" w:rsidRPr="00C764B7" w:rsidRDefault="00076206" w:rsidP="00AD7254">
            <w:pPr>
              <w:rPr>
                <w:b/>
              </w:rPr>
            </w:pPr>
            <w:r w:rsidRPr="00C764B7">
              <w:rPr>
                <w:b/>
              </w:rPr>
              <w:t>Cap vers 2035</w:t>
            </w:r>
          </w:p>
        </w:tc>
        <w:tc>
          <w:tcPr>
            <w:tcW w:w="7857" w:type="dxa"/>
            <w:shd w:val="clear" w:color="auto" w:fill="F2F2F2" w:themeFill="background1" w:themeFillShade="F2"/>
          </w:tcPr>
          <w:p w14:paraId="1B401E41" w14:textId="2B3F2E01" w:rsidR="00076206" w:rsidRPr="00C764B7" w:rsidRDefault="00884BF2" w:rsidP="00AD7254">
            <w:pPr>
              <w:rPr>
                <w:b/>
              </w:rPr>
            </w:pPr>
            <w:r w:rsidRPr="00884BF2">
              <w:t>Consolider un réseau ouvert de plateformes et de pôles d’expertise thématiques avec les universités et les partenaires des territoires. Renforcer la continuité entre laboratoire, pilote et démonstration. L’excellence repose sur les équipes, les méthodes et l’utilisation durable des capacités.</w:t>
            </w:r>
          </w:p>
        </w:tc>
      </w:tr>
    </w:tbl>
    <w:p w14:paraId="4082DAE2" w14:textId="77777777" w:rsidR="00076206" w:rsidRDefault="00076206">
      <w:pPr>
        <w:pStyle w:val="Heading2"/>
      </w:pPr>
    </w:p>
    <w:tbl>
      <w:tblPr>
        <w:tblStyle w:val="TableGrid"/>
        <w:tblW w:w="9666" w:type="dxa"/>
        <w:tblInd w:w="108" w:type="dxa"/>
        <w:tblLook w:val="04A0" w:firstRow="1" w:lastRow="0" w:firstColumn="1" w:lastColumn="0" w:noHBand="0" w:noVBand="1"/>
      </w:tblPr>
      <w:tblGrid>
        <w:gridCol w:w="1809"/>
        <w:gridCol w:w="7857"/>
      </w:tblGrid>
      <w:tr w:rsidR="00076206" w:rsidRPr="00C764B7" w14:paraId="528F6DE3" w14:textId="77777777" w:rsidTr="00AD7254">
        <w:trPr>
          <w:cnfStyle w:val="100000000000" w:firstRow="1" w:lastRow="0" w:firstColumn="0" w:lastColumn="0" w:oddVBand="0" w:evenVBand="0" w:oddHBand="0" w:evenHBand="0" w:firstRowFirstColumn="0" w:firstRowLastColumn="0" w:lastRowFirstColumn="0" w:lastRowLastColumn="0"/>
        </w:trPr>
        <w:tc>
          <w:tcPr>
            <w:tcW w:w="9666" w:type="dxa"/>
            <w:gridSpan w:val="2"/>
            <w:shd w:val="clear" w:color="auto" w:fill="507F70"/>
          </w:tcPr>
          <w:p w14:paraId="7713ED9C" w14:textId="05F6E864" w:rsidR="00076206" w:rsidRPr="00076206" w:rsidRDefault="00076206" w:rsidP="00076206">
            <w:pPr>
              <w:pStyle w:val="Heading2"/>
              <w:rPr>
                <w:color w:val="FFFFFF" w:themeColor="background1"/>
              </w:rPr>
            </w:pPr>
            <w:r w:rsidRPr="00076206">
              <w:rPr>
                <w:color w:val="FFFFFF" w:themeColor="background1"/>
              </w:rPr>
              <w:t xml:space="preserve">4 </w:t>
            </w:r>
            <w:r>
              <w:rPr>
                <w:color w:val="FFFFFF" w:themeColor="background1"/>
              </w:rPr>
              <w:t xml:space="preserve">- </w:t>
            </w:r>
            <w:r w:rsidRPr="00076206">
              <w:rPr>
                <w:color w:val="FFFFFF" w:themeColor="background1"/>
              </w:rPr>
              <w:t>Organiser la valorisation et le transfert des résultats</w:t>
            </w:r>
          </w:p>
        </w:tc>
      </w:tr>
      <w:tr w:rsidR="00076206" w14:paraId="77964F1C" w14:textId="77777777" w:rsidTr="00AD7254">
        <w:tc>
          <w:tcPr>
            <w:tcW w:w="9666" w:type="dxa"/>
            <w:gridSpan w:val="2"/>
            <w:shd w:val="clear" w:color="auto" w:fill="EAF1DD" w:themeFill="accent3" w:themeFillTint="33"/>
          </w:tcPr>
          <w:p w14:paraId="63776CD0" w14:textId="5AD82C89" w:rsidR="00076206" w:rsidRDefault="00884BF2" w:rsidP="00AD7254">
            <w:r w:rsidRPr="00884BF2">
              <w:t xml:space="preserve">Préparer la maturation et l’utilisation des résultats prometteurs afin qu’ils créent de la valeur </w:t>
            </w:r>
            <w:r w:rsidRPr="00884BF2">
              <w:lastRenderedPageBreak/>
              <w:t>au-delà du projet qui les a produits.</w:t>
            </w:r>
          </w:p>
        </w:tc>
      </w:tr>
      <w:tr w:rsidR="00076206" w14:paraId="26AA2F97" w14:textId="77777777" w:rsidTr="00AD7254">
        <w:tc>
          <w:tcPr>
            <w:tcW w:w="1809" w:type="dxa"/>
            <w:shd w:val="clear" w:color="auto" w:fill="D9D9D9" w:themeFill="background1" w:themeFillShade="D9"/>
          </w:tcPr>
          <w:p w14:paraId="5C65E66C" w14:textId="77777777" w:rsidR="00076206" w:rsidRDefault="00076206" w:rsidP="00AD7254">
            <w:r>
              <w:rPr>
                <w:b/>
              </w:rPr>
              <w:lastRenderedPageBreak/>
              <w:t>Valeur apportée</w:t>
            </w:r>
          </w:p>
        </w:tc>
        <w:tc>
          <w:tcPr>
            <w:tcW w:w="7857" w:type="dxa"/>
            <w:shd w:val="clear" w:color="auto" w:fill="F2F2F2" w:themeFill="background1" w:themeFillShade="F2"/>
          </w:tcPr>
          <w:p w14:paraId="4C45A3D0" w14:textId="4C0D06C1" w:rsidR="00076206" w:rsidRDefault="00884BF2" w:rsidP="00AD7254">
            <w:r w:rsidRPr="00884BF2">
              <w:t>Pour les entreprises, les opérateurs et les entrepreneurs, pouvoir reprendre, adapter ou exploiter une technologie, un logiciel, une méthode ou un savoir-faire, avec une compréhension de sa maturité et de ses conditions d’utilisation.</w:t>
            </w:r>
          </w:p>
        </w:tc>
      </w:tr>
      <w:tr w:rsidR="00076206" w14:paraId="7F9C4EEF" w14:textId="77777777" w:rsidTr="00AD7254">
        <w:tc>
          <w:tcPr>
            <w:tcW w:w="1809" w:type="dxa"/>
            <w:shd w:val="clear" w:color="auto" w:fill="D9D9D9" w:themeFill="background1" w:themeFillShade="D9"/>
          </w:tcPr>
          <w:p w14:paraId="69F08334" w14:textId="77777777" w:rsidR="00076206" w:rsidRDefault="00076206" w:rsidP="00AD7254">
            <w:r>
              <w:rPr>
                <w:b/>
              </w:rPr>
              <w:t>Capacités mobilisées</w:t>
            </w:r>
          </w:p>
        </w:tc>
        <w:tc>
          <w:tcPr>
            <w:tcW w:w="7857" w:type="dxa"/>
            <w:shd w:val="clear" w:color="auto" w:fill="F2F2F2" w:themeFill="background1" w:themeFillShade="F2"/>
          </w:tcPr>
          <w:p w14:paraId="4AE64971" w14:textId="74EAA5D2" w:rsidR="00076206" w:rsidRDefault="00884BF2" w:rsidP="00AD7254">
            <w:r w:rsidRPr="00884BF2">
              <w:t>Identification des résultats, propriété intellectuelle, maturation, qualification, analyse des usages et des marchés, partenariats industriels, licences, codéveloppement et accompagnement des startups.</w:t>
            </w:r>
          </w:p>
        </w:tc>
      </w:tr>
      <w:tr w:rsidR="00076206" w14:paraId="022D43E5" w14:textId="77777777" w:rsidTr="00AD7254">
        <w:tc>
          <w:tcPr>
            <w:tcW w:w="1809" w:type="dxa"/>
            <w:shd w:val="clear" w:color="auto" w:fill="D9D9D9" w:themeFill="background1" w:themeFillShade="D9"/>
          </w:tcPr>
          <w:p w14:paraId="2A8D33B1" w14:textId="77777777" w:rsidR="00076206" w:rsidRDefault="00076206" w:rsidP="00AD7254">
            <w:r>
              <w:rPr>
                <w:b/>
              </w:rPr>
              <w:t>Appuis concrets</w:t>
            </w:r>
          </w:p>
        </w:tc>
        <w:tc>
          <w:tcPr>
            <w:tcW w:w="7857" w:type="dxa"/>
            <w:shd w:val="clear" w:color="auto" w:fill="F2F2F2" w:themeFill="background1" w:themeFillShade="F2"/>
          </w:tcPr>
          <w:p w14:paraId="0604D35D" w14:textId="108D54C8" w:rsidR="00076206" w:rsidRDefault="00884BF2" w:rsidP="00AD7254">
            <w:r w:rsidRPr="00884BF2">
              <w:t>Les inventions issues des programmes, la trajectoire d’</w:t>
            </w:r>
            <w:proofErr w:type="spellStart"/>
            <w:r w:rsidRPr="00884BF2">
              <w:t>iSmart</w:t>
            </w:r>
            <w:proofErr w:type="spellEnd"/>
            <w:r w:rsidRPr="00884BF2">
              <w:t xml:space="preserve"> et les prestations de GEP Services illustrent différentes voies de valorisation. Chaque exemple doit préciser le résultat concerné et le stade effectivement atteint.</w:t>
            </w:r>
          </w:p>
        </w:tc>
      </w:tr>
      <w:tr w:rsidR="00076206" w14:paraId="03F67CAE" w14:textId="77777777" w:rsidTr="00AD7254">
        <w:tc>
          <w:tcPr>
            <w:tcW w:w="1809" w:type="dxa"/>
            <w:shd w:val="clear" w:color="auto" w:fill="D9D9D9" w:themeFill="background1" w:themeFillShade="D9"/>
          </w:tcPr>
          <w:p w14:paraId="1D926902" w14:textId="77777777" w:rsidR="00076206" w:rsidRDefault="00076206" w:rsidP="00AD7254">
            <w:r>
              <w:rPr>
                <w:b/>
              </w:rPr>
              <w:t>Contribution collective</w:t>
            </w:r>
          </w:p>
        </w:tc>
        <w:tc>
          <w:tcPr>
            <w:tcW w:w="7857" w:type="dxa"/>
            <w:shd w:val="clear" w:color="auto" w:fill="F2F2F2" w:themeFill="background1" w:themeFillShade="F2"/>
          </w:tcPr>
          <w:p w14:paraId="14D329C7" w14:textId="04116CA4" w:rsidR="00076206" w:rsidRDefault="00884BF2" w:rsidP="00AD7254">
            <w:r w:rsidRPr="00884BF2">
              <w:t>La valorisation se prépare au fil des travaux avec les équipes scientifiques, les programmes, les plateformes et les partenaires d’application. Leurs contributions permettent de caractériser le résultat, d’identifier ses utilisateurs et de construire les conditions de sa reprise et de son adoption.</w:t>
            </w:r>
          </w:p>
        </w:tc>
      </w:tr>
      <w:tr w:rsidR="00076206" w:rsidRPr="00C764B7" w14:paraId="3E0519E9" w14:textId="77777777" w:rsidTr="00AD7254">
        <w:tc>
          <w:tcPr>
            <w:tcW w:w="1809" w:type="dxa"/>
            <w:shd w:val="clear" w:color="auto" w:fill="D9D9D9" w:themeFill="background1" w:themeFillShade="D9"/>
          </w:tcPr>
          <w:p w14:paraId="2219DA55" w14:textId="77777777" w:rsidR="00076206" w:rsidRPr="00C764B7" w:rsidRDefault="00076206" w:rsidP="00AD7254">
            <w:pPr>
              <w:rPr>
                <w:b/>
              </w:rPr>
            </w:pPr>
            <w:r w:rsidRPr="00C764B7">
              <w:rPr>
                <w:b/>
              </w:rPr>
              <w:t>Cap vers 2035</w:t>
            </w:r>
          </w:p>
        </w:tc>
        <w:tc>
          <w:tcPr>
            <w:tcW w:w="7857" w:type="dxa"/>
            <w:shd w:val="clear" w:color="auto" w:fill="F2F2F2" w:themeFill="background1" w:themeFillShade="F2"/>
          </w:tcPr>
          <w:p w14:paraId="54D9AE6B" w14:textId="1B78E5DF" w:rsidR="00076206" w:rsidRPr="00C764B7" w:rsidRDefault="00884BF2" w:rsidP="00AD7254">
            <w:pPr>
              <w:rPr>
                <w:b/>
              </w:rPr>
            </w:pPr>
            <w:r w:rsidRPr="00884BF2">
              <w:t>Identifier plus tôt les utilisateurs et renforcer la maturation. Construire des parcours adaptés : transfert, licence, codéveloppement, startup, prestation ou adoption par une organisation. Suivre l’utilisation effective et la valeur produite lorsqu’elles sont documentables, et en partager les enseignements.</w:t>
            </w:r>
          </w:p>
        </w:tc>
      </w:tr>
    </w:tbl>
    <w:p w14:paraId="2D43F006" w14:textId="77777777" w:rsidR="00076206" w:rsidRDefault="00076206">
      <w:pPr>
        <w:pStyle w:val="Heading2"/>
      </w:pPr>
    </w:p>
    <w:tbl>
      <w:tblPr>
        <w:tblStyle w:val="TableGrid"/>
        <w:tblW w:w="9666" w:type="dxa"/>
        <w:tblInd w:w="108" w:type="dxa"/>
        <w:tblLook w:val="04A0" w:firstRow="1" w:lastRow="0" w:firstColumn="1" w:lastColumn="0" w:noHBand="0" w:noVBand="1"/>
      </w:tblPr>
      <w:tblGrid>
        <w:gridCol w:w="1809"/>
        <w:gridCol w:w="7857"/>
      </w:tblGrid>
      <w:tr w:rsidR="00076206" w:rsidRPr="00C764B7" w14:paraId="3B3C2B30" w14:textId="77777777" w:rsidTr="00AD7254">
        <w:trPr>
          <w:cnfStyle w:val="100000000000" w:firstRow="1" w:lastRow="0" w:firstColumn="0" w:lastColumn="0" w:oddVBand="0" w:evenVBand="0" w:oddHBand="0" w:evenHBand="0" w:firstRowFirstColumn="0" w:firstRowLastColumn="0" w:lastRowFirstColumn="0" w:lastRowLastColumn="0"/>
        </w:trPr>
        <w:tc>
          <w:tcPr>
            <w:tcW w:w="9666" w:type="dxa"/>
            <w:gridSpan w:val="2"/>
            <w:shd w:val="clear" w:color="auto" w:fill="507F70"/>
          </w:tcPr>
          <w:p w14:paraId="225BEA67" w14:textId="6D36E99A" w:rsidR="00076206" w:rsidRPr="00076206" w:rsidRDefault="00076206" w:rsidP="00076206">
            <w:pPr>
              <w:pStyle w:val="Heading2"/>
              <w:rPr>
                <w:color w:val="FFFFFF" w:themeColor="background1"/>
              </w:rPr>
            </w:pPr>
            <w:r w:rsidRPr="00076206">
              <w:rPr>
                <w:color w:val="FFFFFF" w:themeColor="background1"/>
              </w:rPr>
              <w:t xml:space="preserve">5 </w:t>
            </w:r>
            <w:r>
              <w:rPr>
                <w:color w:val="FFFFFF" w:themeColor="background1"/>
              </w:rPr>
              <w:t xml:space="preserve">- </w:t>
            </w:r>
            <w:r w:rsidRPr="00076206">
              <w:rPr>
                <w:color w:val="FFFFFF" w:themeColor="background1"/>
              </w:rPr>
              <w:t>Développer les compétences et organiser l’expertise</w:t>
            </w:r>
          </w:p>
        </w:tc>
      </w:tr>
      <w:tr w:rsidR="00076206" w14:paraId="6E40547D" w14:textId="77777777" w:rsidTr="00AD7254">
        <w:tc>
          <w:tcPr>
            <w:tcW w:w="9666" w:type="dxa"/>
            <w:gridSpan w:val="2"/>
            <w:shd w:val="clear" w:color="auto" w:fill="EAF1DD" w:themeFill="accent3" w:themeFillTint="33"/>
          </w:tcPr>
          <w:p w14:paraId="0E51AC01" w14:textId="4F21778A" w:rsidR="00076206" w:rsidRDefault="00884BF2" w:rsidP="00AD7254">
            <w:r w:rsidRPr="00884BF2">
              <w:t>Construire des compétences scientifiques et technologiques durables et permettre leur mobilisation au service des projets et des besoins des partenaires.</w:t>
            </w:r>
          </w:p>
        </w:tc>
      </w:tr>
      <w:tr w:rsidR="00076206" w14:paraId="59563D26" w14:textId="77777777" w:rsidTr="00AD7254">
        <w:tc>
          <w:tcPr>
            <w:tcW w:w="1809" w:type="dxa"/>
            <w:shd w:val="clear" w:color="auto" w:fill="D9D9D9" w:themeFill="background1" w:themeFillShade="D9"/>
          </w:tcPr>
          <w:p w14:paraId="34F62D1B" w14:textId="77777777" w:rsidR="00076206" w:rsidRDefault="00076206" w:rsidP="00AD7254">
            <w:r>
              <w:rPr>
                <w:b/>
              </w:rPr>
              <w:t>Valeur apportée</w:t>
            </w:r>
          </w:p>
        </w:tc>
        <w:tc>
          <w:tcPr>
            <w:tcW w:w="7857" w:type="dxa"/>
            <w:shd w:val="clear" w:color="auto" w:fill="F2F2F2" w:themeFill="background1" w:themeFillShade="F2"/>
          </w:tcPr>
          <w:p w14:paraId="632D3BA6" w14:textId="39B95EA0" w:rsidR="00076206" w:rsidRDefault="00884BF2" w:rsidP="00AD7254">
            <w:r w:rsidRPr="00884BF2">
              <w:t>Pour les universités, les entreprises et les institutions, accéder aux expertises pertinentes, former leurs équipes et disposer de savoir-faire mobilisables dans la recherche, l’expérimentation et l’utilisation des technologies.</w:t>
            </w:r>
          </w:p>
        </w:tc>
      </w:tr>
      <w:tr w:rsidR="00076206" w14:paraId="7B179775" w14:textId="77777777" w:rsidTr="00AD7254">
        <w:tc>
          <w:tcPr>
            <w:tcW w:w="1809" w:type="dxa"/>
            <w:shd w:val="clear" w:color="auto" w:fill="D9D9D9" w:themeFill="background1" w:themeFillShade="D9"/>
          </w:tcPr>
          <w:p w14:paraId="5C74BF95" w14:textId="77777777" w:rsidR="00076206" w:rsidRDefault="00076206" w:rsidP="00AD7254">
            <w:r>
              <w:rPr>
                <w:b/>
              </w:rPr>
              <w:t>Capacités mobilisées</w:t>
            </w:r>
          </w:p>
        </w:tc>
        <w:tc>
          <w:tcPr>
            <w:tcW w:w="7857" w:type="dxa"/>
            <w:shd w:val="clear" w:color="auto" w:fill="F2F2F2" w:themeFill="background1" w:themeFillShade="F2"/>
          </w:tcPr>
          <w:p w14:paraId="05E69CBC" w14:textId="3AAD3A6F" w:rsidR="00076206" w:rsidRDefault="00884BF2" w:rsidP="00AD7254">
            <w:r w:rsidRPr="00884BF2">
              <w:t>Formation par la recherche, encadrement, pratique expérimentale, formation professionnelle, échanges scientifiques, partage des méthodes et mise en réseau des chercheurs, ingénieurs, techniciens et spécialistes.</w:t>
            </w:r>
          </w:p>
        </w:tc>
      </w:tr>
      <w:tr w:rsidR="00076206" w14:paraId="2188861A" w14:textId="77777777" w:rsidTr="00AD7254">
        <w:tc>
          <w:tcPr>
            <w:tcW w:w="1809" w:type="dxa"/>
            <w:shd w:val="clear" w:color="auto" w:fill="D9D9D9" w:themeFill="background1" w:themeFillShade="D9"/>
          </w:tcPr>
          <w:p w14:paraId="531A686D" w14:textId="77777777" w:rsidR="00076206" w:rsidRDefault="00076206" w:rsidP="00AD7254">
            <w:r>
              <w:rPr>
                <w:b/>
              </w:rPr>
              <w:t>Appuis concrets</w:t>
            </w:r>
          </w:p>
        </w:tc>
        <w:tc>
          <w:tcPr>
            <w:tcW w:w="7857" w:type="dxa"/>
            <w:shd w:val="clear" w:color="auto" w:fill="F2F2F2" w:themeFill="background1" w:themeFillShade="F2"/>
          </w:tcPr>
          <w:p w14:paraId="37250047" w14:textId="162C4917" w:rsidR="00076206" w:rsidRDefault="00884BF2" w:rsidP="00AD7254">
            <w:r w:rsidRPr="00884BF2">
              <w:t>Les chercheurs et doctorants associés aux projets soutenus, les équipes des plateformes, les formations et les compétences internes constituent le socle humain de cette contribution.</w:t>
            </w:r>
          </w:p>
        </w:tc>
      </w:tr>
      <w:tr w:rsidR="00076206" w14:paraId="3933A6AD" w14:textId="77777777" w:rsidTr="00AD7254">
        <w:tc>
          <w:tcPr>
            <w:tcW w:w="1809" w:type="dxa"/>
            <w:shd w:val="clear" w:color="auto" w:fill="D9D9D9" w:themeFill="background1" w:themeFillShade="D9"/>
          </w:tcPr>
          <w:p w14:paraId="0D8D52EA" w14:textId="77777777" w:rsidR="00076206" w:rsidRDefault="00076206" w:rsidP="00AD7254">
            <w:r>
              <w:rPr>
                <w:b/>
              </w:rPr>
              <w:t>Contribution collective</w:t>
            </w:r>
          </w:p>
        </w:tc>
        <w:tc>
          <w:tcPr>
            <w:tcW w:w="7857" w:type="dxa"/>
            <w:shd w:val="clear" w:color="auto" w:fill="F2F2F2" w:themeFill="background1" w:themeFillShade="F2"/>
          </w:tcPr>
          <w:p w14:paraId="01B288B8" w14:textId="7D6C06EB" w:rsidR="00076206" w:rsidRDefault="00884BF2" w:rsidP="00AD7254">
            <w:r w:rsidRPr="00884BF2">
              <w:t>Les projets réunissent les compétences pertinentes au sein d’IRESEN et chez ses partenaires. Les plateformes permettent l’apprentissage par la pratique. Les expériences et les méthodes acquises sont transmises pour servir à d’autres travaux et renforcer les équipes dans la durée.</w:t>
            </w:r>
          </w:p>
        </w:tc>
      </w:tr>
      <w:tr w:rsidR="00076206" w:rsidRPr="00C764B7" w14:paraId="0D0036D2" w14:textId="77777777" w:rsidTr="00AD7254">
        <w:tc>
          <w:tcPr>
            <w:tcW w:w="1809" w:type="dxa"/>
            <w:shd w:val="clear" w:color="auto" w:fill="D9D9D9" w:themeFill="background1" w:themeFillShade="D9"/>
          </w:tcPr>
          <w:p w14:paraId="0D8E1EA8" w14:textId="77777777" w:rsidR="00076206" w:rsidRPr="00C764B7" w:rsidRDefault="00076206" w:rsidP="00AD7254">
            <w:pPr>
              <w:rPr>
                <w:b/>
              </w:rPr>
            </w:pPr>
            <w:r w:rsidRPr="00C764B7">
              <w:rPr>
                <w:b/>
              </w:rPr>
              <w:lastRenderedPageBreak/>
              <w:t>Cap vers 2035</w:t>
            </w:r>
          </w:p>
        </w:tc>
        <w:tc>
          <w:tcPr>
            <w:tcW w:w="7857" w:type="dxa"/>
            <w:shd w:val="clear" w:color="auto" w:fill="F2F2F2" w:themeFill="background1" w:themeFillShade="F2"/>
          </w:tcPr>
          <w:p w14:paraId="203ADB6A" w14:textId="70C33ECA" w:rsidR="00076206" w:rsidRPr="00C764B7" w:rsidRDefault="00884BF2" w:rsidP="00AD7254">
            <w:pPr>
              <w:rPr>
                <w:b/>
              </w:rPr>
            </w:pPr>
            <w:r w:rsidRPr="00884BF2">
              <w:t>Consolider un réseau d’experts mobilisable par domaine et développer les formations liées aux besoins des filières et des partenaires industriels. Renforcer les compétences dans les universités, les entreprises et les territoires pour soutenir l’excellence scientifique et les capacités nationales au-delà de chaque projet.</w:t>
            </w:r>
          </w:p>
        </w:tc>
      </w:tr>
    </w:tbl>
    <w:p w14:paraId="2FBA14B6" w14:textId="77777777" w:rsidR="00076206" w:rsidRDefault="00076206">
      <w:pPr>
        <w:pStyle w:val="Heading2"/>
      </w:pPr>
    </w:p>
    <w:tbl>
      <w:tblPr>
        <w:tblStyle w:val="TableGrid"/>
        <w:tblW w:w="9666" w:type="dxa"/>
        <w:tblInd w:w="108" w:type="dxa"/>
        <w:tblLook w:val="04A0" w:firstRow="1" w:lastRow="0" w:firstColumn="1" w:lastColumn="0" w:noHBand="0" w:noVBand="1"/>
      </w:tblPr>
      <w:tblGrid>
        <w:gridCol w:w="1809"/>
        <w:gridCol w:w="7857"/>
      </w:tblGrid>
      <w:tr w:rsidR="00076206" w:rsidRPr="00C764B7" w14:paraId="335C1E41" w14:textId="77777777" w:rsidTr="00AD7254">
        <w:trPr>
          <w:cnfStyle w:val="100000000000" w:firstRow="1" w:lastRow="0" w:firstColumn="0" w:lastColumn="0" w:oddVBand="0" w:evenVBand="0" w:oddHBand="0" w:evenHBand="0" w:firstRowFirstColumn="0" w:firstRowLastColumn="0" w:lastRowFirstColumn="0" w:lastRowLastColumn="0"/>
        </w:trPr>
        <w:tc>
          <w:tcPr>
            <w:tcW w:w="9666" w:type="dxa"/>
            <w:gridSpan w:val="2"/>
            <w:shd w:val="clear" w:color="auto" w:fill="507F70"/>
          </w:tcPr>
          <w:p w14:paraId="10B964C9" w14:textId="06D220D2" w:rsidR="00076206" w:rsidRPr="00076206" w:rsidRDefault="00076206" w:rsidP="00076206">
            <w:pPr>
              <w:pStyle w:val="Heading2"/>
              <w:rPr>
                <w:color w:val="FFFFFF" w:themeColor="background1"/>
              </w:rPr>
            </w:pPr>
            <w:r w:rsidRPr="00076206">
              <w:rPr>
                <w:color w:val="FFFFFF" w:themeColor="background1"/>
              </w:rPr>
              <w:t xml:space="preserve">6 </w:t>
            </w:r>
            <w:r>
              <w:rPr>
                <w:color w:val="FFFFFF" w:themeColor="background1"/>
              </w:rPr>
              <w:t xml:space="preserve">- </w:t>
            </w:r>
            <w:r w:rsidRPr="00076206">
              <w:rPr>
                <w:color w:val="FFFFFF" w:themeColor="background1"/>
              </w:rPr>
              <w:t>Construire les coopérations et mobiliser les ressources</w:t>
            </w:r>
          </w:p>
        </w:tc>
      </w:tr>
      <w:tr w:rsidR="00076206" w14:paraId="031A099F" w14:textId="77777777" w:rsidTr="00AD7254">
        <w:tc>
          <w:tcPr>
            <w:tcW w:w="9666" w:type="dxa"/>
            <w:gridSpan w:val="2"/>
            <w:shd w:val="clear" w:color="auto" w:fill="EAF1DD" w:themeFill="accent3" w:themeFillTint="33"/>
          </w:tcPr>
          <w:p w14:paraId="70017608" w14:textId="10BCF8D9" w:rsidR="00076206" w:rsidRDefault="00884BF2" w:rsidP="00AD7254">
            <w:r w:rsidRPr="00884BF2">
              <w:t>Réunir les partenaires, les savoir-faire et les ressources nécessaires pour conduire les projets, renforcer les capacités nationales et préparer les applications.</w:t>
            </w:r>
          </w:p>
        </w:tc>
      </w:tr>
      <w:tr w:rsidR="00076206" w14:paraId="51989DC3" w14:textId="77777777" w:rsidTr="00AD7254">
        <w:tc>
          <w:tcPr>
            <w:tcW w:w="1809" w:type="dxa"/>
            <w:shd w:val="clear" w:color="auto" w:fill="D9D9D9" w:themeFill="background1" w:themeFillShade="D9"/>
          </w:tcPr>
          <w:p w14:paraId="18EFBDDB" w14:textId="77777777" w:rsidR="00076206" w:rsidRDefault="00076206" w:rsidP="00AD7254">
            <w:r>
              <w:rPr>
                <w:b/>
              </w:rPr>
              <w:t>Valeur apportée</w:t>
            </w:r>
          </w:p>
        </w:tc>
        <w:tc>
          <w:tcPr>
            <w:tcW w:w="7857" w:type="dxa"/>
            <w:shd w:val="clear" w:color="auto" w:fill="F2F2F2" w:themeFill="background1" w:themeFillShade="F2"/>
          </w:tcPr>
          <w:p w14:paraId="40532AAA" w14:textId="771D0466" w:rsidR="00076206" w:rsidRDefault="00884BF2" w:rsidP="00AD7254">
            <w:r w:rsidRPr="00884BF2">
              <w:t>Pour les équipes marocaines et leurs partenaires, accéder à des compétences complémentaires, à des moyens partagés, à des financements et à des possibilités de développement communes, en lien avec les besoins du Maroc et de la région.</w:t>
            </w:r>
          </w:p>
        </w:tc>
      </w:tr>
      <w:tr w:rsidR="00076206" w14:paraId="03A0D5B2" w14:textId="77777777" w:rsidTr="00AD7254">
        <w:tc>
          <w:tcPr>
            <w:tcW w:w="1809" w:type="dxa"/>
            <w:shd w:val="clear" w:color="auto" w:fill="D9D9D9" w:themeFill="background1" w:themeFillShade="D9"/>
          </w:tcPr>
          <w:p w14:paraId="66E93228" w14:textId="77777777" w:rsidR="00076206" w:rsidRDefault="00076206" w:rsidP="00AD7254">
            <w:r>
              <w:rPr>
                <w:b/>
              </w:rPr>
              <w:t>Capacités mobilisées</w:t>
            </w:r>
          </w:p>
        </w:tc>
        <w:tc>
          <w:tcPr>
            <w:tcW w:w="7857" w:type="dxa"/>
            <w:shd w:val="clear" w:color="auto" w:fill="F2F2F2" w:themeFill="background1" w:themeFillShade="F2"/>
          </w:tcPr>
          <w:p w14:paraId="1B360D16" w14:textId="7FA5CD36" w:rsidR="00076206" w:rsidRDefault="00884BF2" w:rsidP="00AD7254">
            <w:r w:rsidRPr="00884BF2">
              <w:t>Coopération nationale et internationale, montage de consortiums et de projets, mobilisation de financements, prospection industrielle, accès aux réseaux et construction de partenariats de recherche, de démonstration ou de transfert.</w:t>
            </w:r>
          </w:p>
        </w:tc>
      </w:tr>
      <w:tr w:rsidR="00076206" w14:paraId="2998C506" w14:textId="77777777" w:rsidTr="00AD7254">
        <w:tc>
          <w:tcPr>
            <w:tcW w:w="1809" w:type="dxa"/>
            <w:shd w:val="clear" w:color="auto" w:fill="D9D9D9" w:themeFill="background1" w:themeFillShade="D9"/>
          </w:tcPr>
          <w:p w14:paraId="4C32B2D4" w14:textId="77777777" w:rsidR="00076206" w:rsidRDefault="00076206" w:rsidP="00AD7254">
            <w:r>
              <w:rPr>
                <w:b/>
              </w:rPr>
              <w:t>Appuis concrets</w:t>
            </w:r>
          </w:p>
        </w:tc>
        <w:tc>
          <w:tcPr>
            <w:tcW w:w="7857" w:type="dxa"/>
            <w:shd w:val="clear" w:color="auto" w:fill="F2F2F2" w:themeFill="background1" w:themeFillShade="F2"/>
          </w:tcPr>
          <w:p w14:paraId="50034C73" w14:textId="1F6FFEF8" w:rsidR="00076206" w:rsidRDefault="00884BF2" w:rsidP="00AD7254">
            <w:r w:rsidRPr="00884BF2">
              <w:t>Les programmes conjoints et les coopérations autour des plateformes, notamment avec l’UM6P et autour du Green Energy Park Maroc–Côte d’Ivoire, illustrent la mise en commun de capacités et de savoir-faire.</w:t>
            </w:r>
          </w:p>
        </w:tc>
      </w:tr>
      <w:tr w:rsidR="00076206" w14:paraId="145B4835" w14:textId="77777777" w:rsidTr="00AD7254">
        <w:tc>
          <w:tcPr>
            <w:tcW w:w="1809" w:type="dxa"/>
            <w:shd w:val="clear" w:color="auto" w:fill="D9D9D9" w:themeFill="background1" w:themeFillShade="D9"/>
          </w:tcPr>
          <w:p w14:paraId="64CB4A93" w14:textId="77777777" w:rsidR="00076206" w:rsidRDefault="00076206" w:rsidP="00AD7254">
            <w:r>
              <w:rPr>
                <w:b/>
              </w:rPr>
              <w:t>Contribution collective</w:t>
            </w:r>
          </w:p>
        </w:tc>
        <w:tc>
          <w:tcPr>
            <w:tcW w:w="7857" w:type="dxa"/>
            <w:shd w:val="clear" w:color="auto" w:fill="F2F2F2" w:themeFill="background1" w:themeFillShade="F2"/>
          </w:tcPr>
          <w:p w14:paraId="65F8C99C" w14:textId="0C781478" w:rsidR="00076206" w:rsidRDefault="00884BF2" w:rsidP="00AD7254">
            <w:r w:rsidRPr="00884BF2">
              <w:t>Les partenariats se construisent avec les équipes concernées à partir de besoins et d’apports précis. La prospection rapproche les capacités et les résultats d’IRESEN des partenaires, des financeurs et des futurs utilisateurs susceptibles d’en prolonger la portée.</w:t>
            </w:r>
          </w:p>
        </w:tc>
      </w:tr>
      <w:tr w:rsidR="00076206" w:rsidRPr="00C764B7" w14:paraId="012128AF" w14:textId="77777777" w:rsidTr="00AD7254">
        <w:tc>
          <w:tcPr>
            <w:tcW w:w="1809" w:type="dxa"/>
            <w:shd w:val="clear" w:color="auto" w:fill="D9D9D9" w:themeFill="background1" w:themeFillShade="D9"/>
          </w:tcPr>
          <w:p w14:paraId="0CEDC743" w14:textId="77777777" w:rsidR="00076206" w:rsidRPr="00C764B7" w:rsidRDefault="00076206" w:rsidP="00AD7254">
            <w:pPr>
              <w:rPr>
                <w:b/>
              </w:rPr>
            </w:pPr>
            <w:r w:rsidRPr="00C764B7">
              <w:rPr>
                <w:b/>
              </w:rPr>
              <w:t>Cap vers 2035</w:t>
            </w:r>
          </w:p>
        </w:tc>
        <w:tc>
          <w:tcPr>
            <w:tcW w:w="7857" w:type="dxa"/>
            <w:shd w:val="clear" w:color="auto" w:fill="F2F2F2" w:themeFill="background1" w:themeFillShade="F2"/>
          </w:tcPr>
          <w:p w14:paraId="19021D0D" w14:textId="4A0A52AF" w:rsidR="00076206" w:rsidRPr="00C764B7" w:rsidRDefault="00884BF2" w:rsidP="00AD7254">
            <w:pPr>
              <w:rPr>
                <w:b/>
              </w:rPr>
            </w:pPr>
            <w:r w:rsidRPr="00884BF2">
              <w:t>Développer des partenariats durables articulant les feuilles de route internationales et les besoins locaux, notamment entre l’Afrique et l’Europe et dans la coopération Sud-Sud. Les projets communs et les échanges de savoir-faire contribuent à l’ambition d’excellence africaine et au rayonnement du Maroc.</w:t>
            </w:r>
          </w:p>
        </w:tc>
      </w:tr>
    </w:tbl>
    <w:p w14:paraId="0299A5EF" w14:textId="2CC3B8AA" w:rsidR="003E3485" w:rsidRDefault="005B4CD9">
      <w:pPr>
        <w:pStyle w:val="Heading1"/>
        <w:pageBreakBefore/>
      </w:pPr>
      <w:r w:rsidRPr="005B4CD9">
        <w:lastRenderedPageBreak/>
        <w:t>Comment porter ce narratif ensemble</w:t>
      </w:r>
    </w:p>
    <w:p w14:paraId="031F2EBB" w14:textId="77777777" w:rsidR="005B4CD9" w:rsidRDefault="005B4CD9" w:rsidP="005B4CD9">
      <w:pPr>
        <w:pStyle w:val="Heading2"/>
      </w:pPr>
      <w:r>
        <w:t xml:space="preserve">Des réflexes </w:t>
      </w:r>
      <w:r w:rsidRPr="009E4A35">
        <w:t>comm</w:t>
      </w:r>
      <w:r>
        <w:t>uns</w:t>
      </w:r>
    </w:p>
    <w:p w14:paraId="5E506D4F" w14:textId="21C61288" w:rsidR="005B4CD9" w:rsidRDefault="00884BF2" w:rsidP="005B4CD9">
      <w:r w:rsidRPr="00884BF2">
        <w:t>Lorsque nous présentons un projet, une plateforme ou une coopération, nous partons du besoin traité. Nous précisons ensuite pour qui nous intervenons, les capacités mobilisées, le travail réalisé et ce que les résultats permettent de comprendre ou de faire. Les exemples et le niveau de détail s’adaptent à nos interlocuteurs ; le rôle d’IRESEN et les trois fonctions restent communs.</w:t>
      </w:r>
    </w:p>
    <w:tbl>
      <w:tblPr>
        <w:tblStyle w:val="TableGrid"/>
        <w:tblW w:w="5641" w:type="pct"/>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DF1EA"/>
        <w:tblCellMar>
          <w:top w:w="142" w:type="dxa"/>
          <w:left w:w="142" w:type="dxa"/>
          <w:bottom w:w="142" w:type="dxa"/>
          <w:right w:w="142" w:type="dxa"/>
        </w:tblCellMar>
        <w:tblLook w:val="04A0" w:firstRow="1" w:lastRow="0" w:firstColumn="1" w:lastColumn="0" w:noHBand="0" w:noVBand="1"/>
      </w:tblPr>
      <w:tblGrid>
        <w:gridCol w:w="11341"/>
      </w:tblGrid>
      <w:tr w:rsidR="00FF7C1E" w:rsidRPr="00A0695A" w14:paraId="239DD238" w14:textId="77777777" w:rsidTr="009E4A3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DDF1EA"/>
          </w:tcPr>
          <w:p w14:paraId="6587BE56" w14:textId="3A0F22A6" w:rsidR="00FF7C1E" w:rsidRPr="00A0695A" w:rsidRDefault="00FF7C1E" w:rsidP="001F3831">
            <w:pPr>
              <w:ind w:left="995" w:right="285"/>
              <w:rPr>
                <w:color w:val="1D4F91"/>
              </w:rPr>
            </w:pPr>
            <w:r w:rsidRPr="009E4A35">
              <w:rPr>
                <w:b w:val="0"/>
                <w:bCs/>
                <w:color w:val="507F70"/>
              </w:rPr>
              <w:t xml:space="preserve">Le fil de présentation : </w:t>
            </w:r>
            <w:r w:rsidR="00884BF2" w:rsidRPr="00884BF2">
              <w:rPr>
                <w:color w:val="507F70"/>
              </w:rPr>
              <w:t>Quel besoin ? Pour qui ? Quelle contribution d’IRESEN ? Quelle action ? Quel résultat ou effet attendu ? Quelle preuve ?</w:t>
            </w:r>
          </w:p>
        </w:tc>
      </w:tr>
    </w:tbl>
    <w:p w14:paraId="13A4FB25" w14:textId="77777777" w:rsidR="00884BF2" w:rsidRDefault="00884BF2" w:rsidP="00884BF2">
      <w:r>
        <w:t>Nous attribuons les contributions à leurs acteurs et décrivons les résultats à leur stade réel. Un gain mesuré peut être annoncé comme un résultat ; un gain envisagé reste un objectif. Une plateforme est présentée par ses usages et ses services disponibles. Une coopération est expliquée par ce qu’elle permet de réaliser.</w:t>
      </w:r>
    </w:p>
    <w:p w14:paraId="3B437170" w14:textId="77777777" w:rsidR="00884BF2" w:rsidRDefault="00884BF2" w:rsidP="00884BF2">
      <w:r>
        <w:t>La mesure des résultats et la capitalisation traversent l’ensemble du parcours. Nous cherchons à documenter ce que deviennent les connaissances, les compétences et les solutions produites, ainsi que leur utilisation. Ces enseignements nourrissent les programmes suivants. Les effets sur la compétitivité, la décarbonation ou les filières sont présentés lorsqu’ils sont établis, en reconnaissant les contributions des partenaires.</w:t>
      </w:r>
    </w:p>
    <w:p w14:paraId="480A3523" w14:textId="2563BBF7" w:rsidR="003E3485" w:rsidRDefault="00884BF2" w:rsidP="00884BF2">
      <w:r>
        <w:t>La rigueur scientifique, la responsabilité dans les affirmations et la reconnaissance du travail des partenaires doivent se retrouver dans toutes nos prises de parole. Les instances de gouvernance, l’évaluation scientifique et les fonctions de gestion et de support soutiennent la cohérence de notre action et la crédibilité des résultats présentés.</w:t>
      </w:r>
    </w:p>
    <w:p w14:paraId="6C734254" w14:textId="77777777" w:rsidR="005B4CD9" w:rsidRDefault="005B4CD9" w:rsidP="005B4CD9">
      <w:pPr>
        <w:pStyle w:val="Heading2"/>
      </w:pPr>
      <w:r>
        <w:t>Les questions auxquelles nos futurs contenus devront répondre</w:t>
      </w:r>
    </w:p>
    <w:p w14:paraId="7F1CD6E2" w14:textId="0590EBA1" w:rsidR="00884BF2" w:rsidRPr="00884BF2" w:rsidRDefault="00884BF2" w:rsidP="00884BF2">
      <w:pPr>
        <w:pStyle w:val="ListParagraph"/>
        <w:numPr>
          <w:ilvl w:val="0"/>
          <w:numId w:val="20"/>
        </w:numPr>
        <w:spacing w:before="60" w:after="60"/>
        <w:ind w:left="714" w:hanging="357"/>
        <w:contextualSpacing w:val="0"/>
        <w:rPr>
          <w:b/>
          <w:bCs/>
        </w:rPr>
      </w:pPr>
      <w:r w:rsidRPr="00884BF2">
        <w:rPr>
          <w:b/>
          <w:bCs/>
        </w:rPr>
        <w:t>Qu’est-ce qu’IRESEN et pourquoi existe-t-il ?</w:t>
      </w:r>
    </w:p>
    <w:p w14:paraId="106C999C" w14:textId="64E9BC21" w:rsidR="00884BF2" w:rsidRPr="00884BF2" w:rsidRDefault="00884BF2" w:rsidP="00884BF2">
      <w:pPr>
        <w:pStyle w:val="ListParagraph"/>
        <w:numPr>
          <w:ilvl w:val="0"/>
          <w:numId w:val="20"/>
        </w:numPr>
        <w:spacing w:before="60" w:after="60"/>
        <w:ind w:left="714" w:hanging="357"/>
        <w:contextualSpacing w:val="0"/>
        <w:rPr>
          <w:b/>
          <w:bCs/>
        </w:rPr>
      </w:pPr>
      <w:r w:rsidRPr="00884BF2">
        <w:rPr>
          <w:b/>
          <w:bCs/>
        </w:rPr>
        <w:t>Quel rôle joue l’Institut dans la transition énergétique et le développement durable ?</w:t>
      </w:r>
    </w:p>
    <w:p w14:paraId="314DB2BD" w14:textId="27C24AEE" w:rsidR="00884BF2" w:rsidRPr="00884BF2" w:rsidRDefault="00884BF2" w:rsidP="00884BF2">
      <w:pPr>
        <w:pStyle w:val="ListParagraph"/>
        <w:numPr>
          <w:ilvl w:val="0"/>
          <w:numId w:val="20"/>
        </w:numPr>
        <w:spacing w:before="60" w:after="60"/>
        <w:ind w:left="714" w:hanging="357"/>
        <w:contextualSpacing w:val="0"/>
        <w:rPr>
          <w:b/>
          <w:bCs/>
        </w:rPr>
      </w:pPr>
      <w:r w:rsidRPr="00884BF2">
        <w:rPr>
          <w:b/>
          <w:bCs/>
        </w:rPr>
        <w:t>Comment un besoin devient-il un programme de recherche collaborative ?</w:t>
      </w:r>
    </w:p>
    <w:p w14:paraId="0CCED7ED" w14:textId="51ACA23F" w:rsidR="00884BF2" w:rsidRPr="00884BF2" w:rsidRDefault="00884BF2" w:rsidP="00884BF2">
      <w:pPr>
        <w:pStyle w:val="ListParagraph"/>
        <w:numPr>
          <w:ilvl w:val="0"/>
          <w:numId w:val="20"/>
        </w:numPr>
        <w:spacing w:before="60" w:after="60"/>
        <w:ind w:left="714" w:hanging="357"/>
        <w:contextualSpacing w:val="0"/>
        <w:rPr>
          <w:b/>
          <w:bCs/>
        </w:rPr>
      </w:pPr>
      <w:r w:rsidRPr="00884BF2">
        <w:rPr>
          <w:b/>
          <w:bCs/>
        </w:rPr>
        <w:t>Qu’apporte IRESEN aux équipes de recherche et à la formation des compétences ?</w:t>
      </w:r>
    </w:p>
    <w:p w14:paraId="763E5BB6" w14:textId="0053B97E" w:rsidR="00884BF2" w:rsidRPr="00884BF2" w:rsidRDefault="00884BF2" w:rsidP="00884BF2">
      <w:pPr>
        <w:pStyle w:val="ListParagraph"/>
        <w:numPr>
          <w:ilvl w:val="0"/>
          <w:numId w:val="20"/>
        </w:numPr>
        <w:spacing w:before="60" w:after="60"/>
        <w:ind w:left="714" w:hanging="357"/>
        <w:contextualSpacing w:val="0"/>
        <w:rPr>
          <w:b/>
          <w:bCs/>
        </w:rPr>
      </w:pPr>
      <w:r w:rsidRPr="00884BF2">
        <w:rPr>
          <w:b/>
          <w:bCs/>
        </w:rPr>
        <w:t>Que peut attendre une entreprise pour sa décarbonation et sa performance énergétique ?</w:t>
      </w:r>
    </w:p>
    <w:p w14:paraId="5151534C" w14:textId="5D344946" w:rsidR="00884BF2" w:rsidRPr="00884BF2" w:rsidRDefault="00884BF2" w:rsidP="00884BF2">
      <w:pPr>
        <w:pStyle w:val="ListParagraph"/>
        <w:numPr>
          <w:ilvl w:val="0"/>
          <w:numId w:val="20"/>
        </w:numPr>
        <w:spacing w:before="60" w:after="60"/>
        <w:ind w:left="714" w:hanging="357"/>
        <w:contextualSpacing w:val="0"/>
        <w:rPr>
          <w:b/>
          <w:bCs/>
        </w:rPr>
      </w:pPr>
      <w:r w:rsidRPr="00884BF2">
        <w:rPr>
          <w:b/>
          <w:bCs/>
        </w:rPr>
        <w:t>À quoi servent les plateformes et comment leurs capacités peuvent-elles être mobilisées ?</w:t>
      </w:r>
    </w:p>
    <w:p w14:paraId="37F55FF4" w14:textId="6D10CAD3" w:rsidR="00884BF2" w:rsidRPr="00884BF2" w:rsidRDefault="00884BF2" w:rsidP="00884BF2">
      <w:pPr>
        <w:pStyle w:val="ListParagraph"/>
        <w:numPr>
          <w:ilvl w:val="0"/>
          <w:numId w:val="20"/>
        </w:numPr>
        <w:spacing w:before="60" w:after="60"/>
        <w:ind w:left="714" w:hanging="357"/>
        <w:contextualSpacing w:val="0"/>
        <w:rPr>
          <w:b/>
          <w:bCs/>
        </w:rPr>
      </w:pPr>
      <w:r w:rsidRPr="00884BF2">
        <w:rPr>
          <w:b/>
          <w:bCs/>
        </w:rPr>
        <w:t>Comment l’expérimentation prépare-t-elle la démonstration et le changement d’échelle ?</w:t>
      </w:r>
    </w:p>
    <w:p w14:paraId="5B6EE935" w14:textId="659B58AF" w:rsidR="00884BF2" w:rsidRPr="00884BF2" w:rsidRDefault="00884BF2" w:rsidP="00884BF2">
      <w:pPr>
        <w:pStyle w:val="ListParagraph"/>
        <w:numPr>
          <w:ilvl w:val="0"/>
          <w:numId w:val="20"/>
        </w:numPr>
        <w:spacing w:before="60" w:after="60"/>
        <w:ind w:left="714" w:hanging="357"/>
        <w:contextualSpacing w:val="0"/>
        <w:rPr>
          <w:b/>
          <w:bCs/>
        </w:rPr>
      </w:pPr>
      <w:r w:rsidRPr="00884BF2">
        <w:rPr>
          <w:b/>
          <w:bCs/>
        </w:rPr>
        <w:t>Comment un résultat peut-il être maturé, transféré et utilisé, et comment suivre cette utilisation ?</w:t>
      </w:r>
    </w:p>
    <w:p w14:paraId="48F580BA" w14:textId="65B7DC5A" w:rsidR="00884BF2" w:rsidRPr="00884BF2" w:rsidRDefault="00884BF2" w:rsidP="00884BF2">
      <w:pPr>
        <w:pStyle w:val="ListParagraph"/>
        <w:numPr>
          <w:ilvl w:val="0"/>
          <w:numId w:val="20"/>
        </w:numPr>
        <w:spacing w:before="60" w:after="60"/>
        <w:ind w:left="714" w:hanging="357"/>
        <w:contextualSpacing w:val="0"/>
        <w:rPr>
          <w:b/>
          <w:bCs/>
        </w:rPr>
      </w:pPr>
      <w:r w:rsidRPr="00884BF2">
        <w:rPr>
          <w:b/>
          <w:bCs/>
        </w:rPr>
        <w:t>Comment IRESEN éclaire-t-il les choix publics et adapte-t-il les travaux aux besoins des territoires ?</w:t>
      </w:r>
    </w:p>
    <w:p w14:paraId="0D583DAF" w14:textId="5CDE51F4" w:rsidR="00884BF2" w:rsidRPr="00884BF2" w:rsidRDefault="00884BF2" w:rsidP="00884BF2">
      <w:pPr>
        <w:pStyle w:val="ListParagraph"/>
        <w:numPr>
          <w:ilvl w:val="0"/>
          <w:numId w:val="20"/>
        </w:numPr>
        <w:spacing w:before="60" w:after="60"/>
        <w:ind w:left="714" w:hanging="357"/>
        <w:contextualSpacing w:val="0"/>
        <w:rPr>
          <w:b/>
          <w:bCs/>
        </w:rPr>
      </w:pPr>
      <w:r w:rsidRPr="00884BF2">
        <w:rPr>
          <w:b/>
          <w:bCs/>
        </w:rPr>
        <w:t>Comment la coopération articule-t-elle les avancées internationales et les besoins du Maroc et de la région ?</w:t>
      </w:r>
    </w:p>
    <w:p w14:paraId="53132D40" w14:textId="558F67CE" w:rsidR="005B4CD9" w:rsidRPr="005B4CD9" w:rsidRDefault="00884BF2" w:rsidP="00884BF2">
      <w:pPr>
        <w:pStyle w:val="ListParagraph"/>
        <w:numPr>
          <w:ilvl w:val="0"/>
          <w:numId w:val="20"/>
        </w:numPr>
        <w:spacing w:before="60" w:after="60"/>
        <w:ind w:left="714" w:hanging="357"/>
        <w:contextualSpacing w:val="0"/>
        <w:rPr>
          <w:b/>
          <w:bCs/>
        </w:rPr>
      </w:pPr>
      <w:r w:rsidRPr="00884BF2">
        <w:rPr>
          <w:b/>
          <w:bCs/>
        </w:rPr>
        <w:t>Quels résultats attestent de notre contribution et comment construire l’excellence africaine visée pour 2035 ?</w:t>
      </w:r>
    </w:p>
    <w:p w14:paraId="13BF5616" w14:textId="433D8227" w:rsidR="005B4CD9" w:rsidRDefault="00884BF2" w:rsidP="005B4CD9">
      <w:r w:rsidRPr="00884BF2">
        <w:t xml:space="preserve">Ces questions constituent le cahier des charges de la Phase III. Les réponses seront rédigées à partir du socle commun et de la répartition des messages dans </w:t>
      </w:r>
      <w:r w:rsidRPr="00884BF2">
        <w:t>les supports définis</w:t>
      </w:r>
      <w:r w:rsidRPr="00884BF2">
        <w:t xml:space="preserve"> en Phase II.</w:t>
      </w:r>
    </w:p>
    <w:p w14:paraId="4E431413" w14:textId="13E025C6" w:rsidR="003E3485" w:rsidRDefault="005B4C9F">
      <w:pPr>
        <w:pStyle w:val="Heading1"/>
        <w:pageBreakBefore/>
      </w:pPr>
      <w:r w:rsidRPr="005B4C9F">
        <w:lastRenderedPageBreak/>
        <w:t>Construire et déployer le socle commun avec les équipes</w:t>
      </w:r>
    </w:p>
    <w:p w14:paraId="042759DA" w14:textId="16923F89" w:rsidR="003E3485" w:rsidRDefault="00AD3EA6">
      <w:r w:rsidRPr="00AD3EA6">
        <w:t>Le socle commun rend visible la contribution des équipes et s’appuie sur des exemples documentés. Chaque direction apporte sa connaissance des besoins, ses capacités, ses résultats et les limites à respecter. Les six piliers situent ces contributions dans une même présentation d’IRESEN.</w:t>
      </w:r>
    </w:p>
    <w:tbl>
      <w:tblPr>
        <w:tblStyle w:val="MyStyle"/>
        <w:tblW w:w="0" w:type="auto"/>
        <w:tblInd w:w="142" w:type="dxa"/>
        <w:tblLayout w:type="fixed"/>
        <w:tblLook w:val="04A0" w:firstRow="1" w:lastRow="0" w:firstColumn="1" w:lastColumn="0" w:noHBand="0" w:noVBand="1"/>
      </w:tblPr>
      <w:tblGrid>
        <w:gridCol w:w="3170"/>
        <w:gridCol w:w="6611"/>
      </w:tblGrid>
      <w:tr w:rsidR="005B4C9F" w14:paraId="72D75671" w14:textId="77777777" w:rsidTr="005B4C9F">
        <w:trPr>
          <w:cnfStyle w:val="100000000000" w:firstRow="1" w:lastRow="0" w:firstColumn="0" w:lastColumn="0" w:oddVBand="0" w:evenVBand="0" w:oddHBand="0" w:evenHBand="0" w:firstRowFirstColumn="0" w:firstRowLastColumn="0" w:lastRowFirstColumn="0" w:lastRowLastColumn="0"/>
        </w:trPr>
        <w:tc>
          <w:tcPr>
            <w:tcW w:w="3170" w:type="dxa"/>
          </w:tcPr>
          <w:p w14:paraId="225AB98C" w14:textId="77777777" w:rsidR="005B4C9F" w:rsidRDefault="005B4C9F" w:rsidP="005B4C9F">
            <w:pPr>
              <w:spacing w:before="0" w:after="0" w:line="250" w:lineRule="auto"/>
            </w:pPr>
            <w:r>
              <w:rPr>
                <w:color w:val="FFFFFF"/>
                <w:sz w:val="21"/>
              </w:rPr>
              <w:t>Contribution attendue</w:t>
            </w:r>
          </w:p>
        </w:tc>
        <w:tc>
          <w:tcPr>
            <w:tcW w:w="6611" w:type="dxa"/>
          </w:tcPr>
          <w:p w14:paraId="0D8CEFC7" w14:textId="77777777" w:rsidR="005B4C9F" w:rsidRDefault="005B4C9F" w:rsidP="005B4C9F">
            <w:pPr>
              <w:spacing w:before="0" w:after="0" w:line="250" w:lineRule="auto"/>
            </w:pPr>
            <w:r>
              <w:rPr>
                <w:color w:val="FFFFFF"/>
                <w:sz w:val="21"/>
              </w:rPr>
              <w:t>Apport au travail commun</w:t>
            </w:r>
          </w:p>
        </w:tc>
      </w:tr>
      <w:tr w:rsidR="005B4C9F" w14:paraId="51E00908" w14:textId="77777777" w:rsidTr="005B4C9F">
        <w:tc>
          <w:tcPr>
            <w:tcW w:w="3170" w:type="dxa"/>
          </w:tcPr>
          <w:p w14:paraId="4A1C333F" w14:textId="77777777" w:rsidR="005B4C9F" w:rsidRDefault="005B4C9F" w:rsidP="00AD3EA6">
            <w:pPr>
              <w:spacing w:before="0" w:after="0" w:line="250" w:lineRule="auto"/>
              <w:jc w:val="left"/>
            </w:pPr>
            <w:r>
              <w:rPr>
                <w:color w:val="000000"/>
                <w:sz w:val="21"/>
              </w:rPr>
              <w:t>Équipes scientifiques et programmes</w:t>
            </w:r>
          </w:p>
        </w:tc>
        <w:tc>
          <w:tcPr>
            <w:tcW w:w="6611" w:type="dxa"/>
          </w:tcPr>
          <w:p w14:paraId="36E6DE04" w14:textId="7C94C312" w:rsidR="005B4C9F" w:rsidRDefault="00AD3EA6" w:rsidP="00AD3EA6">
            <w:pPr>
              <w:spacing w:before="0" w:after="0" w:line="250" w:lineRule="auto"/>
              <w:jc w:val="left"/>
            </w:pPr>
            <w:r w:rsidRPr="00AD3EA6">
              <w:rPr>
                <w:color w:val="000000"/>
                <w:sz w:val="21"/>
              </w:rPr>
              <w:t>Préciser les besoins traités, les résultats obtenus, les étapes de maturation et les enseignements utiles aux travaux futurs.</w:t>
            </w:r>
          </w:p>
        </w:tc>
      </w:tr>
      <w:tr w:rsidR="005B4C9F" w14:paraId="14715611" w14:textId="77777777" w:rsidTr="005B4C9F">
        <w:trPr>
          <w:cnfStyle w:val="000000010000" w:firstRow="0" w:lastRow="0" w:firstColumn="0" w:lastColumn="0" w:oddVBand="0" w:evenVBand="0" w:oddHBand="0" w:evenHBand="1" w:firstRowFirstColumn="0" w:firstRowLastColumn="0" w:lastRowFirstColumn="0" w:lastRowLastColumn="0"/>
        </w:trPr>
        <w:tc>
          <w:tcPr>
            <w:tcW w:w="3170" w:type="dxa"/>
          </w:tcPr>
          <w:p w14:paraId="1AC75FFC" w14:textId="77777777" w:rsidR="005B4C9F" w:rsidRDefault="005B4C9F" w:rsidP="00AD3EA6">
            <w:pPr>
              <w:spacing w:before="0" w:after="0" w:line="250" w:lineRule="auto"/>
              <w:jc w:val="left"/>
            </w:pPr>
            <w:r>
              <w:rPr>
                <w:color w:val="000000"/>
                <w:sz w:val="21"/>
              </w:rPr>
              <w:t>Équipes des plateformes</w:t>
            </w:r>
          </w:p>
        </w:tc>
        <w:tc>
          <w:tcPr>
            <w:tcW w:w="6611" w:type="dxa"/>
          </w:tcPr>
          <w:p w14:paraId="6DBA057C" w14:textId="084BD273" w:rsidR="005B4C9F" w:rsidRDefault="00AD3EA6" w:rsidP="00AD3EA6">
            <w:pPr>
              <w:spacing w:before="0" w:after="0" w:line="250" w:lineRule="auto"/>
              <w:jc w:val="left"/>
            </w:pPr>
            <w:r w:rsidRPr="00AD3EA6">
              <w:rPr>
                <w:color w:val="000000"/>
                <w:sz w:val="21"/>
              </w:rPr>
              <w:t>Décrire les capacités disponibles, leurs usages, les conditions d’accès et les résultats d’expérimentation.</w:t>
            </w:r>
          </w:p>
        </w:tc>
      </w:tr>
      <w:tr w:rsidR="005B4C9F" w14:paraId="40E8F8F2" w14:textId="77777777" w:rsidTr="005B4C9F">
        <w:tc>
          <w:tcPr>
            <w:tcW w:w="3170" w:type="dxa"/>
          </w:tcPr>
          <w:p w14:paraId="5AFF92EE" w14:textId="77777777" w:rsidR="005B4C9F" w:rsidRDefault="005B4C9F" w:rsidP="00AD3EA6">
            <w:pPr>
              <w:spacing w:before="0" w:after="0" w:line="250" w:lineRule="auto"/>
              <w:jc w:val="left"/>
            </w:pPr>
            <w:r>
              <w:rPr>
                <w:color w:val="000000"/>
                <w:sz w:val="21"/>
              </w:rPr>
              <w:t>Partenariats et valorisation</w:t>
            </w:r>
          </w:p>
        </w:tc>
        <w:tc>
          <w:tcPr>
            <w:tcW w:w="6611" w:type="dxa"/>
          </w:tcPr>
          <w:p w14:paraId="19B49C9D" w14:textId="05E5DB58" w:rsidR="005B4C9F" w:rsidRDefault="00AD3EA6" w:rsidP="00AD3EA6">
            <w:pPr>
              <w:spacing w:before="0" w:after="0" w:line="250" w:lineRule="auto"/>
              <w:jc w:val="left"/>
            </w:pPr>
            <w:r w:rsidRPr="00AD3EA6">
              <w:rPr>
                <w:color w:val="000000"/>
                <w:sz w:val="21"/>
              </w:rPr>
              <w:t>Documenter les contributions des partenaires, les ressources mobilisées et les voies de transfert, d’exploitation ou d’adoption.</w:t>
            </w:r>
          </w:p>
        </w:tc>
      </w:tr>
      <w:tr w:rsidR="005B4C9F" w14:paraId="5C1E260A" w14:textId="77777777" w:rsidTr="005B4C9F">
        <w:trPr>
          <w:cnfStyle w:val="000000010000" w:firstRow="0" w:lastRow="0" w:firstColumn="0" w:lastColumn="0" w:oddVBand="0" w:evenVBand="0" w:oddHBand="0" w:evenHBand="1" w:firstRowFirstColumn="0" w:firstRowLastColumn="0" w:lastRowFirstColumn="0" w:lastRowLastColumn="0"/>
        </w:trPr>
        <w:tc>
          <w:tcPr>
            <w:tcW w:w="3170" w:type="dxa"/>
          </w:tcPr>
          <w:p w14:paraId="44A32173" w14:textId="77777777" w:rsidR="005B4C9F" w:rsidRDefault="005B4C9F" w:rsidP="00AD3EA6">
            <w:pPr>
              <w:spacing w:before="0" w:after="0" w:line="250" w:lineRule="auto"/>
              <w:jc w:val="left"/>
            </w:pPr>
            <w:r>
              <w:rPr>
                <w:color w:val="000000"/>
                <w:sz w:val="21"/>
              </w:rPr>
              <w:t>Communication et direction</w:t>
            </w:r>
          </w:p>
        </w:tc>
        <w:tc>
          <w:tcPr>
            <w:tcW w:w="6611" w:type="dxa"/>
          </w:tcPr>
          <w:p w14:paraId="414701D5" w14:textId="27FC26B9" w:rsidR="005B4C9F" w:rsidRDefault="00AD3EA6" w:rsidP="00AD3EA6">
            <w:pPr>
              <w:spacing w:before="0" w:after="0" w:line="250" w:lineRule="auto"/>
              <w:jc w:val="left"/>
            </w:pPr>
            <w:r w:rsidRPr="00AD3EA6">
              <w:rPr>
                <w:color w:val="000000"/>
                <w:sz w:val="21"/>
              </w:rPr>
              <w:t>Consolider les messages avec les équipes, faciliter leur appropriation et organiser leur mise à jour.</w:t>
            </w:r>
          </w:p>
        </w:tc>
      </w:tr>
    </w:tbl>
    <w:p w14:paraId="0DC68086" w14:textId="3D0B54A4" w:rsidR="005B4C9F" w:rsidRDefault="005B4C9F" w:rsidP="005B4C9F">
      <w:pPr>
        <w:pStyle w:val="Heading2"/>
      </w:pPr>
      <w:r w:rsidRPr="005B4C9F">
        <w:t>Trois phases avec un résultat distinct</w:t>
      </w:r>
    </w:p>
    <w:tbl>
      <w:tblPr>
        <w:tblStyle w:val="MyStyle"/>
        <w:tblW w:w="0" w:type="auto"/>
        <w:tblInd w:w="142" w:type="dxa"/>
        <w:tblLayout w:type="fixed"/>
        <w:tblLook w:val="04A0" w:firstRow="1" w:lastRow="0" w:firstColumn="1" w:lastColumn="0" w:noHBand="0" w:noVBand="1"/>
      </w:tblPr>
      <w:tblGrid>
        <w:gridCol w:w="2090"/>
        <w:gridCol w:w="7762"/>
      </w:tblGrid>
      <w:tr w:rsidR="005B4C9F" w14:paraId="042F4038" w14:textId="77777777" w:rsidTr="005B4C9F">
        <w:trPr>
          <w:cnfStyle w:val="100000000000" w:firstRow="1" w:lastRow="0" w:firstColumn="0" w:lastColumn="0" w:oddVBand="0" w:evenVBand="0" w:oddHBand="0" w:evenHBand="0" w:firstRowFirstColumn="0" w:firstRowLastColumn="0" w:lastRowFirstColumn="0" w:lastRowLastColumn="0"/>
        </w:trPr>
        <w:tc>
          <w:tcPr>
            <w:tcW w:w="2090" w:type="dxa"/>
          </w:tcPr>
          <w:p w14:paraId="5E3392D1" w14:textId="77777777" w:rsidR="005B4C9F" w:rsidRDefault="005B4C9F" w:rsidP="005B4C9F">
            <w:pPr>
              <w:spacing w:before="0" w:after="0" w:line="250" w:lineRule="auto"/>
            </w:pPr>
            <w:r>
              <w:rPr>
                <w:color w:val="FFFFFF"/>
                <w:sz w:val="21"/>
              </w:rPr>
              <w:t>Phase</w:t>
            </w:r>
          </w:p>
        </w:tc>
        <w:tc>
          <w:tcPr>
            <w:tcW w:w="7762" w:type="dxa"/>
          </w:tcPr>
          <w:p w14:paraId="7B945289" w14:textId="77777777" w:rsidR="005B4C9F" w:rsidRDefault="005B4C9F" w:rsidP="005B4C9F">
            <w:pPr>
              <w:spacing w:before="0" w:after="0" w:line="250" w:lineRule="auto"/>
            </w:pPr>
            <w:r>
              <w:rPr>
                <w:color w:val="FFFFFF"/>
                <w:sz w:val="21"/>
              </w:rPr>
              <w:t>Question et résultat attendu</w:t>
            </w:r>
          </w:p>
        </w:tc>
      </w:tr>
      <w:tr w:rsidR="005B4C9F" w14:paraId="11B91D69" w14:textId="77777777" w:rsidTr="005B4C9F">
        <w:tc>
          <w:tcPr>
            <w:tcW w:w="2090" w:type="dxa"/>
          </w:tcPr>
          <w:p w14:paraId="23BF4DC8" w14:textId="5733F336" w:rsidR="00AD3EA6" w:rsidRPr="00AD3EA6" w:rsidRDefault="005B4C9F" w:rsidP="00AD3EA6">
            <w:pPr>
              <w:spacing w:before="0" w:after="0" w:line="250" w:lineRule="auto"/>
              <w:rPr>
                <w:color w:val="000000"/>
                <w:sz w:val="21"/>
              </w:rPr>
            </w:pPr>
            <w:r>
              <w:rPr>
                <w:color w:val="000000"/>
                <w:sz w:val="21"/>
              </w:rPr>
              <w:t>I - Le narratif</w:t>
            </w:r>
          </w:p>
        </w:tc>
        <w:tc>
          <w:tcPr>
            <w:tcW w:w="7762" w:type="dxa"/>
          </w:tcPr>
          <w:p w14:paraId="7D17B64A" w14:textId="4091FFFE" w:rsidR="005B4C9F" w:rsidRDefault="00AD3EA6" w:rsidP="005B4C9F">
            <w:pPr>
              <w:spacing w:before="0" w:after="0" w:line="250" w:lineRule="auto"/>
            </w:pPr>
            <w:r w:rsidRPr="00AD3EA6">
              <w:rPr>
                <w:color w:val="000000"/>
                <w:sz w:val="21"/>
              </w:rPr>
              <w:t>Que voulons-nous faire comprendre ? Un rôle commun, trois fonctions, six capacités et des règles pour les présenter.</w:t>
            </w:r>
          </w:p>
        </w:tc>
      </w:tr>
      <w:tr w:rsidR="005B4C9F" w14:paraId="0579DEDA" w14:textId="77777777" w:rsidTr="005B4C9F">
        <w:trPr>
          <w:cnfStyle w:val="000000010000" w:firstRow="0" w:lastRow="0" w:firstColumn="0" w:lastColumn="0" w:oddVBand="0" w:evenVBand="0" w:oddHBand="0" w:evenHBand="1" w:firstRowFirstColumn="0" w:firstRowLastColumn="0" w:lastRowFirstColumn="0" w:lastRowLastColumn="0"/>
        </w:trPr>
        <w:tc>
          <w:tcPr>
            <w:tcW w:w="2090" w:type="dxa"/>
          </w:tcPr>
          <w:p w14:paraId="05AA079C" w14:textId="04F64AE2" w:rsidR="005B4C9F" w:rsidRDefault="005B4C9F" w:rsidP="005B4C9F">
            <w:pPr>
              <w:spacing w:before="0" w:after="0" w:line="250" w:lineRule="auto"/>
            </w:pPr>
            <w:r>
              <w:rPr>
                <w:color w:val="000000"/>
                <w:sz w:val="21"/>
              </w:rPr>
              <w:t>II - Les supports</w:t>
            </w:r>
          </w:p>
        </w:tc>
        <w:tc>
          <w:tcPr>
            <w:tcW w:w="7762" w:type="dxa"/>
          </w:tcPr>
          <w:p w14:paraId="66F2A391" w14:textId="58097A60" w:rsidR="005B4C9F" w:rsidRDefault="00AD3EA6" w:rsidP="005B4C9F">
            <w:pPr>
              <w:spacing w:before="0" w:after="0" w:line="250" w:lineRule="auto"/>
            </w:pPr>
            <w:r w:rsidRPr="00AD3EA6">
              <w:rPr>
                <w:color w:val="000000"/>
                <w:sz w:val="21"/>
              </w:rPr>
              <w:t>À qui, où et à quel niveau le dire ? Une répartition des messages et des preuves par public et par support.</w:t>
            </w:r>
          </w:p>
        </w:tc>
      </w:tr>
      <w:tr w:rsidR="005B4C9F" w14:paraId="5942297E" w14:textId="77777777" w:rsidTr="005B4C9F">
        <w:tc>
          <w:tcPr>
            <w:tcW w:w="2090" w:type="dxa"/>
          </w:tcPr>
          <w:p w14:paraId="2F66F743" w14:textId="03F064F7" w:rsidR="005B4C9F" w:rsidRDefault="005B4C9F" w:rsidP="005B4C9F">
            <w:pPr>
              <w:spacing w:before="0" w:after="0" w:line="250" w:lineRule="auto"/>
            </w:pPr>
            <w:r>
              <w:rPr>
                <w:color w:val="000000"/>
                <w:sz w:val="21"/>
              </w:rPr>
              <w:t>III - Les contenus</w:t>
            </w:r>
          </w:p>
        </w:tc>
        <w:tc>
          <w:tcPr>
            <w:tcW w:w="7762" w:type="dxa"/>
          </w:tcPr>
          <w:p w14:paraId="1C28834F" w14:textId="7A1532DA" w:rsidR="005B4C9F" w:rsidRDefault="00AD3EA6" w:rsidP="005B4C9F">
            <w:pPr>
              <w:spacing w:before="0" w:after="0" w:line="250" w:lineRule="auto"/>
            </w:pPr>
            <w:r w:rsidRPr="00AD3EA6">
              <w:rPr>
                <w:color w:val="000000"/>
                <w:sz w:val="21"/>
              </w:rPr>
              <w:t>Comment le dire ? Des réponses rédigées à plusieurs niveaux de longueur, accompagnées d’exemples et de preuves.</w:t>
            </w:r>
          </w:p>
        </w:tc>
      </w:tr>
    </w:tbl>
    <w:p w14:paraId="5F369D0B" w14:textId="77777777" w:rsidR="00AD3EA6" w:rsidRDefault="00AD3EA6" w:rsidP="00AD3EA6">
      <w:r>
        <w:t xml:space="preserve">La Phase II répartira les messages entre le site, la présentation </w:t>
      </w:r>
      <w:proofErr w:type="spellStart"/>
      <w:r>
        <w:t>corporate</w:t>
      </w:r>
      <w:proofErr w:type="spellEnd"/>
      <w:r>
        <w:t>, la brochure, le one-pager, le rapport d’activité ou d’impact, les présentations aux ministères, industriels, partenaires et bailleurs, et les prises de parole. Chaque support aura un objectif et un niveau de détail adaptés.</w:t>
      </w:r>
    </w:p>
    <w:p w14:paraId="59E487F2" w14:textId="37EF993F" w:rsidR="003E3485" w:rsidRPr="005B4C9F" w:rsidRDefault="00AD3EA6" w:rsidP="00473EF7">
      <w:pPr>
        <w:rPr>
          <w:b/>
          <w:sz w:val="32"/>
          <w:szCs w:val="28"/>
        </w:rPr>
      </w:pPr>
      <w:r>
        <w:t>La Phase III déclinera les contenus en phrase clé, version courte, version institutionnelle et, si nécessaire, explication approfondie. Les équipes tiendront à jour les chiffres, les cas et les capacités dans un référentiel de preuves commun, utilisable par chaque direction pour présenter IRESEN.</w:t>
      </w:r>
    </w:p>
    <w:sectPr w:rsidR="003E3485" w:rsidRPr="005B4C9F" w:rsidSect="0036419A">
      <w:headerReference w:type="default" r:id="rId11"/>
      <w:footerReference w:type="default" r:id="rId12"/>
      <w:footerReference w:type="first" r:id="rId13"/>
      <w:pgSz w:w="11900" w:h="16840"/>
      <w:pgMar w:top="950" w:right="1066" w:bottom="922" w:left="1066"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833F34" w14:textId="77777777" w:rsidR="00BB3872" w:rsidRDefault="00BB3872">
      <w:pPr>
        <w:spacing w:before="0" w:after="0"/>
      </w:pPr>
      <w:r>
        <w:separator/>
      </w:r>
    </w:p>
  </w:endnote>
  <w:endnote w:type="continuationSeparator" w:id="0">
    <w:p w14:paraId="7D56E7B8" w14:textId="77777777" w:rsidR="00BB3872" w:rsidRDefault="00BB387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lus Jakarta Sans Light">
    <w:panose1 w:val="00000000000000000000"/>
    <w:charset w:val="4D"/>
    <w:family w:val="auto"/>
    <w:pitch w:val="variable"/>
    <w:sig w:usb0="A10000FF" w:usb1="4000607B" w:usb2="00000000" w:usb3="00000000" w:csb0="00000193" w:csb1="00000000"/>
  </w:font>
  <w:font w:name="Nimbus Sans">
    <w:altName w:val="Cambria"/>
    <w:panose1 w:val="020B0604020202020204"/>
    <w:charset w:val="00"/>
    <w:family w:val="roman"/>
    <w:pitch w:val="default"/>
  </w:font>
  <w:font w:name="Plus Jakarta Sans">
    <w:panose1 w:val="00000000000000000000"/>
    <w:charset w:val="4D"/>
    <w:family w:val="auto"/>
    <w:pitch w:val="variable"/>
    <w:sig w:usb0="A10000FF" w:usb1="40006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lus Jakarta Sans SemiBold">
    <w:panose1 w:val="00000000000000000000"/>
    <w:charset w:val="4D"/>
    <w:family w:val="auto"/>
    <w:pitch w:val="variable"/>
    <w:sig w:usb0="A10000FF" w:usb1="4000607B" w:usb2="00000000" w:usb3="00000000" w:csb0="00000193" w:csb1="00000000"/>
  </w:font>
  <w:font w:name="Calibri">
    <w:panose1 w:val="020F0502020204030204"/>
    <w:charset w:val="00"/>
    <w:family w:val="swiss"/>
    <w:pitch w:val="variable"/>
    <w:sig w:usb0="E0002AFF" w:usb1="C000247B" w:usb2="00000009" w:usb3="00000000" w:csb0="000001FF" w:csb1="00000000"/>
  </w:font>
  <w:font w:name="Plus Jakarta Sans ExtraBold">
    <w:panose1 w:val="00000000000000000000"/>
    <w:charset w:val="4D"/>
    <w:family w:val="auto"/>
    <w:pitch w:val="variable"/>
    <w:sig w:usb0="A10000FF" w:usb1="4000607B" w:usb2="00000000" w:usb3="00000000" w:csb0="00000193" w:csb1="00000000"/>
  </w:font>
  <w:font w:name="Times New Roman (Headings CS)">
    <w:panose1 w:val="020B0604020202020204"/>
    <w:charset w:val="00"/>
    <w:family w:val="roman"/>
    <w:pitch w:val="default"/>
  </w:font>
  <w:font w:name="Courier">
    <w:panose1 w:val="02070309020205020404"/>
    <w:charset w:val="00"/>
    <w:family w:val="auto"/>
    <w:pitch w:val="variable"/>
    <w:sig w:usb0="00000003" w:usb1="00000000" w:usb2="00000000" w:usb3="00000000" w:csb0="00000001" w:csb1="00000000"/>
  </w:font>
  <w:font w:name="Plus Jakarta Sans Medium">
    <w:panose1 w:val="00000000000000000000"/>
    <w:charset w:val="4D"/>
    <w:family w:val="auto"/>
    <w:pitch w:val="variable"/>
    <w:sig w:usb0="A10000FF" w:usb1="4000607B" w:usb2="00000000" w:usb3="00000000" w:csb0="00000193" w:csb1="00000000"/>
  </w:font>
  <w:font w:name="Plus Jakarta Sans ExtraLight">
    <w:panose1 w:val="00000000000000000000"/>
    <w:charset w:val="4D"/>
    <w:family w:val="auto"/>
    <w:pitch w:val="variable"/>
    <w:sig w:usb0="A10000FF" w:usb1="40006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2ED3AC" w14:textId="063594D8" w:rsidR="003E3485" w:rsidRDefault="00000000" w:rsidP="0091506E">
    <w:pPr>
      <w:tabs>
        <w:tab w:val="left" w:pos="0"/>
        <w:tab w:val="right" w:pos="9768"/>
      </w:tabs>
    </w:pPr>
    <w:r w:rsidRPr="0091506E">
      <w:rPr>
        <w:rFonts w:ascii="Plus Jakarta Sans ExtraLight" w:hAnsi="Plus Jakarta Sans ExtraLight"/>
        <w:i/>
        <w:iCs/>
        <w:color w:val="7F7F7F" w:themeColor="text1" w:themeTint="80"/>
        <w:sz w:val="16"/>
        <w:szCs w:val="16"/>
      </w:rPr>
      <w:t xml:space="preserve">Document de référence </w:t>
    </w:r>
    <w:r w:rsidR="0091506E" w:rsidRPr="0091506E">
      <w:rPr>
        <w:rFonts w:ascii="Plus Jakarta Sans ExtraLight" w:hAnsi="Plus Jakarta Sans ExtraLight"/>
        <w:i/>
        <w:iCs/>
        <w:color w:val="7F7F7F" w:themeColor="text1" w:themeTint="80"/>
        <w:sz w:val="16"/>
        <w:szCs w:val="16"/>
      </w:rPr>
      <w:t>interne | S</w:t>
    </w:r>
    <w:r w:rsidRPr="0091506E">
      <w:rPr>
        <w:rFonts w:ascii="Plus Jakarta Sans ExtraLight" w:hAnsi="Plus Jakarta Sans ExtraLight"/>
        <w:i/>
        <w:iCs/>
        <w:color w:val="7F7F7F" w:themeColor="text1" w:themeTint="80"/>
        <w:sz w:val="16"/>
        <w:szCs w:val="16"/>
      </w:rPr>
      <w:t>eptembre 2026</w:t>
    </w:r>
    <w:r w:rsidR="0091506E">
      <w:tab/>
    </w:r>
    <w:r w:rsidRPr="0091506E">
      <w:fldChar w:fldCharType="begin"/>
    </w:r>
    <w:r w:rsidRPr="0091506E">
      <w:instrText>PAGE</w:instrText>
    </w:r>
    <w:r w:rsidRPr="0091506E">
      <w:fldChar w:fldCharType="separate"/>
    </w:r>
    <w:r w:rsidR="00404A09" w:rsidRPr="0091506E">
      <w:rPr>
        <w:noProof/>
      </w:rPr>
      <w:t>0</w:t>
    </w:r>
    <w:r w:rsidRPr="0091506E">
      <w:fldChar w:fldCharType="end"/>
    </w:r>
    <w:r w:rsidRPr="0091506E">
      <w:t xml:space="preserve"> / </w:t>
    </w:r>
    <w:r w:rsidRPr="0091506E">
      <w:fldChar w:fldCharType="begin"/>
    </w:r>
    <w:r w:rsidRPr="0091506E">
      <w:instrText>NUMPAGES</w:instrText>
    </w:r>
    <w:r w:rsidRPr="0091506E">
      <w:fldChar w:fldCharType="separate"/>
    </w:r>
    <w:r w:rsidR="00404A09" w:rsidRPr="0091506E">
      <w:rPr>
        <w:noProof/>
      </w:rPr>
      <w:t>1</w:t>
    </w:r>
    <w:r w:rsidRPr="0091506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74475B" w14:textId="386ADE85" w:rsidR="003E3485" w:rsidRDefault="00000000">
    <w:pPr>
      <w:pStyle w:val="Footer"/>
      <w:jc w:val="right"/>
    </w:pPr>
    <w:r>
      <w:rPr>
        <w:rFonts w:ascii="Nimbus Sans" w:hAnsi="Nimbus Sans"/>
        <w:color w:val="545B63"/>
        <w:sz w:val="16"/>
      </w:rPr>
      <w:t xml:space="preserve">Document de référence interne </w:t>
    </w:r>
    <w:proofErr w:type="gramStart"/>
    <w:r>
      <w:rPr>
        <w:rFonts w:ascii="Nimbus Sans" w:hAnsi="Nimbus Sans"/>
        <w:color w:val="545B63"/>
        <w:sz w:val="16"/>
      </w:rPr>
      <w:t>|  30</w:t>
    </w:r>
    <w:proofErr w:type="gramEnd"/>
    <w:r>
      <w:rPr>
        <w:rFonts w:ascii="Nimbus Sans" w:hAnsi="Nimbus Sans"/>
        <w:color w:val="545B63"/>
        <w:sz w:val="16"/>
      </w:rPr>
      <w:t xml:space="preserve"> septembre 2026     </w:t>
    </w:r>
    <w:r>
      <w:fldChar w:fldCharType="begin"/>
    </w:r>
    <w:r>
      <w:instrText>PAGE</w:instrText>
    </w:r>
    <w:r>
      <w:fldChar w:fldCharType="separate"/>
    </w:r>
    <w:r w:rsidR="00404A09">
      <w:rPr>
        <w:noProof/>
      </w:rPr>
      <w:t>0</w:t>
    </w:r>
    <w:r>
      <w:fldChar w:fldCharType="end"/>
    </w:r>
    <w:r>
      <w:rPr>
        <w:sz w:val="16"/>
      </w:rPr>
      <w:t xml:space="preserve"> / </w:t>
    </w:r>
    <w:r>
      <w:fldChar w:fldCharType="begin"/>
    </w:r>
    <w:r>
      <w:instrText>NUMPAGES</w:instrText>
    </w:r>
    <w:r>
      <w:fldChar w:fldCharType="separate"/>
    </w:r>
    <w:r w:rsidR="00404A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643084" w14:textId="77777777" w:rsidR="00BB3872" w:rsidRDefault="00BB3872">
      <w:pPr>
        <w:spacing w:before="0" w:after="0"/>
      </w:pPr>
      <w:r>
        <w:separator/>
      </w:r>
    </w:p>
  </w:footnote>
  <w:footnote w:type="continuationSeparator" w:id="0">
    <w:p w14:paraId="6F2AC8BC" w14:textId="77777777" w:rsidR="00BB3872" w:rsidRDefault="00BB387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6C4D0" w14:textId="329A4985" w:rsidR="003E3485" w:rsidRDefault="00000000">
    <w:pPr>
      <w:pStyle w:val="Header"/>
    </w:pPr>
    <w:r w:rsidRPr="0091506E">
      <w:rPr>
        <w:b/>
        <w:bCs/>
        <w:color w:val="1D4F91"/>
        <w:sz w:val="17"/>
      </w:rPr>
      <w:t>IRESEN</w:t>
    </w:r>
    <w:r w:rsidRPr="0091506E">
      <w:rPr>
        <w:color w:val="1D4F91"/>
        <w:sz w:val="17"/>
      </w:rPr>
      <w:t xml:space="preserve"> </w:t>
    </w:r>
    <w:r w:rsidR="0091506E" w:rsidRPr="0091506E">
      <w:rPr>
        <w:color w:val="507F70"/>
        <w:sz w:val="17"/>
      </w:rPr>
      <w:t>|</w:t>
    </w:r>
    <w:r w:rsidR="0091506E">
      <w:rPr>
        <w:color w:val="000000"/>
        <w:sz w:val="17"/>
      </w:rPr>
      <w:t xml:space="preserve"> Narratif</w:t>
    </w:r>
    <w:r>
      <w:rPr>
        <w:color w:val="000000"/>
        <w:sz w:val="17"/>
      </w:rPr>
      <w:t xml:space="preserve"> institutionnel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F344F5"/>
    <w:multiLevelType w:val="multilevel"/>
    <w:tmpl w:val="91FC057E"/>
    <w:lvl w:ilvl="0">
      <w:start w:val="1"/>
      <w:numFmt w:val="decimal"/>
      <w:pStyle w:val="Heading1"/>
      <w:suff w:val="space"/>
      <w:lvlText w:val="%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43D74234"/>
    <w:multiLevelType w:val="hybridMultilevel"/>
    <w:tmpl w:val="30AED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935A15"/>
    <w:multiLevelType w:val="multilevel"/>
    <w:tmpl w:val="B7944516"/>
    <w:styleLink w:val="CurrentList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2510949"/>
    <w:multiLevelType w:val="hybridMultilevel"/>
    <w:tmpl w:val="236C2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0851449">
    <w:abstractNumId w:val="8"/>
  </w:num>
  <w:num w:numId="2" w16cid:durableId="2082676892">
    <w:abstractNumId w:val="6"/>
  </w:num>
  <w:num w:numId="3" w16cid:durableId="1779717984">
    <w:abstractNumId w:val="5"/>
  </w:num>
  <w:num w:numId="4" w16cid:durableId="1511872477">
    <w:abstractNumId w:val="4"/>
  </w:num>
  <w:num w:numId="5" w16cid:durableId="942807416">
    <w:abstractNumId w:val="7"/>
  </w:num>
  <w:num w:numId="6" w16cid:durableId="1043165976">
    <w:abstractNumId w:val="3"/>
  </w:num>
  <w:num w:numId="7" w16cid:durableId="1745956932">
    <w:abstractNumId w:val="2"/>
  </w:num>
  <w:num w:numId="8" w16cid:durableId="1768387454">
    <w:abstractNumId w:val="1"/>
  </w:num>
  <w:num w:numId="9" w16cid:durableId="72818594">
    <w:abstractNumId w:val="0"/>
  </w:num>
  <w:num w:numId="10" w16cid:durableId="1529683468">
    <w:abstractNumId w:val="9"/>
  </w:num>
  <w:num w:numId="11" w16cid:durableId="585655205">
    <w:abstractNumId w:val="11"/>
  </w:num>
  <w:num w:numId="12" w16cid:durableId="2133923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5607290">
    <w:abstractNumId w:val="9"/>
  </w:num>
  <w:num w:numId="14" w16cid:durableId="475992366">
    <w:abstractNumId w:val="9"/>
  </w:num>
  <w:num w:numId="15" w16cid:durableId="1664435810">
    <w:abstractNumId w:val="9"/>
  </w:num>
  <w:num w:numId="16" w16cid:durableId="783042891">
    <w:abstractNumId w:val="9"/>
  </w:num>
  <w:num w:numId="17" w16cid:durableId="1611427285">
    <w:abstractNumId w:val="9"/>
  </w:num>
  <w:num w:numId="18" w16cid:durableId="902984510">
    <w:abstractNumId w:val="9"/>
  </w:num>
  <w:num w:numId="19" w16cid:durableId="607470236">
    <w:abstractNumId w:val="9"/>
  </w:num>
  <w:num w:numId="20" w16cid:durableId="929310957">
    <w:abstractNumId w:val="10"/>
  </w:num>
  <w:num w:numId="21" w16cid:durableId="442576185">
    <w:abstractNumId w:val="12"/>
  </w:num>
  <w:num w:numId="22" w16cid:durableId="11228415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43"/>
    <w:rsid w:val="00005AD8"/>
    <w:rsid w:val="00034616"/>
    <w:rsid w:val="0006063C"/>
    <w:rsid w:val="00076206"/>
    <w:rsid w:val="000767D7"/>
    <w:rsid w:val="00096747"/>
    <w:rsid w:val="000F01BA"/>
    <w:rsid w:val="000F2882"/>
    <w:rsid w:val="00100943"/>
    <w:rsid w:val="00102FB1"/>
    <w:rsid w:val="0015074B"/>
    <w:rsid w:val="001540DC"/>
    <w:rsid w:val="00155E54"/>
    <w:rsid w:val="001644EE"/>
    <w:rsid w:val="00171800"/>
    <w:rsid w:val="00191E39"/>
    <w:rsid w:val="001B07E2"/>
    <w:rsid w:val="001D3569"/>
    <w:rsid w:val="001E65FE"/>
    <w:rsid w:val="001F0F80"/>
    <w:rsid w:val="0029639D"/>
    <w:rsid w:val="002B6F47"/>
    <w:rsid w:val="002F0808"/>
    <w:rsid w:val="00326F90"/>
    <w:rsid w:val="003338E8"/>
    <w:rsid w:val="00344E11"/>
    <w:rsid w:val="003551B2"/>
    <w:rsid w:val="0036419A"/>
    <w:rsid w:val="00382967"/>
    <w:rsid w:val="003949FB"/>
    <w:rsid w:val="003D207D"/>
    <w:rsid w:val="003E3485"/>
    <w:rsid w:val="00404A09"/>
    <w:rsid w:val="00473EF7"/>
    <w:rsid w:val="00477B51"/>
    <w:rsid w:val="00481943"/>
    <w:rsid w:val="00527987"/>
    <w:rsid w:val="00552E04"/>
    <w:rsid w:val="00567174"/>
    <w:rsid w:val="005B4C9F"/>
    <w:rsid w:val="005B4CD9"/>
    <w:rsid w:val="005E1B13"/>
    <w:rsid w:val="00615AC2"/>
    <w:rsid w:val="00633B69"/>
    <w:rsid w:val="00691C78"/>
    <w:rsid w:val="00697803"/>
    <w:rsid w:val="006B54F7"/>
    <w:rsid w:val="00712278"/>
    <w:rsid w:val="00761DA8"/>
    <w:rsid w:val="00787D8F"/>
    <w:rsid w:val="007A2EB3"/>
    <w:rsid w:val="007A5269"/>
    <w:rsid w:val="007F7DE7"/>
    <w:rsid w:val="00814761"/>
    <w:rsid w:val="008643F8"/>
    <w:rsid w:val="00884BF2"/>
    <w:rsid w:val="008A226B"/>
    <w:rsid w:val="008C32D5"/>
    <w:rsid w:val="0091506E"/>
    <w:rsid w:val="009C0CCA"/>
    <w:rsid w:val="009D3D1E"/>
    <w:rsid w:val="009E4A35"/>
    <w:rsid w:val="00A0695A"/>
    <w:rsid w:val="00A403D7"/>
    <w:rsid w:val="00A467A3"/>
    <w:rsid w:val="00A62010"/>
    <w:rsid w:val="00AA1D8D"/>
    <w:rsid w:val="00AB3C1C"/>
    <w:rsid w:val="00AB4EBA"/>
    <w:rsid w:val="00AD3EA6"/>
    <w:rsid w:val="00B02514"/>
    <w:rsid w:val="00B21514"/>
    <w:rsid w:val="00B23385"/>
    <w:rsid w:val="00B47730"/>
    <w:rsid w:val="00BA53FA"/>
    <w:rsid w:val="00BA687E"/>
    <w:rsid w:val="00BB3872"/>
    <w:rsid w:val="00BF18DD"/>
    <w:rsid w:val="00C26449"/>
    <w:rsid w:val="00C53891"/>
    <w:rsid w:val="00C764B7"/>
    <w:rsid w:val="00CB0664"/>
    <w:rsid w:val="00CC081E"/>
    <w:rsid w:val="00CE373B"/>
    <w:rsid w:val="00CF325C"/>
    <w:rsid w:val="00D1163C"/>
    <w:rsid w:val="00D32ECE"/>
    <w:rsid w:val="00D331B3"/>
    <w:rsid w:val="00D84E5A"/>
    <w:rsid w:val="00DC0728"/>
    <w:rsid w:val="00DE62D7"/>
    <w:rsid w:val="00DE7AE3"/>
    <w:rsid w:val="00DF411F"/>
    <w:rsid w:val="00E52338"/>
    <w:rsid w:val="00E6473D"/>
    <w:rsid w:val="00EB0E1C"/>
    <w:rsid w:val="00EB2B05"/>
    <w:rsid w:val="00ED4C43"/>
    <w:rsid w:val="00EF5E1B"/>
    <w:rsid w:val="00F23DBD"/>
    <w:rsid w:val="00F264D2"/>
    <w:rsid w:val="00FC693F"/>
    <w:rsid w:val="00FD4869"/>
    <w:rsid w:val="00FE3FE4"/>
    <w:rsid w:val="00FF7C1E"/>
    <w:rsid w:val="73B927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6D2853-68CF-4E49-B885-7F26FD6B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87E"/>
    <w:pPr>
      <w:spacing w:before="120" w:after="120" w:line="240" w:lineRule="auto"/>
      <w:jc w:val="both"/>
    </w:pPr>
    <w:rPr>
      <w:rFonts w:ascii="Plus Jakarta Sans Light" w:eastAsia="Nimbus Sans" w:hAnsi="Plus Jakarta Sans Light" w:cs="Nimbus Sans"/>
      <w:color w:val="404040" w:themeColor="text1" w:themeTint="BF"/>
      <w:lang w:val="fr-FR"/>
    </w:rPr>
  </w:style>
  <w:style w:type="paragraph" w:styleId="Heading1">
    <w:name w:val="heading 1"/>
    <w:basedOn w:val="Normal"/>
    <w:next w:val="Normal"/>
    <w:link w:val="Heading1Char"/>
    <w:uiPriority w:val="9"/>
    <w:qFormat/>
    <w:rsid w:val="000767D7"/>
    <w:pPr>
      <w:keepNext/>
      <w:keepLines/>
      <w:numPr>
        <w:numId w:val="10"/>
      </w:numPr>
      <w:spacing w:after="240"/>
      <w:outlineLvl w:val="0"/>
    </w:pPr>
    <w:rPr>
      <w:rFonts w:ascii="Plus Jakarta Sans" w:eastAsiaTheme="majorEastAsia" w:hAnsi="Plus Jakarta Sans" w:cstheme="majorBidi"/>
      <w:b/>
      <w:bCs/>
      <w:color w:val="1D4F91"/>
      <w:sz w:val="32"/>
      <w:szCs w:val="28"/>
    </w:rPr>
  </w:style>
  <w:style w:type="paragraph" w:styleId="Heading2">
    <w:name w:val="heading 2"/>
    <w:basedOn w:val="Normal"/>
    <w:next w:val="Normal"/>
    <w:link w:val="Heading2Char"/>
    <w:uiPriority w:val="9"/>
    <w:unhideWhenUsed/>
    <w:qFormat/>
    <w:rsid w:val="00633B69"/>
    <w:pPr>
      <w:keepNext/>
      <w:keepLines/>
      <w:numPr>
        <w:ilvl w:val="1"/>
        <w:numId w:val="10"/>
      </w:numPr>
      <w:outlineLvl w:val="1"/>
    </w:pPr>
    <w:rPr>
      <w:rFonts w:ascii="Plus Jakarta Sans SemiBold" w:eastAsiaTheme="majorEastAsia" w:hAnsi="Plus Jakarta Sans SemiBold" w:cstheme="majorBidi"/>
      <w:b/>
      <w:bCs/>
      <w:color w:val="507F70"/>
      <w:sz w:val="28"/>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6B54F7"/>
    <w:pPr>
      <w:spacing w:before="0" w:after="0"/>
      <w:jc w:val="left"/>
    </w:pPr>
  </w:style>
  <w:style w:type="character" w:customStyle="1" w:styleId="Heading1Char">
    <w:name w:val="Heading 1 Char"/>
    <w:basedOn w:val="DefaultParagraphFont"/>
    <w:link w:val="Heading1"/>
    <w:uiPriority w:val="9"/>
    <w:rsid w:val="000767D7"/>
    <w:rPr>
      <w:rFonts w:ascii="Plus Jakarta Sans" w:eastAsiaTheme="majorEastAsia" w:hAnsi="Plus Jakarta Sans" w:cstheme="majorBidi"/>
      <w:b/>
      <w:bCs/>
      <w:color w:val="1D4F91"/>
      <w:sz w:val="32"/>
      <w:szCs w:val="28"/>
      <w:lang w:val="fr-FR"/>
    </w:rPr>
  </w:style>
  <w:style w:type="character" w:customStyle="1" w:styleId="Heading2Char">
    <w:name w:val="Heading 2 Char"/>
    <w:basedOn w:val="DefaultParagraphFont"/>
    <w:link w:val="Heading2"/>
    <w:uiPriority w:val="9"/>
    <w:rsid w:val="00633B69"/>
    <w:rPr>
      <w:rFonts w:ascii="Plus Jakarta Sans SemiBold" w:eastAsiaTheme="majorEastAsia" w:hAnsi="Plus Jakarta Sans SemiBold" w:cstheme="majorBidi"/>
      <w:b/>
      <w:bCs/>
      <w:color w:val="507F70"/>
      <w:sz w:val="28"/>
      <w:szCs w:val="26"/>
      <w:lang w:val="fr-F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096747"/>
    <w:pPr>
      <w:spacing w:after="240" w:line="250" w:lineRule="auto"/>
      <w:contextualSpacing/>
    </w:pPr>
    <w:rPr>
      <w:rFonts w:ascii="Plus Jakarta Sans ExtraBold" w:eastAsiaTheme="majorEastAsia" w:hAnsi="Plus Jakarta Sans ExtraBold" w:cs="Times New Roman (Headings CS)"/>
      <w:b/>
      <w:caps/>
      <w:color w:val="4698CA"/>
      <w:spacing w:val="5"/>
      <w:kern w:val="28"/>
      <w:sz w:val="54"/>
      <w:szCs w:val="52"/>
    </w:rPr>
  </w:style>
  <w:style w:type="character" w:customStyle="1" w:styleId="TitleChar">
    <w:name w:val="Title Char"/>
    <w:basedOn w:val="DefaultParagraphFont"/>
    <w:link w:val="Title"/>
    <w:uiPriority w:val="10"/>
    <w:rsid w:val="00096747"/>
    <w:rPr>
      <w:rFonts w:ascii="Plus Jakarta Sans ExtraBold" w:eastAsiaTheme="majorEastAsia" w:hAnsi="Plus Jakarta Sans ExtraBold" w:cs="Times New Roman (Headings CS)"/>
      <w:b/>
      <w:caps/>
      <w:color w:val="4698CA"/>
      <w:spacing w:val="5"/>
      <w:kern w:val="28"/>
      <w:sz w:val="54"/>
      <w:szCs w:val="52"/>
      <w:lang w:val="fr-FR"/>
    </w:rPr>
  </w:style>
  <w:style w:type="paragraph" w:styleId="Subtitle">
    <w:name w:val="Subtitle"/>
    <w:basedOn w:val="Normal"/>
    <w:next w:val="Normal"/>
    <w:link w:val="SubtitleChar"/>
    <w:uiPriority w:val="11"/>
    <w:qFormat/>
    <w:rsid w:val="00005AD8"/>
    <w:pPr>
      <w:numPr>
        <w:ilvl w:val="1"/>
      </w:numPr>
      <w:spacing w:after="320"/>
      <w:jc w:val="left"/>
    </w:pPr>
    <w:rPr>
      <w:rFonts w:asciiTheme="majorHAnsi" w:eastAsiaTheme="majorEastAsia" w:hAnsiTheme="majorHAnsi" w:cstheme="majorBidi"/>
      <w:i/>
      <w:iCs/>
      <w:color w:val="7F7F7F" w:themeColor="text1" w:themeTint="80"/>
      <w:spacing w:val="15"/>
      <w:sz w:val="30"/>
      <w:szCs w:val="24"/>
    </w:rPr>
  </w:style>
  <w:style w:type="character" w:customStyle="1" w:styleId="SubtitleChar">
    <w:name w:val="Subtitle Char"/>
    <w:basedOn w:val="DefaultParagraphFont"/>
    <w:link w:val="Subtitle"/>
    <w:uiPriority w:val="11"/>
    <w:rsid w:val="00005AD8"/>
    <w:rPr>
      <w:rFonts w:asciiTheme="majorHAnsi" w:eastAsiaTheme="majorEastAsia" w:hAnsiTheme="majorHAnsi" w:cstheme="majorBidi"/>
      <w:i/>
      <w:iCs/>
      <w:color w:val="7F7F7F" w:themeColor="text1" w:themeTint="80"/>
      <w:spacing w:val="15"/>
      <w:sz w:val="30"/>
      <w:szCs w:val="24"/>
      <w:lang w:val="fr-F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rFonts w:ascii="Nimbus Sans" w:hAnsi="Nimbus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Nimbus Sans" w:hAnsi="Nimbus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D207D"/>
    <w:pPr>
      <w:spacing w:before="360" w:after="360"/>
      <w:jc w:val="center"/>
    </w:pPr>
    <w:rPr>
      <w:i/>
      <w:color w:val="7F7F7F" w:themeColor="text1" w:themeTint="80"/>
      <w:sz w:val="28"/>
    </w:rPr>
  </w:style>
  <w:style w:type="character" w:customStyle="1" w:styleId="QuoteChar">
    <w:name w:val="Quote Char"/>
    <w:basedOn w:val="DefaultParagraphFont"/>
    <w:link w:val="Quote"/>
    <w:uiPriority w:val="29"/>
    <w:rsid w:val="003D207D"/>
    <w:rPr>
      <w:rFonts w:ascii="Plus Jakarta Sans Light" w:eastAsia="Nimbus Sans" w:hAnsi="Plus Jakarta Sans Light" w:cs="Nimbus Sans"/>
      <w:i/>
      <w:color w:val="7F7F7F" w:themeColor="text1" w:themeTint="80"/>
      <w:sz w:val="28"/>
      <w:lang w:val="fr-F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pPr>
    <w:rPr>
      <w:rFonts w:ascii="Nimbus Sans" w:hAnsi="Nimbus Sans"/>
      <w:b/>
      <w:bCs/>
      <w:color w:val="4B53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D32ECE"/>
    <w:pPr>
      <w:spacing w:after="0" w:line="240" w:lineRule="auto"/>
    </w:pPr>
    <w:rPr>
      <w:rFonts w:ascii="Plus Jakarta Sans Light" w:hAnsi="Plus Jakarta Sans Light"/>
      <w:color w:val="404040" w:themeColor="text1" w:themeTint="BF"/>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rPr>
        <w:rFonts w:ascii="Plus Jakarta Sans" w:hAnsi="Plus Jakarta Sans"/>
        <w:b/>
        <w:i w:val="0"/>
        <w:color w:val="FFFFFF" w:themeColor="background1"/>
      </w:rPr>
    </w:tblStyle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615AC2"/>
    <w:pPr>
      <w:numPr>
        <w:numId w:val="11"/>
      </w:numPr>
    </w:pPr>
  </w:style>
  <w:style w:type="table" w:customStyle="1" w:styleId="MyStyle">
    <w:name w:val="My Style"/>
    <w:basedOn w:val="TableNormal"/>
    <w:uiPriority w:val="99"/>
    <w:rsid w:val="000767D7"/>
    <w:pPr>
      <w:spacing w:after="0" w:line="240" w:lineRule="auto"/>
    </w:pPr>
    <w:rPr>
      <w:rFonts w:ascii="Plus Jakarta Sans Light" w:hAnsi="Plus Jakarta Sans Light"/>
      <w:color w:val="404040" w:themeColor="text1" w:themeTint="BF"/>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42" w:type="dxa"/>
        <w:left w:w="142" w:type="dxa"/>
        <w:bottom w:w="142" w:type="dxa"/>
        <w:right w:w="142" w:type="dxa"/>
      </w:tblCellMar>
    </w:tblPr>
    <w:tblStylePr w:type="firstRow">
      <w:rPr>
        <w:rFonts w:ascii="Plus Jakarta Sans" w:hAnsi="Plus Jakarta Sans"/>
        <w:b/>
        <w:i w:val="0"/>
        <w:color w:val="F79646" w:themeColor="accent6"/>
      </w:rPr>
      <w:tblPr/>
      <w:tcPr>
        <w:shd w:val="clear" w:color="auto" w:fill="1D4F91"/>
      </w:tcPr>
    </w:tblStylePr>
    <w:tblStylePr w:type="band2Horz">
      <w:tblPr/>
      <w:tcPr>
        <w:shd w:val="clear" w:color="auto" w:fill="F2F2F2" w:themeFill="background1" w:themeFillShade="F2"/>
      </w:tcPr>
    </w:tblStylePr>
  </w:style>
  <w:style w:type="table" w:customStyle="1" w:styleId="Style1">
    <w:name w:val="Style1"/>
    <w:basedOn w:val="TableNormal"/>
    <w:uiPriority w:val="99"/>
    <w:rsid w:val="00D32ECE"/>
    <w:pPr>
      <w:spacing w:after="0" w:line="240" w:lineRule="auto"/>
    </w:pPr>
    <w:tblPr>
      <w:tblStyleRowBandSize w:val="1"/>
    </w:tblPr>
    <w:tblStylePr w:type="band2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A62010"/>
    <w:pPr>
      <w:spacing w:before="0" w:after="0"/>
    </w:pPr>
    <w:rPr>
      <w:sz w:val="20"/>
      <w:szCs w:val="20"/>
    </w:rPr>
  </w:style>
  <w:style w:type="character" w:customStyle="1" w:styleId="FootnoteTextChar">
    <w:name w:val="Footnote Text Char"/>
    <w:basedOn w:val="DefaultParagraphFont"/>
    <w:link w:val="FootnoteText"/>
    <w:uiPriority w:val="99"/>
    <w:semiHidden/>
    <w:rsid w:val="00A62010"/>
    <w:rPr>
      <w:rFonts w:ascii="Plus Jakarta Sans Light" w:eastAsia="Nimbus Sans" w:hAnsi="Plus Jakarta Sans Light" w:cs="Nimbus Sans"/>
      <w:color w:val="404040" w:themeColor="text1" w:themeTint="BF"/>
      <w:sz w:val="20"/>
      <w:szCs w:val="20"/>
      <w:lang w:val="fr-FR"/>
    </w:rPr>
  </w:style>
  <w:style w:type="character" w:styleId="FootnoteReference">
    <w:name w:val="footnote reference"/>
    <w:basedOn w:val="DefaultParagraphFont"/>
    <w:uiPriority w:val="99"/>
    <w:semiHidden/>
    <w:unhideWhenUsed/>
    <w:rsid w:val="00A620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E854A43135B94E863C3FD13BDBBE78" ma:contentTypeVersion="3" ma:contentTypeDescription="Crée un document." ma:contentTypeScope="" ma:versionID="19626e5babcb532b7dd067d384b7d8da">
  <xsd:schema xmlns:xsd="http://www.w3.org/2001/XMLSchema" xmlns:xs="http://www.w3.org/2001/XMLSchema" xmlns:p="http://schemas.microsoft.com/office/2006/metadata/properties" xmlns:ns2="48badf90-79d9-406c-8f23-34ec84cec573" targetNamespace="http://schemas.microsoft.com/office/2006/metadata/properties" ma:root="true" ma:fieldsID="77dbf9d0f0376518a027f48db6c8c078" ns2:_="">
    <xsd:import namespace="48badf90-79d9-406c-8f23-34ec84cec57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adf90-79d9-406c-8f23-34ec84cec5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2288CC3-7BC6-4E74-B929-DC6F0BE9AE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adf90-79d9-406c-8f23-34ec84cec5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8D628A-5844-4CC4-8461-8D321C1FA06A}">
  <ds:schemaRefs>
    <ds:schemaRef ds:uri="http://schemas.microsoft.com/sharepoint/v3/contenttype/forms"/>
  </ds:schemaRefs>
</ds:datastoreItem>
</file>

<file path=customXml/itemProps4.xml><?xml version="1.0" encoding="utf-8"?>
<ds:datastoreItem xmlns:ds="http://schemas.openxmlformats.org/officeDocument/2006/customXml" ds:itemID="{054AD266-AAAA-4308-A19D-E06437819C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11</Pages>
  <Words>3843</Words>
  <Characters>23679</Characters>
  <Application>Microsoft Office Word</Application>
  <DocSecurity>0</DocSecurity>
  <Lines>514</Lines>
  <Paragraphs>252</Paragraphs>
  <ScaleCrop>false</ScaleCrop>
  <HeadingPairs>
    <vt:vector size="2" baseType="variant">
      <vt:variant>
        <vt:lpstr>Title</vt:lpstr>
      </vt:variant>
      <vt:variant>
        <vt:i4>1</vt:i4>
      </vt:variant>
    </vt:vector>
  </HeadingPairs>
  <TitlesOfParts>
    <vt:vector size="1" baseType="lpstr">
      <vt:lpstr>Narratif institutionnel IRESEN 2035</vt:lpstr>
    </vt:vector>
  </TitlesOfParts>
  <Manager/>
  <Company/>
  <LinksUpToDate>false</LinksUpToDate>
  <CharactersWithSpaces>27270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Narratif institutionnel IRESEN 2035</dc:title>
  <dc:subject>Phase 1 Architecture du narratif et orientations retenues</dc:subject>
  <dc:creator>IRESEN</dc:creator>
  <cp:keywords>IRESEN, 2035, narratif institutionnel, phase 2, architecture, Message House</cp:keywords>
  <dc:description>Version 3.0 du 30 septembre 2026. Synthèse des orientations retenues pour le partage interne.</dc:description>
  <cp:lastModifiedBy>Mouhcine BENMEZIANE</cp:lastModifiedBy>
  <cp:revision>89</cp:revision>
  <cp:lastPrinted>2026-10-04T14:24:00Z</cp:lastPrinted>
  <dcterms:created xsi:type="dcterms:W3CDTF">2026-09-29T16:50:00Z</dcterms:created>
  <dcterms:modified xsi:type="dcterms:W3CDTF">2026-10-07T14:30:00Z</dcterms:modified>
  <cp:category/>
  <cp:version>3.1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0x01010084E854A43135B94E863C3FD13BDBBE78</vt:lpwstr>
  </property>
</Properties>
</file>