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L&amp;T-Data Analytics Exercise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1. Create a line graph interpreting the data and mention the steps one by one.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Selected Number of languages known column for analysis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Performed data cleaning by removing blank values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Created line graph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2. Create a bar cha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2836895</wp:posOffset>
            </wp:positionV>
            <wp:extent cx="5486400" cy="1895409"/>
            <wp:effectExtent l="0" t="0" r="0" b="0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5353232</wp:posOffset>
            </wp:positionV>
            <wp:extent cx="5486400" cy="1983376"/>
            <wp:effectExtent l="0" t="0" r="0" b="0"/>
            <wp:wrapTopAndBottom distT="152400" distB="152400"/>
            <wp:docPr id="1073741826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anchor>
        </w:drawing>
      </w:r>
      <w:r>
        <w:rPr>
          <w:b w:val="1"/>
          <w:bCs w:val="1"/>
          <w:rtl w:val="0"/>
          <w:lang w:val="en-US"/>
        </w:rPr>
        <w:t>rt and interpret the data and mention stepwise procedure.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Selected Devices used to study column for the analysis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Used Proper(Trim()) to clean the data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Created Bar Graph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Create a pie chart and interpret the result and mention stepwise procedure.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4. Mention three Excel formulas and method of applying it, paste the formula along with both input and output.</w:t>
      </w:r>
    </w:p>
    <w:p>
      <w:pPr>
        <w:pStyle w:val="Body"/>
      </w:pPr>
      <w:r>
        <w:rPr>
          <w:rtl w:val="0"/>
          <w:lang w:val="en-US"/>
        </w:rPr>
        <w:t>=SUM(Number of languages known) = 196</w:t>
      </w:r>
    </w:p>
    <w:p>
      <w:pPr>
        <w:pStyle w:val="Body"/>
      </w:pPr>
      <w:r>
        <w:rPr>
          <w:rtl w:val="0"/>
          <w:lang w:val="en-US"/>
        </w:rPr>
        <w:t xml:space="preserve">=AVERAGE(Number of languages 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1979693</wp:posOffset>
            </wp:positionH>
            <wp:positionV relativeFrom="page">
              <wp:posOffset>180445</wp:posOffset>
            </wp:positionV>
            <wp:extent cx="3813014" cy="2615990"/>
            <wp:effectExtent l="0" t="0" r="0" b="0"/>
            <wp:wrapTopAndBottom distT="152400" distB="152400"/>
            <wp:docPr id="1073741827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anchor>
        </w:drawing>
      </w:r>
      <w:r>
        <w:rPr>
          <w:rtl w:val="0"/>
          <w:lang w:val="en-US"/>
        </w:rPr>
        <w:t>known) = 4</w:t>
      </w:r>
    </w:p>
    <w:p>
      <w:pPr>
        <w:pStyle w:val="Body"/>
      </w:pPr>
      <w:r>
        <w:rPr>
          <w:rtl w:val="0"/>
          <w:lang w:val="en-US"/>
        </w:rPr>
        <w:t>=COUNT(Number of languages known) = 49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5. Apply statistics to any of the columns and interpret the findings.</w:t>
      </w:r>
    </w:p>
    <w:tbl>
      <w:tblPr>
        <w:tblW w:w="220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53"/>
        <w:gridCol w:w="1051"/>
      </w:tblGrid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1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Median</w:t>
            </w:r>
          </w:p>
        </w:tc>
        <w:tc>
          <w:tcPr>
            <w:tcW w:type="dxa" w:w="10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right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1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Max</w:t>
            </w:r>
          </w:p>
        </w:tc>
        <w:tc>
          <w:tcPr>
            <w:tcW w:type="dxa" w:w="10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right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1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Min</w:t>
            </w:r>
          </w:p>
        </w:tc>
        <w:tc>
          <w:tcPr>
            <w:tcW w:type="dxa" w:w="10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right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453" w:hRule="atLeast"/>
        </w:trPr>
        <w:tc>
          <w:tcPr>
            <w:tcW w:type="dxa" w:w="11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Standard Deviation</w:t>
            </w:r>
          </w:p>
        </w:tc>
        <w:tc>
          <w:tcPr>
            <w:tcW w:type="dxa" w:w="10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after="0" w:line="240" w:lineRule="auto"/>
              <w:jc w:val="right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1.426696</w:t>
            </w:r>
          </w:p>
        </w:tc>
      </w:tr>
    </w:tbl>
    <w:p>
      <w:pPr>
        <w:pStyle w:val="Body"/>
        <w:widowControl w:val="0"/>
        <w:spacing w:line="240" w:lineRule="auto"/>
        <w:ind w:left="108" w:hanging="108"/>
        <w:rPr>
          <w:b w:val="1"/>
          <w:bCs w:val="1"/>
        </w:rPr>
      </w:pP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Performed statistics for number of languages known column</w:t>
      </w:r>
      <w:r/>
    </w:p>
    <w:sectPr>
      <w:headerReference w:type="default" r:id="rId7"/>
      <w:footerReference w:type="default" r:id="rId8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chart" Target="charts/chart1.xml"/><Relationship Id="rId5" Type="http://schemas.openxmlformats.org/officeDocument/2006/relationships/chart" Target="charts/chart2.xml"/><Relationship Id="rId6" Type="http://schemas.openxmlformats.org/officeDocument/2006/relationships/chart" Target="charts/chart3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1.xlsx"/></Relationships>
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2.xlsx"/></Relationships>
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3.xlsx"/>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title>
      <c:tx>
        <c:rich>
          <a:bodyPr rot="0"/>
          <a:lstStyle/>
          <a:p>
            <a:pPr>
              <a:defRPr b="1" i="0" strike="noStrike" sz="1800" u="none">
                <a:solidFill>
                  <a:srgbClr val="000000"/>
                </a:solidFill>
                <a:latin typeface="Arial"/>
              </a:defRPr>
            </a:pPr>
            <a:r>
              <a:rPr b="1" i="0" strike="noStrike" sz="1800" u="none">
                <a:solidFill>
                  <a:srgbClr val="000000"/>
                </a:solidFill>
                <a:latin typeface="Arial"/>
              </a:rPr>
              <a:t>Total</a:t>
            </a:r>
          </a:p>
        </c:rich>
      </c:tx>
      <c:layout>
        <c:manualLayout>
          <c:xMode val="edge"/>
          <c:yMode val="edge"/>
          <c:x val="0.227513"/>
          <c:y val="0"/>
          <c:w val="0.099528"/>
          <c:h val="0.201794"/>
        </c:manualLayout>
      </c:layout>
      <c:overlay val="1"/>
      <c:spPr>
        <a:noFill/>
        <a:effectLst/>
      </c:spPr>
    </c:title>
    <c:autoTitleDeleted val="1"/>
    <c:plotArea>
      <c:layout>
        <c:manualLayout>
          <c:layoutTarget val="inner"/>
          <c:xMode val="edge"/>
          <c:yMode val="edge"/>
          <c:x val="0.0602858"/>
          <c:y val="0.201794"/>
          <c:w val="0.491144"/>
          <c:h val="0.69704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Grand Total Number of languages known (Sum)</c:v>
                </c:pt>
              </c:strCache>
            </c:strRef>
          </c:tx>
          <c:spPr>
            <a:noFill/>
            <a:ln w="28575" cap="rnd">
              <a:solidFill>
                <a:srgbClr val="4285F4"/>
              </a:solidFill>
              <a:prstDash val="solid"/>
              <a:round/>
            </a:ln>
            <a:effectLst/>
          </c:spPr>
          <c:marker>
            <c:symbol val="none"/>
            <c:size val="4"/>
            <c:spPr>
              <a:noFill/>
              <a:ln w="28575" cap="rnd">
                <a:solidFill>
                  <a:srgbClr val="4285F4"/>
                </a:solidFill>
                <a:prstDash val="solid"/>
                <a:round/>
              </a:ln>
              <a:effectLst/>
            </c:spPr>
          </c:marker>
          <c:dLbls>
            <c:numFmt formatCode="General" sourceLinked="0"/>
            <c:txPr>
              <a:bodyPr/>
              <a:lstStyle/>
              <a:p>
                <a:pPr>
                  <a:defRPr b="0" i="0" strike="noStrike" sz="10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Sheet1!$A$2:$A$4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(blank)</c:v>
                </c:pt>
              </c:strCache>
            </c:strRef>
          </c:cat>
          <c:val>
            <c:numRef>
              <c:f>Sheet1!$B$2:$B$4</c:f>
              <c:numCache>
                <c:ptCount val="3"/>
                <c:pt idx="0">
                  <c:v>52.000000</c:v>
                </c:pt>
                <c:pt idx="1">
                  <c:v>139.000000</c:v>
                </c:pt>
                <c:pt idx="2">
                  <c:v>37.000000</c:v>
                </c:pt>
              </c:numCache>
            </c:numRef>
          </c:val>
          <c:smooth val="0"/>
        </c:ser>
        <c:marker val="1"/>
        <c:axId val="2094734552"/>
        <c:axId val="2094734553"/>
      </c:line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b="0" i="0" strike="noStrike" sz="900" u="none">
                <a:solidFill>
                  <a:srgbClr val="595959"/>
                </a:solidFill>
                <a:latin typeface="Arial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b="0" i="0" strike="noStrike" sz="900" u="none">
                <a:solidFill>
                  <a:srgbClr val="595959"/>
                </a:solidFill>
                <a:latin typeface="Arial"/>
              </a:defRPr>
            </a:pPr>
          </a:p>
        </c:txPr>
        <c:crossAx val="2094734552"/>
        <c:crosses val="autoZero"/>
        <c:crossBetween val="between"/>
        <c:majorUnit val="35"/>
        <c:minorUnit val="17.5"/>
      </c:valAx>
      <c:spPr>
        <a:noFill/>
        <a:ln w="12700" cap="flat">
          <a:noFill/>
          <a:miter lim="400000"/>
        </a:ln>
        <a:effectLst/>
      </c:spPr>
    </c:plotArea>
    <c:legend>
      <c:legendPos val="r"/>
      <c:layout>
        <c:manualLayout>
          <c:xMode val="edge"/>
          <c:yMode val="edge"/>
          <c:x val="0.502315"/>
          <c:y val="0.414534"/>
          <c:w val="0.497685"/>
          <c:h val="0.090031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900" u="none">
              <a:solidFill>
                <a:srgbClr val="595959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660739"/>
          <c:y val="0.0621469"/>
          <c:w val="0.535089"/>
          <c:h val="0.840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female Preffered time of study (Count (All))</c:v>
                </c:pt>
              </c:strCache>
            </c:strRef>
          </c:tx>
          <c:spPr>
            <a:solidFill>
              <a:srgbClr val="4285F4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General" sourceLinked="0"/>
            <c:txPr>
              <a:bodyPr/>
              <a:lstStyle/>
              <a:p>
                <a:pPr>
                  <a:defRPr b="0" i="0" strike="noStrike" sz="10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Sheet1!$A$2:$A$9</c:f>
              <c:strCache>
                <c:ptCount val="8"/>
                <c:pt idx="0">
                  <c:v>anytime</c:v>
                </c:pt>
                <c:pt idx="1">
                  <c:v>Day</c:v>
                </c:pt>
                <c:pt idx="2">
                  <c:v>Evening</c:v>
                </c:pt>
                <c:pt idx="3">
                  <c:v>morning</c:v>
                </c:pt>
                <c:pt idx="4">
                  <c:v>never</c:v>
                </c:pt>
                <c:pt idx="5">
                  <c:v>night</c:v>
                </c:pt>
                <c:pt idx="6">
                  <c:v>No study</c:v>
                </c:pt>
                <c:pt idx="7">
                  <c:v>(blank)</c:v>
                </c:pt>
              </c:strCache>
            </c:strRef>
          </c:cat>
          <c:val>
            <c:numRef>
              <c:f>Sheet1!$B$2:$B$9</c:f>
              <c:numCache>
                <c:ptCount val="4"/>
                <c:pt idx="2">
                  <c:v>3.000000</c:v>
                </c:pt>
                <c:pt idx="3">
                  <c:v>2.000000</c:v>
                </c:pt>
                <c:pt idx="4">
                  <c:v>2.000000</c:v>
                </c:pt>
                <c:pt idx="5">
                  <c:v>6.000000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male Preffered time of study (Count (All))</c:v>
                </c:pt>
              </c:strCache>
            </c:strRef>
          </c:tx>
          <c:spPr>
            <a:solidFill>
              <a:srgbClr val="EA4335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General" sourceLinked="0"/>
            <c:txPr>
              <a:bodyPr/>
              <a:lstStyle/>
              <a:p>
                <a:pPr>
                  <a:defRPr b="0" i="0" strike="noStrike" sz="10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Sheet1!$A$2:$A$9</c:f>
              <c:strCache>
                <c:ptCount val="8"/>
                <c:pt idx="0">
                  <c:v>anytime</c:v>
                </c:pt>
                <c:pt idx="1">
                  <c:v>Day</c:v>
                </c:pt>
                <c:pt idx="2">
                  <c:v>Evening</c:v>
                </c:pt>
                <c:pt idx="3">
                  <c:v>morning</c:v>
                </c:pt>
                <c:pt idx="4">
                  <c:v>never</c:v>
                </c:pt>
                <c:pt idx="5">
                  <c:v>night</c:v>
                </c:pt>
                <c:pt idx="6">
                  <c:v>No study</c:v>
                </c:pt>
                <c:pt idx="7">
                  <c:v>(blank)</c:v>
                </c:pt>
              </c:strCache>
            </c:strRef>
          </c:cat>
          <c:val>
            <c:numRef>
              <c:f>Sheet1!$C$2:$C$9</c:f>
              <c:numCache>
                <c:ptCount val="6"/>
                <c:pt idx="0">
                  <c:v>2.000000</c:v>
                </c:pt>
                <c:pt idx="1">
                  <c:v>1.000000</c:v>
                </c:pt>
                <c:pt idx="2">
                  <c:v>12.000000</c:v>
                </c:pt>
                <c:pt idx="3">
                  <c:v>5.000000</c:v>
                </c:pt>
                <c:pt idx="5">
                  <c:v>14.000000</c:v>
                </c:pt>
                <c:pt idx="6">
                  <c:v>2.000000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(blank) Preffered time of study (Count (All))</c:v>
                </c:pt>
              </c:strCache>
            </c:strRef>
          </c:tx>
          <c:spPr>
            <a:solidFill>
              <a:srgbClr val="FBBC04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General" sourceLinked="0"/>
            <c:txPr>
              <a:bodyPr/>
              <a:lstStyle/>
              <a:p>
                <a:pPr>
                  <a:defRPr b="0" i="0" strike="noStrike" sz="10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Sheet1!$A$2:$A$9</c:f>
              <c:strCache>
                <c:ptCount val="8"/>
                <c:pt idx="0">
                  <c:v>anytime</c:v>
                </c:pt>
                <c:pt idx="1">
                  <c:v>Day</c:v>
                </c:pt>
                <c:pt idx="2">
                  <c:v>Evening</c:v>
                </c:pt>
                <c:pt idx="3">
                  <c:v>morning</c:v>
                </c:pt>
                <c:pt idx="4">
                  <c:v>never</c:v>
                </c:pt>
                <c:pt idx="5">
                  <c:v>night</c:v>
                </c:pt>
                <c:pt idx="6">
                  <c:v>No study</c:v>
                </c:pt>
                <c:pt idx="7">
                  <c:v>(blank)</c:v>
                </c:pt>
              </c:strCache>
            </c:strRef>
          </c:cat>
          <c:val>
            <c:numRef>
              <c:f>Sheet1!$D$2:$D$9</c:f>
              <c:numCache>
                <c:ptCount val="2"/>
                <c:pt idx="2">
                  <c:v>3.000000</c:v>
                </c:pt>
                <c:pt idx="7">
                  <c:v>0.000000</c:v>
                </c:pt>
              </c:numCache>
            </c:numRef>
          </c:val>
        </c:ser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b="0" i="0" strike="noStrike" sz="900" u="none">
                <a:solidFill>
                  <a:srgbClr val="595959"/>
                </a:solidFill>
                <a:latin typeface="Arial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b="0" i="0" strike="noStrike" sz="900" u="none">
                <a:solidFill>
                  <a:srgbClr val="595959"/>
                </a:solidFill>
                <a:latin typeface="Arial"/>
              </a:defRPr>
            </a:pPr>
          </a:p>
        </c:txPr>
        <c:crossAx val="2094734552"/>
        <c:crosses val="autoZero"/>
        <c:crossBetween val="between"/>
        <c:majorUnit val="3.5"/>
        <c:minorUnit val="1.75"/>
      </c:valAx>
      <c:spPr>
        <a:noFill/>
        <a:ln w="12700" cap="flat">
          <a:noFill/>
          <a:miter lim="400000"/>
        </a:ln>
        <a:effectLst/>
      </c:spPr>
    </c:plotArea>
    <c:legend>
      <c:legendPos val="r"/>
      <c:layout>
        <c:manualLayout>
          <c:xMode val="edge"/>
          <c:yMode val="edge"/>
          <c:x val="0.546296"/>
          <c:y val="0.390302"/>
          <c:w val="0.453704"/>
          <c:h val="0.211441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900" u="none">
              <a:solidFill>
                <a:srgbClr val="595959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title>
      <c:tx>
        <c:rich>
          <a:bodyPr rot="0"/>
          <a:lstStyle/>
          <a:p>
            <a:pPr>
              <a:defRPr b="1" i="0" strike="noStrike" sz="1800" u="none">
                <a:solidFill>
                  <a:srgbClr val="000000"/>
                </a:solidFill>
                <a:latin typeface="Arial"/>
              </a:defRPr>
            </a:pPr>
            <a:r>
              <a:rPr b="1" i="0" strike="noStrike" sz="1800" u="none">
                <a:solidFill>
                  <a:srgbClr val="000000"/>
                </a:solidFill>
                <a:latin typeface="Arial"/>
              </a:rPr>
              <a:t>Total</a:t>
            </a:r>
          </a:p>
        </c:rich>
      </c:tx>
      <c:layout>
        <c:manualLayout>
          <c:xMode val="edge"/>
          <c:yMode val="edge"/>
          <c:x val="0.161601"/>
          <c:y val="0.162823"/>
          <c:w val="0.143207"/>
          <c:h val="0.157348"/>
        </c:manualLayout>
      </c:layout>
      <c:overlay val="1"/>
      <c:spPr>
        <a:noFill/>
        <a:effectLst/>
      </c:spPr>
    </c:title>
    <c:autoTitleDeleted val="1"/>
    <c:plotArea>
      <c:layout>
        <c:manualLayout>
          <c:layoutTarget val="inner"/>
          <c:xMode val="edge"/>
          <c:yMode val="edge"/>
          <c:x val="0.005"/>
          <c:y val="0.320171"/>
          <c:w val="0.466409"/>
          <c:h val="0.667329"/>
        </c:manualLayout>
      </c:layout>
      <c:pieChart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Grand Total mobile brand (Count (All))</c:v>
                </c:pt>
              </c:strCache>
            </c:strRef>
          </c:tx>
          <c:spPr>
            <a:solidFill>
              <a:srgbClr val="4285F4"/>
            </a:solidFill>
            <a:ln w="19050" cap="flat">
              <a:solidFill>
                <a:srgbClr val="FFFFFF"/>
              </a:solidFill>
              <a:prstDash val="solid"/>
              <a:round/>
            </a:ln>
            <a:effectLst/>
          </c:spPr>
          <c:explosion val="0"/>
          <c:dPt>
            <c:idx val="0"/>
            <c:explosion val="0"/>
            <c:spPr>
              <a:solidFill>
                <a:srgbClr val="4285F4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1"/>
            <c:explosion val="0"/>
            <c:spPr>
              <a:solidFill>
                <a:srgbClr val="EA4335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2"/>
            <c:explosion val="0"/>
            <c:spPr>
              <a:solidFill>
                <a:srgbClr val="FBBC04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3"/>
            <c:explosion val="0"/>
            <c:spPr>
              <a:solidFill>
                <a:srgbClr val="34A853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4"/>
            <c:explosion val="0"/>
            <c:spPr>
              <a:solidFill>
                <a:srgbClr val="FF6D01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5"/>
            <c:explosion val="0"/>
            <c:spPr>
              <a:solidFill>
                <a:srgbClr val="46BDC6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6"/>
            <c:explosion val="0"/>
            <c:spPr>
              <a:solidFill>
                <a:srgbClr val="0A49B0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7"/>
            <c:explosion val="0"/>
            <c:spPr>
              <a:solidFill>
                <a:srgbClr val="9C1B10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8"/>
            <c:explosion val="0"/>
            <c:spPr>
              <a:solidFill>
                <a:srgbClr val="977102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9"/>
            <c:explosion val="0"/>
            <c:spPr>
              <a:solidFill>
                <a:srgbClr val="1F6532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10"/>
            <c:explosion val="0"/>
            <c:spPr>
              <a:solidFill>
                <a:srgbClr val="9A4100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11"/>
            <c:explosion val="0"/>
            <c:spPr>
              <a:solidFill>
                <a:srgbClr val="26757B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12"/>
            <c:explosion val="0"/>
            <c:spPr>
              <a:solidFill>
                <a:srgbClr val="689DF6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13"/>
            <c:explosion val="0"/>
            <c:spPr>
              <a:solidFill>
                <a:srgbClr val="EE695D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14"/>
            <c:explosion val="0"/>
            <c:spPr>
              <a:solidFill>
                <a:srgbClr val="FCC936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15"/>
            <c:explosion val="0"/>
            <c:spPr>
              <a:solidFill>
                <a:srgbClr val="4EC86F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16"/>
            <c:explosion val="0"/>
            <c:spPr>
              <a:solidFill>
                <a:srgbClr val="FF8A34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Pt>
            <c:idx val="17"/>
            <c:explosion val="0"/>
            <c:spPr>
              <a:solidFill>
                <a:srgbClr val="6BCAD1"/>
              </a:solidFill>
              <a:ln w="19050" cap="flat">
                <a:solidFill>
                  <a:srgbClr val="FFFFFF"/>
                </a:solidFill>
                <a:prstDash val="solid"/>
                <a:round/>
              </a:ln>
              <a:effectLst/>
            </c:spPr>
          </c:dPt>
          <c:dLbls>
            <c:dLbl>
              <c:idx val="0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numFmt formatCode="General" sourceLinked="0"/>
              <c:txPr>
                <a:bodyPr/>
                <a:lstStyle/>
                <a:p>
                  <a:pPr>
                    <a:defRPr b="0" i="0" strike="noStrike" sz="1000" u="non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inEnd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General" sourceLinked="0"/>
            <c:txPr>
              <a:bodyPr/>
              <a:lstStyle/>
              <a:p>
                <a:pPr>
                  <a:defRPr b="0" i="0" strike="noStrike" sz="10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1"/>
            <c:leaderLines>
              <c:spPr>
                <a:noFill/>
                <a:ln w="6350" cap="flat">
                  <a:solidFill>
                    <a:srgbClr val="000000"/>
                  </a:solidFill>
                  <a:prstDash val="solid"/>
                  <a:miter lim="400000"/>
                </a:ln>
                <a:effectLst/>
              </c:spPr>
            </c:leaderLines>
          </c:dLbls>
          <c:cat>
            <c:strRef>
              <c:f>Sheet1!$B$1:$S$1</c:f>
              <c:strCache>
                <c:ptCount val="18"/>
                <c:pt idx="0">
                  <c:v>Apple</c:v>
                </c:pt>
                <c:pt idx="1">
                  <c:v>BLACKBERRY</c:v>
                </c:pt>
                <c:pt idx="2">
                  <c:v>Infinix</c:v>
                </c:pt>
                <c:pt idx="3">
                  <c:v>iqoo</c:v>
                </c:pt>
                <c:pt idx="4">
                  <c:v>Motorola</c:v>
                </c:pt>
                <c:pt idx="5">
                  <c:v>mts</c:v>
                </c:pt>
                <c:pt idx="6">
                  <c:v>Nokia</c:v>
                </c:pt>
                <c:pt idx="7">
                  <c:v>Nothing</c:v>
                </c:pt>
                <c:pt idx="8">
                  <c:v>One plus</c:v>
                </c:pt>
                <c:pt idx="9">
                  <c:v>ONEPLUS</c:v>
                </c:pt>
                <c:pt idx="10">
                  <c:v>oppo</c:v>
                </c:pt>
                <c:pt idx="11">
                  <c:v>PIXEL</c:v>
                </c:pt>
                <c:pt idx="12">
                  <c:v>Poco</c:v>
                </c:pt>
                <c:pt idx="13">
                  <c:v>Realme</c:v>
                </c:pt>
                <c:pt idx="14">
                  <c:v>Samsung</c:v>
                </c:pt>
                <c:pt idx="15">
                  <c:v>vivo</c:v>
                </c:pt>
                <c:pt idx="16">
                  <c:v>Xiaomi</c:v>
                </c:pt>
                <c:pt idx="17">
                  <c:v>(blank)</c:v>
                </c:pt>
              </c:strCache>
            </c:strRef>
          </c:cat>
          <c:val>
            <c:numRef>
              <c:f>Sheet1!$B$2:$S$2</c:f>
              <c:numCache>
                <c:ptCount val="18"/>
                <c:pt idx="0">
                  <c:v>16.000000</c:v>
                </c:pt>
                <c:pt idx="1">
                  <c:v>1.000000</c:v>
                </c:pt>
                <c:pt idx="2">
                  <c:v>1.000000</c:v>
                </c:pt>
                <c:pt idx="3">
                  <c:v>2.000000</c:v>
                </c:pt>
                <c:pt idx="4">
                  <c:v>1.000000</c:v>
                </c:pt>
                <c:pt idx="5">
                  <c:v>1.000000</c:v>
                </c:pt>
                <c:pt idx="6">
                  <c:v>1.000000</c:v>
                </c:pt>
                <c:pt idx="7">
                  <c:v>4.000000</c:v>
                </c:pt>
                <c:pt idx="8">
                  <c:v>6.000000</c:v>
                </c:pt>
                <c:pt idx="9">
                  <c:v>1.000000</c:v>
                </c:pt>
                <c:pt idx="10">
                  <c:v>1.000000</c:v>
                </c:pt>
                <c:pt idx="11">
                  <c:v>1.000000</c:v>
                </c:pt>
                <c:pt idx="12">
                  <c:v>2.000000</c:v>
                </c:pt>
                <c:pt idx="13">
                  <c:v>2.000000</c:v>
                </c:pt>
                <c:pt idx="14">
                  <c:v>10.000000</c:v>
                </c:pt>
                <c:pt idx="15">
                  <c:v>6.000000</c:v>
                </c:pt>
                <c:pt idx="16">
                  <c:v>1.000000</c:v>
                </c:pt>
                <c:pt idx="17">
                  <c:v>0.000000</c:v>
                </c:pt>
              </c:numCache>
            </c:numRef>
          </c:val>
        </c:ser>
        <c:firstSliceAng val="0"/>
      </c:pieChart>
      <c:spPr>
        <a:noFill/>
        <a:ln w="12700" cap="flat">
          <a:noFill/>
          <a:miter lim="400000"/>
        </a:ln>
        <a:effectLst/>
      </c:spPr>
    </c:plotArea>
    <c:legend>
      <c:legendPos val="r"/>
      <c:layout>
        <c:manualLayout>
          <c:xMode val="edge"/>
          <c:yMode val="edge"/>
          <c:x val="0.716891"/>
          <c:y val="0"/>
          <c:w val="0.283109"/>
          <c:h val="0.873127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900" u="none">
              <a:solidFill>
                <a:srgbClr val="595959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