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F1EA" w14:textId="77777777" w:rsidR="008263E6" w:rsidRPr="008263E6" w:rsidRDefault="008263E6" w:rsidP="008263E6">
      <w:pPr>
        <w:jc w:val="cente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t>Sex differences in mortality factors in the Los Alamos National Lab</w:t>
      </w:r>
    </w:p>
    <w:p w14:paraId="542446FE" w14:textId="77777777" w:rsidR="008263E6" w:rsidRPr="008263E6" w:rsidRDefault="008263E6" w:rsidP="008263E6">
      <w:pPr>
        <w:jc w:val="cente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color w:val="000000"/>
        </w:rPr>
        <w:t>Benson Wu</w:t>
      </w:r>
      <w:r w:rsidRPr="008263E6">
        <w:rPr>
          <w:rFonts w:ascii="Times New Roman" w:eastAsia="Times New Roman" w:hAnsi="Times New Roman" w:cs="Times New Roman"/>
          <w:i/>
          <w:iCs/>
          <w:color w:val="000000"/>
        </w:rPr>
        <w:t>¹</w:t>
      </w:r>
      <w:r w:rsidRPr="008263E6">
        <w:rPr>
          <w:rFonts w:ascii="Times New Roman" w:eastAsia="Times New Roman" w:hAnsi="Times New Roman" w:cs="Times New Roman"/>
          <w:color w:val="000000"/>
        </w:rPr>
        <w:t>, Yue Yu</w:t>
      </w:r>
      <w:r w:rsidRPr="008263E6">
        <w:rPr>
          <w:rFonts w:ascii="Times New Roman" w:eastAsia="Times New Roman" w:hAnsi="Times New Roman" w:cs="Times New Roman"/>
          <w:i/>
          <w:iCs/>
          <w:color w:val="000000"/>
        </w:rPr>
        <w:t>¹</w:t>
      </w:r>
      <w:r w:rsidRPr="008263E6">
        <w:rPr>
          <w:rFonts w:ascii="Times New Roman" w:eastAsia="Times New Roman" w:hAnsi="Times New Roman" w:cs="Times New Roman"/>
          <w:color w:val="000000"/>
        </w:rPr>
        <w:t xml:space="preserve">, </w:t>
      </w:r>
      <w:proofErr w:type="spellStart"/>
      <w:r w:rsidRPr="008263E6">
        <w:rPr>
          <w:rFonts w:ascii="Times New Roman" w:eastAsia="Times New Roman" w:hAnsi="Times New Roman" w:cs="Times New Roman"/>
          <w:color w:val="000000"/>
        </w:rPr>
        <w:t>Yuhang</w:t>
      </w:r>
      <w:proofErr w:type="spellEnd"/>
      <w:r w:rsidRPr="008263E6">
        <w:rPr>
          <w:rFonts w:ascii="Times New Roman" w:eastAsia="Times New Roman" w:hAnsi="Times New Roman" w:cs="Times New Roman"/>
          <w:color w:val="000000"/>
        </w:rPr>
        <w:t xml:space="preserve"> Zhou</w:t>
      </w:r>
      <w:r w:rsidRPr="008263E6">
        <w:rPr>
          <w:rFonts w:ascii="Times New Roman" w:eastAsia="Times New Roman" w:hAnsi="Times New Roman" w:cs="Times New Roman"/>
          <w:i/>
          <w:iCs/>
          <w:color w:val="000000"/>
        </w:rPr>
        <w:t>¹</w:t>
      </w:r>
    </w:p>
    <w:p w14:paraId="0EC465D4" w14:textId="77777777" w:rsidR="008263E6" w:rsidRPr="008263E6" w:rsidRDefault="008263E6" w:rsidP="008263E6">
      <w:pPr>
        <w:jc w:val="center"/>
        <w:rPr>
          <w:rFonts w:ascii="Times New Roman" w:eastAsia="Times New Roman" w:hAnsi="Times New Roman" w:cs="Times New Roman"/>
        </w:rPr>
      </w:pPr>
      <w:r w:rsidRPr="008263E6">
        <w:rPr>
          <w:rFonts w:ascii="Times New Roman" w:eastAsia="Times New Roman" w:hAnsi="Times New Roman" w:cs="Times New Roman"/>
          <w:i/>
          <w:iCs/>
          <w:color w:val="000000"/>
        </w:rPr>
        <w:t>¹University of California, Los Angeles</w:t>
      </w:r>
    </w:p>
    <w:p w14:paraId="1F832A8B" w14:textId="77777777" w:rsidR="008263E6" w:rsidRPr="008263E6" w:rsidRDefault="008263E6" w:rsidP="008263E6">
      <w:pPr>
        <w:rPr>
          <w:rFonts w:ascii="Times New Roman" w:eastAsia="Times New Roman" w:hAnsi="Times New Roman" w:cs="Times New Roman"/>
        </w:rPr>
      </w:pPr>
    </w:p>
    <w:p w14:paraId="0603D6A3" w14:textId="77777777" w:rsidR="008263E6" w:rsidRPr="008263E6" w:rsidRDefault="008263E6" w:rsidP="008263E6">
      <w:pP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t>INTRODUCTION </w:t>
      </w:r>
    </w:p>
    <w:p w14:paraId="5C4DF145" w14:textId="77777777" w:rsidR="008263E6" w:rsidRPr="008263E6" w:rsidRDefault="008263E6" w:rsidP="008263E6">
      <w:pPr>
        <w:rPr>
          <w:rFonts w:ascii="Times New Roman" w:eastAsia="Times New Roman" w:hAnsi="Times New Roman" w:cs="Times New Roman"/>
        </w:rPr>
      </w:pPr>
    </w:p>
    <w:p w14:paraId="352DDDE7"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As an outgrowth of the U.S. government’s immense investment during World War II, a series of nuclear weapon designing, constructing, and testing sites were confidentially set up nationwide. Los Alamos National Laboratory (LANL), one of the retaining sites located in the mountains of northern New Mexico, has undertaken nuclear physics and weapons design until now [1]. These existing studies pose LANL workers at a risk of radiation exposure, including external x-rays, gamma-rays and neutrons and intakes of tritium and plutonium isotopes [2].</w:t>
      </w:r>
    </w:p>
    <w:p w14:paraId="3BA6A7BB" w14:textId="77777777" w:rsidR="008263E6" w:rsidRPr="008263E6" w:rsidRDefault="008263E6" w:rsidP="008263E6">
      <w:pPr>
        <w:rPr>
          <w:rFonts w:ascii="Times New Roman" w:eastAsia="Times New Roman" w:hAnsi="Times New Roman" w:cs="Times New Roman"/>
        </w:rPr>
      </w:pPr>
    </w:p>
    <w:p w14:paraId="037D8F59" w14:textId="2FAC689C"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With growing interest in assessing health effects of low-dose radiation exposure, epidemiological studies were conducted focusing on early nuclear industry workers. In general, increased body burdens and cause-specific diseases associated with various radioisotopes and materials intake were well documented by occupational health practitioners in the field of radiation protection [</w:t>
      </w:r>
      <w:r w:rsidR="00F61878">
        <w:rPr>
          <w:rFonts w:ascii="Times New Roman" w:eastAsia="Times New Roman" w:hAnsi="Times New Roman" w:cs="Times New Roman"/>
          <w:color w:val="000000"/>
        </w:rPr>
        <w:t>3</w:t>
      </w:r>
      <w:r w:rsidRPr="008263E6">
        <w:rPr>
          <w:rFonts w:ascii="Times New Roman" w:eastAsia="Times New Roman" w:hAnsi="Times New Roman" w:cs="Times New Roman"/>
          <w:color w:val="000000"/>
        </w:rPr>
        <w:t>]. Epidemiological analysis of cohorts who were employed at LANL before 1978 revealed elevated risks of esophagus cancer, bone cancer, and central nervous system cancer among both female and male workers. [1, 2 ,</w:t>
      </w:r>
      <w:r w:rsidR="00F61878">
        <w:rPr>
          <w:rFonts w:ascii="Times New Roman" w:eastAsia="Times New Roman" w:hAnsi="Times New Roman" w:cs="Times New Roman"/>
          <w:color w:val="000000"/>
        </w:rPr>
        <w:t>4</w:t>
      </w:r>
      <w:r w:rsidRPr="008263E6">
        <w:rPr>
          <w:rFonts w:ascii="Times New Roman" w:eastAsia="Times New Roman" w:hAnsi="Times New Roman" w:cs="Times New Roman"/>
          <w:color w:val="000000"/>
        </w:rPr>
        <w:t>]. </w:t>
      </w:r>
    </w:p>
    <w:p w14:paraId="02F0F7B7" w14:textId="77777777" w:rsidR="008263E6" w:rsidRPr="008263E6" w:rsidRDefault="008263E6" w:rsidP="008263E6">
      <w:pPr>
        <w:rPr>
          <w:rFonts w:ascii="Times New Roman" w:eastAsia="Times New Roman" w:hAnsi="Times New Roman" w:cs="Times New Roman"/>
        </w:rPr>
      </w:pPr>
    </w:p>
    <w:p w14:paraId="715BEBAA"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However, the studies to date tend to evaluate the relationship between radiation exposure and health effects among males and females separately. Little is known about if low-dose radiation exposure has disproportionately affected the health outcomes regarding gender. The following study, therefore, aims to draw out conclusions regarding gender by comparing health outcomes (primarily mortality and radiation-related body burden) among radiation-exposed workers when compared with their unexposed coworkers. Our primary hypothesis of this study is that gender may serve as a potential effect modifier in the relationship between radiation exposure and adverse health outcomes.</w:t>
      </w:r>
    </w:p>
    <w:p w14:paraId="6E6CBDD6" w14:textId="77777777" w:rsidR="008263E6" w:rsidRPr="008263E6" w:rsidRDefault="008263E6" w:rsidP="008263E6">
      <w:pPr>
        <w:rPr>
          <w:rFonts w:ascii="Times New Roman" w:eastAsia="Times New Roman" w:hAnsi="Times New Roman" w:cs="Times New Roman"/>
        </w:rPr>
      </w:pPr>
    </w:p>
    <w:p w14:paraId="5CBBACDB" w14:textId="77777777" w:rsidR="008263E6" w:rsidRPr="008263E6" w:rsidRDefault="008263E6" w:rsidP="008263E6">
      <w:pP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t>METHODS &amp; MATERIALS</w:t>
      </w:r>
    </w:p>
    <w:p w14:paraId="26E33FFA"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i/>
          <w:iCs/>
          <w:color w:val="000000"/>
        </w:rPr>
        <w:t>Data </w:t>
      </w:r>
    </w:p>
    <w:p w14:paraId="771A1B4E"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 xml:space="preserve">The Los Alamos National Laboratory (LANL) collected data on 6,790 women who were </w:t>
      </w:r>
      <w:r w:rsidRPr="008263E6">
        <w:rPr>
          <w:rFonts w:ascii="Times New Roman" w:eastAsia="Times New Roman" w:hAnsi="Times New Roman" w:cs="Times New Roman"/>
          <w:color w:val="333333"/>
          <w:shd w:val="clear" w:color="auto" w:fill="FFFFFF"/>
        </w:rPr>
        <w:t xml:space="preserve">employed at LANL between 1943 and 1978 </w:t>
      </w:r>
      <w:r w:rsidRPr="008263E6">
        <w:rPr>
          <w:rFonts w:ascii="Times New Roman" w:eastAsia="Times New Roman" w:hAnsi="Times New Roman" w:cs="Times New Roman"/>
          <w:color w:val="000000"/>
        </w:rPr>
        <w:t>in a cohort mortality study. Similarly, LANL collected data on 15727 males between 1943 and 1977 who were employed at LANL. More details on the data collection process have been published elsewhere [1]. </w:t>
      </w:r>
    </w:p>
    <w:p w14:paraId="3F967619" w14:textId="77777777" w:rsidR="008263E6" w:rsidRPr="008263E6" w:rsidRDefault="008263E6" w:rsidP="008263E6">
      <w:pPr>
        <w:rPr>
          <w:rFonts w:ascii="Times New Roman" w:eastAsia="Times New Roman" w:hAnsi="Times New Roman" w:cs="Times New Roman"/>
        </w:rPr>
      </w:pPr>
    </w:p>
    <w:p w14:paraId="0A3D732E"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i/>
          <w:iCs/>
          <w:color w:val="000000"/>
        </w:rPr>
        <w:t>Analytical Subpopulation </w:t>
      </w:r>
    </w:p>
    <w:p w14:paraId="727853DF"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The LANL collected data on 6,790 female and 15,727 male employees for two independent studies. We combined both data sets, resulting in 22,517 eligible participants. For the current study, we excluded 18,661 participants who did not report a death date, as we were interested in participants who had a recorded death. The analytical subpopulation was n=3,856.</w:t>
      </w:r>
    </w:p>
    <w:p w14:paraId="0D3679A4" w14:textId="77777777" w:rsidR="008263E6" w:rsidRPr="008263E6" w:rsidRDefault="008263E6" w:rsidP="008263E6">
      <w:pPr>
        <w:rPr>
          <w:rFonts w:ascii="Times New Roman" w:eastAsia="Times New Roman" w:hAnsi="Times New Roman" w:cs="Times New Roman"/>
        </w:rPr>
      </w:pPr>
    </w:p>
    <w:p w14:paraId="7DE54425"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 xml:space="preserve">For a secondary analysis, we focused on individuals who were monitored for plutonium exposure. We excluded 18,077 individuals who were not monitored for plutonium </w:t>
      </w:r>
      <w:proofErr w:type="gramStart"/>
      <w:r w:rsidRPr="008263E6">
        <w:rPr>
          <w:rFonts w:ascii="Times New Roman" w:eastAsia="Times New Roman" w:hAnsi="Times New Roman" w:cs="Times New Roman"/>
          <w:color w:val="000000"/>
        </w:rPr>
        <w:t>and also</w:t>
      </w:r>
      <w:proofErr w:type="gramEnd"/>
      <w:r w:rsidRPr="008263E6">
        <w:rPr>
          <w:rFonts w:ascii="Times New Roman" w:eastAsia="Times New Roman" w:hAnsi="Times New Roman" w:cs="Times New Roman"/>
          <w:color w:val="000000"/>
        </w:rPr>
        <w:t xml:space="preserve"> </w:t>
      </w:r>
      <w:r w:rsidRPr="008263E6">
        <w:rPr>
          <w:rFonts w:ascii="Times New Roman" w:eastAsia="Times New Roman" w:hAnsi="Times New Roman" w:cs="Times New Roman"/>
          <w:color w:val="000000"/>
        </w:rPr>
        <w:lastRenderedPageBreak/>
        <w:t>excluded 3,814 participants who did not report a death date. The analytical subpopulation for the secondary analysis was n=626.</w:t>
      </w:r>
    </w:p>
    <w:p w14:paraId="5F7428CA" w14:textId="77777777" w:rsidR="008263E6" w:rsidRPr="008263E6" w:rsidRDefault="008263E6" w:rsidP="008263E6">
      <w:pPr>
        <w:rPr>
          <w:rFonts w:ascii="Times New Roman" w:eastAsia="Times New Roman" w:hAnsi="Times New Roman" w:cs="Times New Roman"/>
        </w:rPr>
      </w:pPr>
    </w:p>
    <w:p w14:paraId="064DB636"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i/>
          <w:iCs/>
          <w:color w:val="000000"/>
        </w:rPr>
        <w:t>Outcomes</w:t>
      </w:r>
    </w:p>
    <w:p w14:paraId="6E53ED83"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 xml:space="preserve">We examined the following series of outcome variables. First, we examined age at reported death. This variable was constructed by subtracting the reported death date from the reported birth date. Second, we examined the body burden in </w:t>
      </w:r>
      <w:proofErr w:type="spellStart"/>
      <w:r w:rsidRPr="008263E6">
        <w:rPr>
          <w:rFonts w:ascii="Times New Roman" w:eastAsia="Times New Roman" w:hAnsi="Times New Roman" w:cs="Times New Roman"/>
          <w:color w:val="000000"/>
        </w:rPr>
        <w:t>nCi</w:t>
      </w:r>
      <w:proofErr w:type="spellEnd"/>
      <w:r w:rsidRPr="008263E6">
        <w:rPr>
          <w:rFonts w:ascii="Times New Roman" w:eastAsia="Times New Roman" w:hAnsi="Times New Roman" w:cs="Times New Roman"/>
          <w:color w:val="000000"/>
        </w:rPr>
        <w:t xml:space="preserve"> and </w:t>
      </w:r>
      <w:proofErr w:type="spellStart"/>
      <w:r w:rsidRPr="008263E6">
        <w:rPr>
          <w:rFonts w:ascii="Times New Roman" w:eastAsia="Times New Roman" w:hAnsi="Times New Roman" w:cs="Times New Roman"/>
          <w:color w:val="000000"/>
        </w:rPr>
        <w:t>nCi</w:t>
      </w:r>
      <w:proofErr w:type="spellEnd"/>
      <w:r w:rsidRPr="008263E6">
        <w:rPr>
          <w:rFonts w:ascii="Times New Roman" w:eastAsia="Times New Roman" w:hAnsi="Times New Roman" w:cs="Times New Roman"/>
          <w:color w:val="000000"/>
        </w:rPr>
        <w:t>-years, independently. Body burden refers to the total amount of these chemicals that are present in the human body as of 12/31/1984.</w:t>
      </w:r>
    </w:p>
    <w:p w14:paraId="24CBA7C3" w14:textId="77777777" w:rsidR="008263E6" w:rsidRPr="008263E6" w:rsidRDefault="008263E6" w:rsidP="008263E6">
      <w:pPr>
        <w:rPr>
          <w:rFonts w:ascii="Times New Roman" w:eastAsia="Times New Roman" w:hAnsi="Times New Roman" w:cs="Times New Roman"/>
        </w:rPr>
      </w:pPr>
    </w:p>
    <w:p w14:paraId="33EFB058"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i/>
          <w:iCs/>
          <w:color w:val="000000"/>
        </w:rPr>
        <w:t>Statistical analysis</w:t>
      </w:r>
    </w:p>
    <w:p w14:paraId="0D4CE4E8"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 xml:space="preserve">First, we generated descriptive statistics to characterize the study sample by sex (Table 1). </w:t>
      </w:r>
      <w:proofErr w:type="gramStart"/>
      <w:r w:rsidRPr="008263E6">
        <w:rPr>
          <w:rFonts w:ascii="Times New Roman" w:eastAsia="Times New Roman" w:hAnsi="Times New Roman" w:cs="Times New Roman"/>
          <w:color w:val="000000"/>
        </w:rPr>
        <w:t>Second</w:t>
      </w:r>
      <w:proofErr w:type="gramEnd"/>
      <w:r w:rsidRPr="008263E6">
        <w:rPr>
          <w:rFonts w:ascii="Times New Roman" w:eastAsia="Times New Roman" w:hAnsi="Times New Roman" w:cs="Times New Roman"/>
          <w:color w:val="000000"/>
        </w:rPr>
        <w:t xml:space="preserve"> we used t-tests to examine differences in age at death, body burden in </w:t>
      </w:r>
      <w:proofErr w:type="spellStart"/>
      <w:r w:rsidRPr="008263E6">
        <w:rPr>
          <w:rFonts w:ascii="Times New Roman" w:eastAsia="Times New Roman" w:hAnsi="Times New Roman" w:cs="Times New Roman"/>
          <w:color w:val="000000"/>
        </w:rPr>
        <w:t>nCi</w:t>
      </w:r>
      <w:proofErr w:type="spellEnd"/>
      <w:r w:rsidRPr="008263E6">
        <w:rPr>
          <w:rFonts w:ascii="Times New Roman" w:eastAsia="Times New Roman" w:hAnsi="Times New Roman" w:cs="Times New Roman"/>
          <w:color w:val="000000"/>
        </w:rPr>
        <w:t xml:space="preserve">, and body burden in </w:t>
      </w:r>
      <w:proofErr w:type="spellStart"/>
      <w:r w:rsidRPr="008263E6">
        <w:rPr>
          <w:rFonts w:ascii="Times New Roman" w:eastAsia="Times New Roman" w:hAnsi="Times New Roman" w:cs="Times New Roman"/>
          <w:color w:val="000000"/>
        </w:rPr>
        <w:t>nCi</w:t>
      </w:r>
      <w:proofErr w:type="spellEnd"/>
      <w:r w:rsidRPr="008263E6">
        <w:rPr>
          <w:rFonts w:ascii="Times New Roman" w:eastAsia="Times New Roman" w:hAnsi="Times New Roman" w:cs="Times New Roman"/>
          <w:color w:val="000000"/>
        </w:rPr>
        <w:t>-years between males and females. We report the means, standard deviations, t-statistics assuming unequal variances, and corresponding p-values in Table 2. We repeated t test analysis using the subpopulation only containing participants who were monitored for plutonium. Results are reported in Supplemental Tables 1. </w:t>
      </w:r>
    </w:p>
    <w:p w14:paraId="59F64FF4" w14:textId="77777777" w:rsidR="008263E6" w:rsidRPr="008263E6" w:rsidRDefault="008263E6" w:rsidP="008263E6">
      <w:pPr>
        <w:rPr>
          <w:rFonts w:ascii="Times New Roman" w:eastAsia="Times New Roman" w:hAnsi="Times New Roman" w:cs="Times New Roman"/>
        </w:rPr>
      </w:pPr>
    </w:p>
    <w:p w14:paraId="59661BE8" w14:textId="77777777" w:rsidR="008263E6" w:rsidRPr="008263E6" w:rsidRDefault="008263E6" w:rsidP="008263E6">
      <w:pP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t>RESULTS</w:t>
      </w:r>
    </w:p>
    <w:p w14:paraId="3D496C12" w14:textId="10BEC188" w:rsidR="008263E6" w:rsidRDefault="008263E6" w:rsidP="008263E6">
      <w:pPr>
        <w:rPr>
          <w:rFonts w:ascii="Times New Roman" w:eastAsia="Times New Roman" w:hAnsi="Times New Roman" w:cs="Times New Roman"/>
          <w:color w:val="000000"/>
        </w:rPr>
      </w:pPr>
      <w:r w:rsidRPr="008263E6">
        <w:rPr>
          <w:rFonts w:ascii="Times New Roman" w:eastAsia="Times New Roman" w:hAnsi="Times New Roman" w:cs="Times New Roman"/>
          <w:color w:val="000000"/>
        </w:rPr>
        <w:t xml:space="preserve">The average age of death was </w:t>
      </w:r>
      <w:r w:rsidRPr="008263E6">
        <w:rPr>
          <w:rFonts w:ascii="Times New Roman" w:eastAsia="Times New Roman" w:hAnsi="Times New Roman" w:cs="Times New Roman"/>
          <w:color w:val="333333"/>
          <w:shd w:val="clear" w:color="auto" w:fill="FFFFFF"/>
        </w:rPr>
        <w:t xml:space="preserve">58.3 years </w:t>
      </w:r>
      <w:r w:rsidRPr="008263E6">
        <w:rPr>
          <w:rFonts w:ascii="Times New Roman" w:eastAsia="Times New Roman" w:hAnsi="Times New Roman" w:cs="Times New Roman"/>
          <w:color w:val="000000"/>
        </w:rPr>
        <w:t>for females and 63.2 years for males. For females, 43.7% reported high school education, whereas only 28.4% of males reported high school education. However, 30.9% of males reported only grade school education whereas only 17.1% of females reported grade school education. A majority of males were white (96.5%</w:t>
      </w:r>
      <w:proofErr w:type="gramStart"/>
      <w:r w:rsidRPr="008263E6">
        <w:rPr>
          <w:rFonts w:ascii="Times New Roman" w:eastAsia="Times New Roman" w:hAnsi="Times New Roman" w:cs="Times New Roman"/>
          <w:color w:val="000000"/>
        </w:rPr>
        <w:t>)</w:t>
      </w:r>
      <w:proofErr w:type="gramEnd"/>
      <w:r w:rsidRPr="008263E6">
        <w:rPr>
          <w:rFonts w:ascii="Times New Roman" w:eastAsia="Times New Roman" w:hAnsi="Times New Roman" w:cs="Times New Roman"/>
          <w:color w:val="000000"/>
        </w:rPr>
        <w:t xml:space="preserve"> and all females were white. </w:t>
      </w:r>
    </w:p>
    <w:p w14:paraId="011339FA" w14:textId="59A3EECE" w:rsidR="00B1722E" w:rsidRDefault="00B1722E" w:rsidP="008263E6">
      <w:pPr>
        <w:rPr>
          <w:rFonts w:ascii="Times New Roman" w:eastAsia="Times New Roman" w:hAnsi="Times New Roman" w:cs="Times New Roman"/>
          <w:color w:val="000000"/>
        </w:rPr>
      </w:pPr>
    </w:p>
    <w:tbl>
      <w:tblPr>
        <w:tblW w:w="5528" w:type="dxa"/>
        <w:jc w:val="center"/>
        <w:tblLook w:val="04A0" w:firstRow="1" w:lastRow="0" w:firstColumn="1" w:lastColumn="0" w:noHBand="0" w:noVBand="1"/>
      </w:tblPr>
      <w:tblGrid>
        <w:gridCol w:w="276"/>
        <w:gridCol w:w="1985"/>
        <w:gridCol w:w="1636"/>
        <w:gridCol w:w="1637"/>
      </w:tblGrid>
      <w:tr w:rsidR="00B1722E" w:rsidRPr="00B1722E" w14:paraId="6A734786" w14:textId="77777777" w:rsidTr="00B1722E">
        <w:trPr>
          <w:trHeight w:val="251"/>
          <w:jc w:val="center"/>
        </w:trPr>
        <w:tc>
          <w:tcPr>
            <w:tcW w:w="5528" w:type="dxa"/>
            <w:gridSpan w:val="4"/>
            <w:tcBorders>
              <w:top w:val="nil"/>
              <w:left w:val="nil"/>
              <w:bottom w:val="nil"/>
              <w:right w:val="nil"/>
            </w:tcBorders>
            <w:shd w:val="clear" w:color="auto" w:fill="auto"/>
            <w:noWrap/>
            <w:vAlign w:val="bottom"/>
            <w:hideMark/>
          </w:tcPr>
          <w:p w14:paraId="7AA015DA" w14:textId="77777777" w:rsidR="00B1722E" w:rsidRPr="00B1722E" w:rsidRDefault="00B1722E" w:rsidP="00B1722E">
            <w:pPr>
              <w:rPr>
                <w:rFonts w:ascii="Times New Roman" w:eastAsia="Times New Roman" w:hAnsi="Times New Roman" w:cs="Times New Roman"/>
                <w:color w:val="000000"/>
              </w:rPr>
            </w:pPr>
            <w:r w:rsidRPr="00B1722E">
              <w:rPr>
                <w:rFonts w:ascii="Times New Roman" w:eastAsia="Times New Roman" w:hAnsi="Times New Roman" w:cs="Times New Roman"/>
                <w:b/>
                <w:bCs/>
                <w:color w:val="000000"/>
              </w:rPr>
              <w:t>Table 1.</w:t>
            </w:r>
            <w:r w:rsidRPr="00B1722E">
              <w:rPr>
                <w:rFonts w:ascii="Times New Roman" w:eastAsia="Times New Roman" w:hAnsi="Times New Roman" w:cs="Times New Roman"/>
                <w:color w:val="000000"/>
              </w:rPr>
              <w:t xml:space="preserve"> Demographics of the LANL sample.</w:t>
            </w:r>
          </w:p>
        </w:tc>
      </w:tr>
      <w:tr w:rsidR="00B1722E" w:rsidRPr="00B1722E" w14:paraId="14D34942"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638BDF48" w14:textId="77777777" w:rsidR="00B1722E" w:rsidRPr="00B1722E" w:rsidRDefault="00B1722E" w:rsidP="00B1722E">
            <w:pPr>
              <w:rPr>
                <w:rFonts w:ascii="Times New Roman" w:eastAsia="Times New Roman" w:hAnsi="Times New Roman" w:cs="Times New Roman"/>
                <w:color w:val="000000"/>
              </w:rPr>
            </w:pPr>
          </w:p>
        </w:tc>
        <w:tc>
          <w:tcPr>
            <w:tcW w:w="1985" w:type="dxa"/>
            <w:tcBorders>
              <w:top w:val="nil"/>
              <w:left w:val="nil"/>
              <w:bottom w:val="nil"/>
              <w:right w:val="nil"/>
            </w:tcBorders>
            <w:shd w:val="clear" w:color="auto" w:fill="auto"/>
            <w:noWrap/>
            <w:vAlign w:val="bottom"/>
            <w:hideMark/>
          </w:tcPr>
          <w:p w14:paraId="0801B3D0" w14:textId="77777777" w:rsidR="00B1722E" w:rsidRPr="00B1722E" w:rsidRDefault="00B1722E" w:rsidP="00B1722E">
            <w:pPr>
              <w:rPr>
                <w:rFonts w:ascii="Times New Roman" w:eastAsia="Times New Roman" w:hAnsi="Times New Roman" w:cs="Times New Roman"/>
                <w:sz w:val="20"/>
                <w:szCs w:val="20"/>
              </w:rPr>
            </w:pPr>
          </w:p>
        </w:tc>
        <w:tc>
          <w:tcPr>
            <w:tcW w:w="1636" w:type="dxa"/>
            <w:tcBorders>
              <w:top w:val="nil"/>
              <w:left w:val="nil"/>
              <w:bottom w:val="nil"/>
              <w:right w:val="nil"/>
            </w:tcBorders>
            <w:shd w:val="clear" w:color="auto" w:fill="auto"/>
            <w:noWrap/>
            <w:vAlign w:val="center"/>
            <w:hideMark/>
          </w:tcPr>
          <w:p w14:paraId="445BE032" w14:textId="77777777" w:rsidR="00B1722E" w:rsidRPr="00B1722E" w:rsidRDefault="00B1722E" w:rsidP="00B1722E">
            <w:pPr>
              <w:rPr>
                <w:rFonts w:ascii="Times New Roman" w:eastAsia="Times New Roman" w:hAnsi="Times New Roman" w:cs="Times New Roman"/>
                <w:sz w:val="20"/>
                <w:szCs w:val="20"/>
              </w:rPr>
            </w:pPr>
          </w:p>
        </w:tc>
        <w:tc>
          <w:tcPr>
            <w:tcW w:w="1636" w:type="dxa"/>
            <w:tcBorders>
              <w:top w:val="nil"/>
              <w:left w:val="nil"/>
              <w:bottom w:val="nil"/>
              <w:right w:val="nil"/>
            </w:tcBorders>
            <w:shd w:val="clear" w:color="auto" w:fill="auto"/>
            <w:noWrap/>
            <w:vAlign w:val="center"/>
            <w:hideMark/>
          </w:tcPr>
          <w:p w14:paraId="13B4A965" w14:textId="77777777" w:rsidR="00B1722E" w:rsidRPr="00B1722E" w:rsidRDefault="00B1722E" w:rsidP="00B1722E">
            <w:pPr>
              <w:jc w:val="center"/>
              <w:rPr>
                <w:rFonts w:ascii="Times New Roman" w:eastAsia="Times New Roman" w:hAnsi="Times New Roman" w:cs="Times New Roman"/>
                <w:sz w:val="20"/>
                <w:szCs w:val="20"/>
              </w:rPr>
            </w:pPr>
          </w:p>
        </w:tc>
      </w:tr>
      <w:tr w:rsidR="00B1722E" w:rsidRPr="00B1722E" w14:paraId="11B0724D" w14:textId="77777777" w:rsidTr="00B1722E">
        <w:trPr>
          <w:trHeight w:val="614"/>
          <w:jc w:val="center"/>
        </w:trPr>
        <w:tc>
          <w:tcPr>
            <w:tcW w:w="269" w:type="dxa"/>
            <w:tcBorders>
              <w:top w:val="single" w:sz="4" w:space="0" w:color="auto"/>
              <w:left w:val="nil"/>
              <w:bottom w:val="nil"/>
              <w:right w:val="nil"/>
            </w:tcBorders>
            <w:shd w:val="clear" w:color="auto" w:fill="auto"/>
            <w:noWrap/>
            <w:vAlign w:val="bottom"/>
            <w:hideMark/>
          </w:tcPr>
          <w:p w14:paraId="08AE19FC" w14:textId="77777777" w:rsidR="00B1722E" w:rsidRPr="00B1722E" w:rsidRDefault="00B1722E" w:rsidP="00B1722E">
            <w:pPr>
              <w:rPr>
                <w:rFonts w:ascii="Times New Roman" w:eastAsia="Times New Roman" w:hAnsi="Times New Roman" w:cs="Times New Roman"/>
                <w:color w:val="000000"/>
              </w:rPr>
            </w:pPr>
            <w:r w:rsidRPr="00B1722E">
              <w:rPr>
                <w:rFonts w:ascii="Times New Roman" w:eastAsia="Times New Roman" w:hAnsi="Times New Roman" w:cs="Times New Roman"/>
                <w:color w:val="000000"/>
              </w:rPr>
              <w:t> </w:t>
            </w:r>
          </w:p>
        </w:tc>
        <w:tc>
          <w:tcPr>
            <w:tcW w:w="1985" w:type="dxa"/>
            <w:tcBorders>
              <w:top w:val="single" w:sz="4" w:space="0" w:color="auto"/>
              <w:left w:val="nil"/>
              <w:bottom w:val="nil"/>
              <w:right w:val="nil"/>
            </w:tcBorders>
            <w:shd w:val="clear" w:color="auto" w:fill="auto"/>
            <w:noWrap/>
            <w:vAlign w:val="bottom"/>
            <w:hideMark/>
          </w:tcPr>
          <w:p w14:paraId="1A278415" w14:textId="77777777" w:rsidR="00B1722E" w:rsidRPr="00B1722E" w:rsidRDefault="00B1722E" w:rsidP="00B1722E">
            <w:pPr>
              <w:rPr>
                <w:rFonts w:ascii="Times New Roman" w:eastAsia="Times New Roman" w:hAnsi="Times New Roman" w:cs="Times New Roman"/>
                <w:color w:val="000000"/>
              </w:rPr>
            </w:pPr>
            <w:r w:rsidRPr="00B1722E">
              <w:rPr>
                <w:rFonts w:ascii="Times New Roman" w:eastAsia="Times New Roman" w:hAnsi="Times New Roman" w:cs="Times New Roman"/>
                <w:color w:val="000000"/>
              </w:rPr>
              <w:t> </w:t>
            </w:r>
          </w:p>
        </w:tc>
        <w:tc>
          <w:tcPr>
            <w:tcW w:w="1636" w:type="dxa"/>
            <w:tcBorders>
              <w:top w:val="single" w:sz="4" w:space="0" w:color="auto"/>
              <w:left w:val="nil"/>
              <w:bottom w:val="single" w:sz="4" w:space="0" w:color="auto"/>
              <w:right w:val="nil"/>
            </w:tcBorders>
            <w:shd w:val="clear" w:color="auto" w:fill="auto"/>
            <w:vAlign w:val="center"/>
            <w:hideMark/>
          </w:tcPr>
          <w:p w14:paraId="7902E18F"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 xml:space="preserve">Female </w:t>
            </w:r>
            <w:r w:rsidRPr="00B1722E">
              <w:rPr>
                <w:rFonts w:ascii="Times New Roman" w:eastAsia="Times New Roman" w:hAnsi="Times New Roman" w:cs="Times New Roman"/>
                <w:b/>
                <w:bCs/>
                <w:color w:val="000000"/>
              </w:rPr>
              <w:br/>
              <w:t>n=536</w:t>
            </w:r>
          </w:p>
        </w:tc>
        <w:tc>
          <w:tcPr>
            <w:tcW w:w="1636" w:type="dxa"/>
            <w:tcBorders>
              <w:top w:val="single" w:sz="4" w:space="0" w:color="auto"/>
              <w:left w:val="nil"/>
              <w:bottom w:val="single" w:sz="4" w:space="0" w:color="auto"/>
              <w:right w:val="nil"/>
            </w:tcBorders>
            <w:shd w:val="clear" w:color="auto" w:fill="auto"/>
            <w:vAlign w:val="center"/>
            <w:hideMark/>
          </w:tcPr>
          <w:p w14:paraId="7E94132C"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 xml:space="preserve">Male </w:t>
            </w:r>
            <w:r w:rsidRPr="00B1722E">
              <w:rPr>
                <w:rFonts w:ascii="Times New Roman" w:eastAsia="Times New Roman" w:hAnsi="Times New Roman" w:cs="Times New Roman"/>
                <w:b/>
                <w:bCs/>
                <w:color w:val="000000"/>
              </w:rPr>
              <w:br/>
              <w:t>n=3,320</w:t>
            </w:r>
          </w:p>
        </w:tc>
      </w:tr>
      <w:tr w:rsidR="00B1722E" w:rsidRPr="00B1722E" w14:paraId="21D4119F" w14:textId="77777777" w:rsidTr="00B1722E">
        <w:trPr>
          <w:trHeight w:val="267"/>
          <w:jc w:val="center"/>
        </w:trPr>
        <w:tc>
          <w:tcPr>
            <w:tcW w:w="269" w:type="dxa"/>
            <w:tcBorders>
              <w:top w:val="nil"/>
              <w:left w:val="nil"/>
              <w:bottom w:val="nil"/>
              <w:right w:val="nil"/>
            </w:tcBorders>
            <w:shd w:val="clear" w:color="auto" w:fill="auto"/>
            <w:noWrap/>
            <w:vAlign w:val="bottom"/>
            <w:hideMark/>
          </w:tcPr>
          <w:p w14:paraId="391DBC6E" w14:textId="77777777" w:rsidR="00B1722E" w:rsidRPr="00B1722E" w:rsidRDefault="00B1722E" w:rsidP="00B1722E">
            <w:pPr>
              <w:jc w:val="center"/>
              <w:rPr>
                <w:rFonts w:ascii="Times New Roman" w:eastAsia="Times New Roman" w:hAnsi="Times New Roman" w:cs="Times New Roman"/>
                <w:b/>
                <w:bCs/>
                <w:color w:val="000000"/>
              </w:rPr>
            </w:pPr>
          </w:p>
        </w:tc>
        <w:tc>
          <w:tcPr>
            <w:tcW w:w="1985" w:type="dxa"/>
            <w:tcBorders>
              <w:top w:val="nil"/>
              <w:left w:val="nil"/>
              <w:bottom w:val="nil"/>
              <w:right w:val="nil"/>
            </w:tcBorders>
            <w:shd w:val="clear" w:color="auto" w:fill="auto"/>
            <w:noWrap/>
            <w:vAlign w:val="bottom"/>
            <w:hideMark/>
          </w:tcPr>
          <w:p w14:paraId="44D2943D" w14:textId="77777777" w:rsidR="00B1722E" w:rsidRPr="00B1722E" w:rsidRDefault="00B1722E" w:rsidP="00B1722E">
            <w:pPr>
              <w:rPr>
                <w:rFonts w:ascii="Times New Roman" w:eastAsia="Times New Roman" w:hAnsi="Times New Roman" w:cs="Times New Roman"/>
                <w:sz w:val="20"/>
                <w:szCs w:val="20"/>
              </w:rPr>
            </w:pPr>
          </w:p>
        </w:tc>
        <w:tc>
          <w:tcPr>
            <w:tcW w:w="3273" w:type="dxa"/>
            <w:gridSpan w:val="2"/>
            <w:tcBorders>
              <w:top w:val="single" w:sz="4" w:space="0" w:color="auto"/>
              <w:left w:val="nil"/>
              <w:bottom w:val="single" w:sz="4" w:space="0" w:color="auto"/>
              <w:right w:val="nil"/>
            </w:tcBorders>
            <w:shd w:val="clear" w:color="auto" w:fill="auto"/>
            <w:vAlign w:val="center"/>
            <w:hideMark/>
          </w:tcPr>
          <w:p w14:paraId="5D8DBE8D"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Mean (SD)</w:t>
            </w:r>
          </w:p>
        </w:tc>
      </w:tr>
      <w:tr w:rsidR="00B1722E" w:rsidRPr="00B1722E" w14:paraId="6DB0894E" w14:textId="77777777" w:rsidTr="00B1722E">
        <w:trPr>
          <w:trHeight w:val="251"/>
          <w:jc w:val="center"/>
        </w:trPr>
        <w:tc>
          <w:tcPr>
            <w:tcW w:w="2254" w:type="dxa"/>
            <w:gridSpan w:val="2"/>
            <w:tcBorders>
              <w:top w:val="nil"/>
              <w:left w:val="nil"/>
              <w:bottom w:val="nil"/>
              <w:right w:val="nil"/>
            </w:tcBorders>
            <w:shd w:val="clear" w:color="auto" w:fill="auto"/>
            <w:noWrap/>
            <w:vAlign w:val="bottom"/>
            <w:hideMark/>
          </w:tcPr>
          <w:p w14:paraId="5FB4D7E7" w14:textId="77777777" w:rsidR="00B1722E" w:rsidRPr="00B1722E" w:rsidRDefault="00B1722E" w:rsidP="00B1722E">
            <w:pP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Age at death</w:t>
            </w:r>
          </w:p>
        </w:tc>
        <w:tc>
          <w:tcPr>
            <w:tcW w:w="1636" w:type="dxa"/>
            <w:tcBorders>
              <w:top w:val="nil"/>
              <w:left w:val="nil"/>
              <w:bottom w:val="nil"/>
              <w:right w:val="nil"/>
            </w:tcBorders>
            <w:shd w:val="clear" w:color="auto" w:fill="auto"/>
            <w:noWrap/>
            <w:vAlign w:val="center"/>
            <w:hideMark/>
          </w:tcPr>
          <w:p w14:paraId="37CB9C46"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58.32 (13.05)</w:t>
            </w:r>
          </w:p>
        </w:tc>
        <w:tc>
          <w:tcPr>
            <w:tcW w:w="1636" w:type="dxa"/>
            <w:tcBorders>
              <w:top w:val="nil"/>
              <w:left w:val="nil"/>
              <w:bottom w:val="nil"/>
              <w:right w:val="nil"/>
            </w:tcBorders>
            <w:shd w:val="clear" w:color="auto" w:fill="auto"/>
            <w:noWrap/>
            <w:vAlign w:val="center"/>
            <w:hideMark/>
          </w:tcPr>
          <w:p w14:paraId="1936FDBA"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63.22 (14.14)</w:t>
            </w:r>
          </w:p>
        </w:tc>
      </w:tr>
      <w:tr w:rsidR="00B1722E" w:rsidRPr="00B1722E" w14:paraId="5A4DBAB2"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28907324" w14:textId="77777777" w:rsidR="00B1722E" w:rsidRPr="00B1722E" w:rsidRDefault="00B1722E" w:rsidP="00B1722E">
            <w:pPr>
              <w:jc w:val="center"/>
              <w:rPr>
                <w:rFonts w:ascii="Times New Roman" w:eastAsia="Times New Roman" w:hAnsi="Times New Roman" w:cs="Times New Roman"/>
                <w:color w:val="000000"/>
              </w:rPr>
            </w:pPr>
          </w:p>
        </w:tc>
        <w:tc>
          <w:tcPr>
            <w:tcW w:w="1985" w:type="dxa"/>
            <w:tcBorders>
              <w:top w:val="nil"/>
              <w:left w:val="nil"/>
              <w:bottom w:val="nil"/>
              <w:right w:val="nil"/>
            </w:tcBorders>
            <w:shd w:val="clear" w:color="auto" w:fill="auto"/>
            <w:noWrap/>
            <w:vAlign w:val="bottom"/>
            <w:hideMark/>
          </w:tcPr>
          <w:p w14:paraId="489E0505" w14:textId="77777777" w:rsidR="00B1722E" w:rsidRPr="00B1722E" w:rsidRDefault="00B1722E" w:rsidP="00B1722E">
            <w:pPr>
              <w:rPr>
                <w:rFonts w:ascii="Times New Roman" w:eastAsia="Times New Roman" w:hAnsi="Times New Roman" w:cs="Times New Roman"/>
                <w:sz w:val="20"/>
                <w:szCs w:val="20"/>
              </w:rPr>
            </w:pPr>
          </w:p>
        </w:tc>
        <w:tc>
          <w:tcPr>
            <w:tcW w:w="3273" w:type="dxa"/>
            <w:gridSpan w:val="2"/>
            <w:tcBorders>
              <w:top w:val="single" w:sz="4" w:space="0" w:color="auto"/>
              <w:left w:val="nil"/>
              <w:bottom w:val="single" w:sz="4" w:space="0" w:color="auto"/>
              <w:right w:val="nil"/>
            </w:tcBorders>
            <w:shd w:val="clear" w:color="auto" w:fill="auto"/>
            <w:noWrap/>
            <w:vAlign w:val="center"/>
            <w:hideMark/>
          </w:tcPr>
          <w:p w14:paraId="71335B98"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w:t>
            </w:r>
          </w:p>
        </w:tc>
      </w:tr>
      <w:tr w:rsidR="00B1722E" w:rsidRPr="00B1722E" w14:paraId="3D7ADA8B" w14:textId="77777777" w:rsidTr="00B1722E">
        <w:trPr>
          <w:trHeight w:val="251"/>
          <w:jc w:val="center"/>
        </w:trPr>
        <w:tc>
          <w:tcPr>
            <w:tcW w:w="2254" w:type="dxa"/>
            <w:gridSpan w:val="2"/>
            <w:tcBorders>
              <w:top w:val="nil"/>
              <w:left w:val="nil"/>
              <w:bottom w:val="nil"/>
              <w:right w:val="nil"/>
            </w:tcBorders>
            <w:shd w:val="clear" w:color="auto" w:fill="auto"/>
            <w:noWrap/>
            <w:vAlign w:val="bottom"/>
            <w:hideMark/>
          </w:tcPr>
          <w:p w14:paraId="73002ED4" w14:textId="77777777" w:rsidR="00B1722E" w:rsidRPr="00B1722E" w:rsidRDefault="00B1722E" w:rsidP="00B1722E">
            <w:pP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Education</w:t>
            </w:r>
          </w:p>
        </w:tc>
        <w:tc>
          <w:tcPr>
            <w:tcW w:w="1636" w:type="dxa"/>
            <w:tcBorders>
              <w:top w:val="nil"/>
              <w:left w:val="nil"/>
              <w:bottom w:val="nil"/>
              <w:right w:val="nil"/>
            </w:tcBorders>
            <w:shd w:val="clear" w:color="auto" w:fill="auto"/>
            <w:noWrap/>
            <w:vAlign w:val="center"/>
            <w:hideMark/>
          </w:tcPr>
          <w:p w14:paraId="691177FE" w14:textId="77777777" w:rsidR="00B1722E" w:rsidRPr="00B1722E" w:rsidRDefault="00B1722E" w:rsidP="00B1722E">
            <w:pPr>
              <w:rPr>
                <w:rFonts w:ascii="Times New Roman" w:eastAsia="Times New Roman" w:hAnsi="Times New Roman" w:cs="Times New Roman"/>
                <w:b/>
                <w:bCs/>
                <w:color w:val="000000"/>
              </w:rPr>
            </w:pPr>
          </w:p>
        </w:tc>
        <w:tc>
          <w:tcPr>
            <w:tcW w:w="1636" w:type="dxa"/>
            <w:tcBorders>
              <w:top w:val="nil"/>
              <w:left w:val="nil"/>
              <w:bottom w:val="nil"/>
              <w:right w:val="nil"/>
            </w:tcBorders>
            <w:shd w:val="clear" w:color="auto" w:fill="auto"/>
            <w:noWrap/>
            <w:vAlign w:val="center"/>
            <w:hideMark/>
          </w:tcPr>
          <w:p w14:paraId="5E354A93" w14:textId="77777777" w:rsidR="00B1722E" w:rsidRPr="00B1722E" w:rsidRDefault="00B1722E" w:rsidP="00B1722E">
            <w:pPr>
              <w:jc w:val="center"/>
              <w:rPr>
                <w:rFonts w:ascii="Times New Roman" w:eastAsia="Times New Roman" w:hAnsi="Times New Roman" w:cs="Times New Roman"/>
                <w:sz w:val="20"/>
                <w:szCs w:val="20"/>
              </w:rPr>
            </w:pPr>
          </w:p>
        </w:tc>
      </w:tr>
      <w:tr w:rsidR="00B1722E" w:rsidRPr="00B1722E" w14:paraId="55C3854E"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2D1EEAFA" w14:textId="77777777" w:rsidR="00B1722E" w:rsidRPr="00B1722E" w:rsidRDefault="00B1722E" w:rsidP="00B1722E">
            <w:pPr>
              <w:jc w:val="center"/>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1629428D"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Grade school</w:t>
            </w:r>
          </w:p>
        </w:tc>
        <w:tc>
          <w:tcPr>
            <w:tcW w:w="1636" w:type="dxa"/>
            <w:tcBorders>
              <w:top w:val="nil"/>
              <w:left w:val="nil"/>
              <w:bottom w:val="nil"/>
              <w:right w:val="nil"/>
            </w:tcBorders>
            <w:shd w:val="clear" w:color="auto" w:fill="auto"/>
            <w:noWrap/>
            <w:vAlign w:val="center"/>
            <w:hideMark/>
          </w:tcPr>
          <w:p w14:paraId="47EAEADF"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17.16</w:t>
            </w:r>
          </w:p>
        </w:tc>
        <w:tc>
          <w:tcPr>
            <w:tcW w:w="1636" w:type="dxa"/>
            <w:tcBorders>
              <w:top w:val="nil"/>
              <w:left w:val="nil"/>
              <w:bottom w:val="nil"/>
              <w:right w:val="nil"/>
            </w:tcBorders>
            <w:shd w:val="clear" w:color="auto" w:fill="auto"/>
            <w:noWrap/>
            <w:vAlign w:val="center"/>
            <w:hideMark/>
          </w:tcPr>
          <w:p w14:paraId="1A414A13"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30.87</w:t>
            </w:r>
          </w:p>
        </w:tc>
      </w:tr>
      <w:tr w:rsidR="00B1722E" w:rsidRPr="00B1722E" w14:paraId="79825A2C"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48DDE956"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044D6695"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Some high school</w:t>
            </w:r>
          </w:p>
        </w:tc>
        <w:tc>
          <w:tcPr>
            <w:tcW w:w="1636" w:type="dxa"/>
            <w:tcBorders>
              <w:top w:val="nil"/>
              <w:left w:val="nil"/>
              <w:bottom w:val="nil"/>
              <w:right w:val="nil"/>
            </w:tcBorders>
            <w:shd w:val="clear" w:color="auto" w:fill="auto"/>
            <w:noWrap/>
            <w:vAlign w:val="center"/>
            <w:hideMark/>
          </w:tcPr>
          <w:p w14:paraId="2865098B"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13.62</w:t>
            </w:r>
          </w:p>
        </w:tc>
        <w:tc>
          <w:tcPr>
            <w:tcW w:w="1636" w:type="dxa"/>
            <w:tcBorders>
              <w:top w:val="nil"/>
              <w:left w:val="nil"/>
              <w:bottom w:val="nil"/>
              <w:right w:val="nil"/>
            </w:tcBorders>
            <w:shd w:val="clear" w:color="auto" w:fill="auto"/>
            <w:noWrap/>
            <w:vAlign w:val="center"/>
            <w:hideMark/>
          </w:tcPr>
          <w:p w14:paraId="472BE1CD"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10.69</w:t>
            </w:r>
          </w:p>
        </w:tc>
      </w:tr>
      <w:tr w:rsidR="00B1722E" w:rsidRPr="00B1722E" w14:paraId="4AD657B4"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18CA4EFC"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2444DCE9"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High school graduate</w:t>
            </w:r>
          </w:p>
        </w:tc>
        <w:tc>
          <w:tcPr>
            <w:tcW w:w="1636" w:type="dxa"/>
            <w:tcBorders>
              <w:top w:val="nil"/>
              <w:left w:val="nil"/>
              <w:bottom w:val="nil"/>
              <w:right w:val="nil"/>
            </w:tcBorders>
            <w:shd w:val="clear" w:color="auto" w:fill="auto"/>
            <w:noWrap/>
            <w:vAlign w:val="center"/>
            <w:hideMark/>
          </w:tcPr>
          <w:p w14:paraId="00DB9570"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43.66</w:t>
            </w:r>
          </w:p>
        </w:tc>
        <w:tc>
          <w:tcPr>
            <w:tcW w:w="1636" w:type="dxa"/>
            <w:tcBorders>
              <w:top w:val="nil"/>
              <w:left w:val="nil"/>
              <w:bottom w:val="nil"/>
              <w:right w:val="nil"/>
            </w:tcBorders>
            <w:shd w:val="clear" w:color="auto" w:fill="auto"/>
            <w:noWrap/>
            <w:vAlign w:val="center"/>
            <w:hideMark/>
          </w:tcPr>
          <w:p w14:paraId="0300A569"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28.43</w:t>
            </w:r>
          </w:p>
        </w:tc>
      </w:tr>
      <w:tr w:rsidR="00B1722E" w:rsidRPr="00B1722E" w14:paraId="3EE42F68"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1BEF8053"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4E1AB8E8"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Associates degree</w:t>
            </w:r>
          </w:p>
        </w:tc>
        <w:tc>
          <w:tcPr>
            <w:tcW w:w="1636" w:type="dxa"/>
            <w:tcBorders>
              <w:top w:val="nil"/>
              <w:left w:val="nil"/>
              <w:bottom w:val="nil"/>
              <w:right w:val="nil"/>
            </w:tcBorders>
            <w:shd w:val="clear" w:color="auto" w:fill="auto"/>
            <w:noWrap/>
            <w:vAlign w:val="center"/>
            <w:hideMark/>
          </w:tcPr>
          <w:p w14:paraId="7234846E"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3.73</w:t>
            </w:r>
          </w:p>
        </w:tc>
        <w:tc>
          <w:tcPr>
            <w:tcW w:w="1636" w:type="dxa"/>
            <w:tcBorders>
              <w:top w:val="nil"/>
              <w:left w:val="nil"/>
              <w:bottom w:val="nil"/>
              <w:right w:val="nil"/>
            </w:tcBorders>
            <w:shd w:val="clear" w:color="auto" w:fill="auto"/>
            <w:noWrap/>
            <w:vAlign w:val="center"/>
            <w:hideMark/>
          </w:tcPr>
          <w:p w14:paraId="63C95C3B"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0.99</w:t>
            </w:r>
          </w:p>
        </w:tc>
      </w:tr>
      <w:tr w:rsidR="00B1722E" w:rsidRPr="00B1722E" w14:paraId="3849B62B"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52FB78CE"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14565061"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College graduate</w:t>
            </w:r>
          </w:p>
        </w:tc>
        <w:tc>
          <w:tcPr>
            <w:tcW w:w="1636" w:type="dxa"/>
            <w:tcBorders>
              <w:top w:val="nil"/>
              <w:left w:val="nil"/>
              <w:bottom w:val="nil"/>
              <w:right w:val="nil"/>
            </w:tcBorders>
            <w:shd w:val="clear" w:color="auto" w:fill="auto"/>
            <w:noWrap/>
            <w:vAlign w:val="center"/>
            <w:hideMark/>
          </w:tcPr>
          <w:p w14:paraId="4E564F09"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17.16</w:t>
            </w:r>
          </w:p>
        </w:tc>
        <w:tc>
          <w:tcPr>
            <w:tcW w:w="1636" w:type="dxa"/>
            <w:tcBorders>
              <w:top w:val="nil"/>
              <w:left w:val="nil"/>
              <w:bottom w:val="nil"/>
              <w:right w:val="nil"/>
            </w:tcBorders>
            <w:shd w:val="clear" w:color="auto" w:fill="auto"/>
            <w:noWrap/>
            <w:vAlign w:val="center"/>
            <w:hideMark/>
          </w:tcPr>
          <w:p w14:paraId="6022F624"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12.11</w:t>
            </w:r>
          </w:p>
        </w:tc>
      </w:tr>
      <w:tr w:rsidR="00B1722E" w:rsidRPr="00B1722E" w14:paraId="06A3B5D2"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7EDE6975"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3580A58A"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Advanced degree</w:t>
            </w:r>
          </w:p>
        </w:tc>
        <w:tc>
          <w:tcPr>
            <w:tcW w:w="1636" w:type="dxa"/>
            <w:tcBorders>
              <w:top w:val="nil"/>
              <w:left w:val="nil"/>
              <w:bottom w:val="nil"/>
              <w:right w:val="nil"/>
            </w:tcBorders>
            <w:shd w:val="clear" w:color="auto" w:fill="auto"/>
            <w:noWrap/>
            <w:vAlign w:val="center"/>
            <w:hideMark/>
          </w:tcPr>
          <w:p w14:paraId="235B78AD"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3.92</w:t>
            </w:r>
          </w:p>
        </w:tc>
        <w:tc>
          <w:tcPr>
            <w:tcW w:w="1636" w:type="dxa"/>
            <w:tcBorders>
              <w:top w:val="nil"/>
              <w:left w:val="nil"/>
              <w:bottom w:val="nil"/>
              <w:right w:val="nil"/>
            </w:tcBorders>
            <w:shd w:val="clear" w:color="auto" w:fill="auto"/>
            <w:noWrap/>
            <w:vAlign w:val="center"/>
            <w:hideMark/>
          </w:tcPr>
          <w:p w14:paraId="07313AA6"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12.44</w:t>
            </w:r>
          </w:p>
        </w:tc>
      </w:tr>
      <w:tr w:rsidR="00B1722E" w:rsidRPr="00B1722E" w14:paraId="2C073D24"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5182DFA7"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24CAE382"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Unknown</w:t>
            </w:r>
          </w:p>
        </w:tc>
        <w:tc>
          <w:tcPr>
            <w:tcW w:w="1636" w:type="dxa"/>
            <w:tcBorders>
              <w:top w:val="nil"/>
              <w:left w:val="nil"/>
              <w:bottom w:val="nil"/>
              <w:right w:val="nil"/>
            </w:tcBorders>
            <w:shd w:val="clear" w:color="auto" w:fill="auto"/>
            <w:noWrap/>
            <w:vAlign w:val="center"/>
            <w:hideMark/>
          </w:tcPr>
          <w:p w14:paraId="1686C3E7"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0.75</w:t>
            </w:r>
          </w:p>
        </w:tc>
        <w:tc>
          <w:tcPr>
            <w:tcW w:w="1636" w:type="dxa"/>
            <w:tcBorders>
              <w:top w:val="nil"/>
              <w:left w:val="nil"/>
              <w:bottom w:val="nil"/>
              <w:right w:val="nil"/>
            </w:tcBorders>
            <w:shd w:val="clear" w:color="auto" w:fill="auto"/>
            <w:noWrap/>
            <w:vAlign w:val="center"/>
            <w:hideMark/>
          </w:tcPr>
          <w:p w14:paraId="4B1627F2"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4.46</w:t>
            </w:r>
          </w:p>
        </w:tc>
      </w:tr>
      <w:tr w:rsidR="00B1722E" w:rsidRPr="00B1722E" w14:paraId="0DC9F513" w14:textId="77777777" w:rsidTr="00B1722E">
        <w:trPr>
          <w:trHeight w:val="251"/>
          <w:jc w:val="center"/>
        </w:trPr>
        <w:tc>
          <w:tcPr>
            <w:tcW w:w="2254" w:type="dxa"/>
            <w:gridSpan w:val="2"/>
            <w:tcBorders>
              <w:top w:val="nil"/>
              <w:left w:val="nil"/>
              <w:bottom w:val="nil"/>
              <w:right w:val="nil"/>
            </w:tcBorders>
            <w:shd w:val="clear" w:color="auto" w:fill="auto"/>
            <w:noWrap/>
            <w:vAlign w:val="bottom"/>
            <w:hideMark/>
          </w:tcPr>
          <w:p w14:paraId="2CC159D5" w14:textId="77777777" w:rsidR="00B1722E" w:rsidRPr="00B1722E" w:rsidRDefault="00B1722E" w:rsidP="00B1722E">
            <w:pP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Race</w:t>
            </w:r>
          </w:p>
        </w:tc>
        <w:tc>
          <w:tcPr>
            <w:tcW w:w="1636" w:type="dxa"/>
            <w:tcBorders>
              <w:top w:val="nil"/>
              <w:left w:val="nil"/>
              <w:bottom w:val="nil"/>
              <w:right w:val="nil"/>
            </w:tcBorders>
            <w:shd w:val="clear" w:color="auto" w:fill="auto"/>
            <w:noWrap/>
            <w:vAlign w:val="center"/>
            <w:hideMark/>
          </w:tcPr>
          <w:p w14:paraId="10A00C5C" w14:textId="77777777" w:rsidR="00B1722E" w:rsidRPr="00B1722E" w:rsidRDefault="00B1722E" w:rsidP="00B1722E">
            <w:pPr>
              <w:rPr>
                <w:rFonts w:ascii="Times New Roman" w:eastAsia="Times New Roman" w:hAnsi="Times New Roman" w:cs="Times New Roman"/>
                <w:b/>
                <w:bCs/>
                <w:color w:val="000000"/>
              </w:rPr>
            </w:pPr>
          </w:p>
        </w:tc>
        <w:tc>
          <w:tcPr>
            <w:tcW w:w="1636" w:type="dxa"/>
            <w:tcBorders>
              <w:top w:val="nil"/>
              <w:left w:val="nil"/>
              <w:bottom w:val="nil"/>
              <w:right w:val="nil"/>
            </w:tcBorders>
            <w:shd w:val="clear" w:color="auto" w:fill="auto"/>
            <w:noWrap/>
            <w:vAlign w:val="center"/>
            <w:hideMark/>
          </w:tcPr>
          <w:p w14:paraId="6706DFF0" w14:textId="77777777" w:rsidR="00B1722E" w:rsidRPr="00B1722E" w:rsidRDefault="00B1722E" w:rsidP="00B1722E">
            <w:pPr>
              <w:jc w:val="center"/>
              <w:rPr>
                <w:rFonts w:ascii="Times New Roman" w:eastAsia="Times New Roman" w:hAnsi="Times New Roman" w:cs="Times New Roman"/>
                <w:sz w:val="20"/>
                <w:szCs w:val="20"/>
              </w:rPr>
            </w:pPr>
          </w:p>
        </w:tc>
      </w:tr>
      <w:tr w:rsidR="00B1722E" w:rsidRPr="00B1722E" w14:paraId="74D88518"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17CB892F" w14:textId="77777777" w:rsidR="00B1722E" w:rsidRPr="00B1722E" w:rsidRDefault="00B1722E" w:rsidP="00B1722E">
            <w:pPr>
              <w:jc w:val="center"/>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765A9B26"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 xml:space="preserve">Black </w:t>
            </w:r>
          </w:p>
        </w:tc>
        <w:tc>
          <w:tcPr>
            <w:tcW w:w="1636" w:type="dxa"/>
            <w:tcBorders>
              <w:top w:val="nil"/>
              <w:left w:val="nil"/>
              <w:bottom w:val="nil"/>
              <w:right w:val="nil"/>
            </w:tcBorders>
            <w:shd w:val="clear" w:color="auto" w:fill="auto"/>
            <w:noWrap/>
            <w:vAlign w:val="center"/>
            <w:hideMark/>
          </w:tcPr>
          <w:p w14:paraId="0CFF0129"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0</w:t>
            </w:r>
          </w:p>
        </w:tc>
        <w:tc>
          <w:tcPr>
            <w:tcW w:w="1636" w:type="dxa"/>
            <w:tcBorders>
              <w:top w:val="nil"/>
              <w:left w:val="nil"/>
              <w:bottom w:val="nil"/>
              <w:right w:val="nil"/>
            </w:tcBorders>
            <w:shd w:val="clear" w:color="auto" w:fill="auto"/>
            <w:noWrap/>
            <w:vAlign w:val="center"/>
            <w:hideMark/>
          </w:tcPr>
          <w:p w14:paraId="2DDC3B37"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0.21</w:t>
            </w:r>
          </w:p>
        </w:tc>
      </w:tr>
      <w:tr w:rsidR="00B1722E" w:rsidRPr="00B1722E" w14:paraId="03AB4ADA"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3176DAF0"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37B9EE59"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Other</w:t>
            </w:r>
          </w:p>
        </w:tc>
        <w:tc>
          <w:tcPr>
            <w:tcW w:w="1636" w:type="dxa"/>
            <w:tcBorders>
              <w:top w:val="nil"/>
              <w:left w:val="nil"/>
              <w:bottom w:val="nil"/>
              <w:right w:val="nil"/>
            </w:tcBorders>
            <w:shd w:val="clear" w:color="auto" w:fill="auto"/>
            <w:noWrap/>
            <w:vAlign w:val="center"/>
            <w:hideMark/>
          </w:tcPr>
          <w:p w14:paraId="72F998E8"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0</w:t>
            </w:r>
          </w:p>
        </w:tc>
        <w:tc>
          <w:tcPr>
            <w:tcW w:w="1636" w:type="dxa"/>
            <w:tcBorders>
              <w:top w:val="nil"/>
              <w:left w:val="nil"/>
              <w:bottom w:val="nil"/>
              <w:right w:val="nil"/>
            </w:tcBorders>
            <w:shd w:val="clear" w:color="auto" w:fill="auto"/>
            <w:noWrap/>
            <w:vAlign w:val="center"/>
            <w:hideMark/>
          </w:tcPr>
          <w:p w14:paraId="6C6BEE8B"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1.08</w:t>
            </w:r>
          </w:p>
        </w:tc>
      </w:tr>
      <w:tr w:rsidR="00B1722E" w:rsidRPr="00B1722E" w14:paraId="5DE2EDE6" w14:textId="77777777" w:rsidTr="00B1722E">
        <w:trPr>
          <w:trHeight w:val="251"/>
          <w:jc w:val="center"/>
        </w:trPr>
        <w:tc>
          <w:tcPr>
            <w:tcW w:w="269" w:type="dxa"/>
            <w:tcBorders>
              <w:top w:val="nil"/>
              <w:left w:val="nil"/>
              <w:bottom w:val="nil"/>
              <w:right w:val="nil"/>
            </w:tcBorders>
            <w:shd w:val="clear" w:color="auto" w:fill="auto"/>
            <w:noWrap/>
            <w:vAlign w:val="bottom"/>
            <w:hideMark/>
          </w:tcPr>
          <w:p w14:paraId="5D634684" w14:textId="77777777" w:rsidR="00B1722E" w:rsidRPr="00B1722E" w:rsidRDefault="00B1722E" w:rsidP="00B1722E">
            <w:pPr>
              <w:jc w:val="center"/>
              <w:rPr>
                <w:rFonts w:ascii="Times New Roman" w:eastAsia="Times New Roman" w:hAnsi="Times New Roman" w:cs="Times New Roman"/>
                <w:color w:val="000000"/>
                <w:sz w:val="20"/>
                <w:szCs w:val="20"/>
              </w:rPr>
            </w:pPr>
          </w:p>
        </w:tc>
        <w:tc>
          <w:tcPr>
            <w:tcW w:w="1985" w:type="dxa"/>
            <w:tcBorders>
              <w:top w:val="nil"/>
              <w:left w:val="nil"/>
              <w:bottom w:val="nil"/>
              <w:right w:val="nil"/>
            </w:tcBorders>
            <w:shd w:val="clear" w:color="auto" w:fill="auto"/>
            <w:noWrap/>
            <w:vAlign w:val="bottom"/>
            <w:hideMark/>
          </w:tcPr>
          <w:p w14:paraId="44950E12"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Unknown</w:t>
            </w:r>
          </w:p>
        </w:tc>
        <w:tc>
          <w:tcPr>
            <w:tcW w:w="1636" w:type="dxa"/>
            <w:tcBorders>
              <w:top w:val="nil"/>
              <w:left w:val="nil"/>
              <w:bottom w:val="nil"/>
              <w:right w:val="nil"/>
            </w:tcBorders>
            <w:shd w:val="clear" w:color="auto" w:fill="auto"/>
            <w:noWrap/>
            <w:vAlign w:val="center"/>
            <w:hideMark/>
          </w:tcPr>
          <w:p w14:paraId="25499365"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0</w:t>
            </w:r>
          </w:p>
        </w:tc>
        <w:tc>
          <w:tcPr>
            <w:tcW w:w="1636" w:type="dxa"/>
            <w:tcBorders>
              <w:top w:val="nil"/>
              <w:left w:val="nil"/>
              <w:bottom w:val="nil"/>
              <w:right w:val="nil"/>
            </w:tcBorders>
            <w:shd w:val="clear" w:color="auto" w:fill="auto"/>
            <w:noWrap/>
            <w:vAlign w:val="center"/>
            <w:hideMark/>
          </w:tcPr>
          <w:p w14:paraId="12A84EC7"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2.17</w:t>
            </w:r>
          </w:p>
        </w:tc>
      </w:tr>
      <w:tr w:rsidR="00B1722E" w:rsidRPr="00B1722E" w14:paraId="375755BE" w14:textId="77777777" w:rsidTr="00B1722E">
        <w:trPr>
          <w:trHeight w:val="251"/>
          <w:jc w:val="center"/>
        </w:trPr>
        <w:tc>
          <w:tcPr>
            <w:tcW w:w="269" w:type="dxa"/>
            <w:tcBorders>
              <w:top w:val="nil"/>
              <w:left w:val="nil"/>
              <w:bottom w:val="single" w:sz="4" w:space="0" w:color="auto"/>
              <w:right w:val="nil"/>
            </w:tcBorders>
            <w:shd w:val="clear" w:color="auto" w:fill="auto"/>
            <w:noWrap/>
            <w:vAlign w:val="bottom"/>
            <w:hideMark/>
          </w:tcPr>
          <w:p w14:paraId="65CD86F0" w14:textId="77777777" w:rsidR="00B1722E" w:rsidRPr="00B1722E" w:rsidRDefault="00B1722E" w:rsidP="00B1722E">
            <w:pP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 </w:t>
            </w:r>
          </w:p>
        </w:tc>
        <w:tc>
          <w:tcPr>
            <w:tcW w:w="1985" w:type="dxa"/>
            <w:tcBorders>
              <w:top w:val="nil"/>
              <w:left w:val="nil"/>
              <w:bottom w:val="single" w:sz="4" w:space="0" w:color="auto"/>
              <w:right w:val="nil"/>
            </w:tcBorders>
            <w:shd w:val="clear" w:color="auto" w:fill="auto"/>
            <w:noWrap/>
            <w:vAlign w:val="bottom"/>
            <w:hideMark/>
          </w:tcPr>
          <w:p w14:paraId="18BEA518" w14:textId="77777777" w:rsidR="00B1722E" w:rsidRPr="00B1722E" w:rsidRDefault="00B1722E" w:rsidP="00B1722E">
            <w:pP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White</w:t>
            </w:r>
          </w:p>
        </w:tc>
        <w:tc>
          <w:tcPr>
            <w:tcW w:w="1636" w:type="dxa"/>
            <w:tcBorders>
              <w:top w:val="nil"/>
              <w:left w:val="nil"/>
              <w:bottom w:val="single" w:sz="4" w:space="0" w:color="auto"/>
              <w:right w:val="nil"/>
            </w:tcBorders>
            <w:shd w:val="clear" w:color="auto" w:fill="auto"/>
            <w:noWrap/>
            <w:vAlign w:val="center"/>
            <w:hideMark/>
          </w:tcPr>
          <w:p w14:paraId="64D03F84"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100</w:t>
            </w:r>
          </w:p>
        </w:tc>
        <w:tc>
          <w:tcPr>
            <w:tcW w:w="1636" w:type="dxa"/>
            <w:tcBorders>
              <w:top w:val="nil"/>
              <w:left w:val="nil"/>
              <w:bottom w:val="single" w:sz="4" w:space="0" w:color="auto"/>
              <w:right w:val="nil"/>
            </w:tcBorders>
            <w:shd w:val="clear" w:color="auto" w:fill="auto"/>
            <w:noWrap/>
            <w:vAlign w:val="center"/>
            <w:hideMark/>
          </w:tcPr>
          <w:p w14:paraId="242194D4" w14:textId="77777777" w:rsidR="00B1722E" w:rsidRPr="00B1722E" w:rsidRDefault="00B1722E" w:rsidP="00B1722E">
            <w:pPr>
              <w:jc w:val="center"/>
              <w:rPr>
                <w:rFonts w:ascii="Times New Roman" w:eastAsia="Times New Roman" w:hAnsi="Times New Roman" w:cs="Times New Roman"/>
                <w:color w:val="000000"/>
                <w:sz w:val="20"/>
                <w:szCs w:val="20"/>
              </w:rPr>
            </w:pPr>
            <w:r w:rsidRPr="00B1722E">
              <w:rPr>
                <w:rFonts w:ascii="Times New Roman" w:eastAsia="Times New Roman" w:hAnsi="Times New Roman" w:cs="Times New Roman"/>
                <w:color w:val="000000"/>
                <w:sz w:val="20"/>
                <w:szCs w:val="20"/>
              </w:rPr>
              <w:t>96.54</w:t>
            </w:r>
          </w:p>
        </w:tc>
      </w:tr>
    </w:tbl>
    <w:p w14:paraId="010D3D84" w14:textId="77777777" w:rsidR="00B1722E" w:rsidRPr="008263E6" w:rsidRDefault="00B1722E" w:rsidP="008263E6">
      <w:pPr>
        <w:rPr>
          <w:rFonts w:ascii="Times New Roman" w:eastAsia="Times New Roman" w:hAnsi="Times New Roman" w:cs="Times New Roman"/>
        </w:rPr>
      </w:pPr>
    </w:p>
    <w:p w14:paraId="44C3D1BF" w14:textId="77777777" w:rsidR="008263E6" w:rsidRPr="008263E6" w:rsidRDefault="008263E6" w:rsidP="008263E6">
      <w:pPr>
        <w:rPr>
          <w:rFonts w:ascii="Times New Roman" w:eastAsia="Times New Roman" w:hAnsi="Times New Roman" w:cs="Times New Roman"/>
        </w:rPr>
      </w:pPr>
    </w:p>
    <w:p w14:paraId="275252BF" w14:textId="20FF2737" w:rsidR="008263E6" w:rsidRDefault="008263E6" w:rsidP="008263E6">
      <w:pPr>
        <w:rPr>
          <w:rFonts w:ascii="Times New Roman" w:eastAsia="Times New Roman" w:hAnsi="Times New Roman" w:cs="Times New Roman"/>
          <w:color w:val="000000"/>
        </w:rPr>
      </w:pPr>
      <w:r w:rsidRPr="008263E6">
        <w:rPr>
          <w:rFonts w:ascii="Times New Roman" w:eastAsia="Times New Roman" w:hAnsi="Times New Roman" w:cs="Times New Roman"/>
          <w:color w:val="000000"/>
        </w:rPr>
        <w:lastRenderedPageBreak/>
        <w:t>From our t-tests with an unequal variance assumption, we found that the age at death was significantly different between females and males (t=-7.96, p&lt;0.001) with males having a higher average age at death</w:t>
      </w:r>
      <w:r w:rsidR="00760312">
        <w:rPr>
          <w:rFonts w:ascii="Times New Roman" w:eastAsia="Times New Roman" w:hAnsi="Times New Roman" w:cs="Times New Roman"/>
          <w:color w:val="000000"/>
        </w:rPr>
        <w:t xml:space="preserve"> (Figure 1)</w:t>
      </w:r>
      <w:r w:rsidRPr="008263E6">
        <w:rPr>
          <w:rFonts w:ascii="Times New Roman" w:eastAsia="Times New Roman" w:hAnsi="Times New Roman" w:cs="Times New Roman"/>
          <w:color w:val="000000"/>
        </w:rPr>
        <w:t xml:space="preserve">. Radioactive body burdens of female workers were lower than that of males </w:t>
      </w:r>
      <w:proofErr w:type="gramStart"/>
      <w:r w:rsidRPr="008263E6">
        <w:rPr>
          <w:rFonts w:ascii="Times New Roman" w:eastAsia="Times New Roman" w:hAnsi="Times New Roman" w:cs="Times New Roman"/>
          <w:color w:val="000000"/>
        </w:rPr>
        <w:t>and also</w:t>
      </w:r>
      <w:proofErr w:type="gramEnd"/>
      <w:r w:rsidRPr="008263E6">
        <w:rPr>
          <w:rFonts w:ascii="Times New Roman" w:eastAsia="Times New Roman" w:hAnsi="Times New Roman" w:cs="Times New Roman"/>
          <w:color w:val="000000"/>
        </w:rPr>
        <w:t xml:space="preserve"> had a statistically significant difference (t=-4.07, p&lt;0.001). Lastly, the cumulative radioactive body burdens of female workers </w:t>
      </w:r>
      <w:proofErr w:type="gramStart"/>
      <w:r w:rsidRPr="008263E6">
        <w:rPr>
          <w:rFonts w:ascii="Times New Roman" w:eastAsia="Times New Roman" w:hAnsi="Times New Roman" w:cs="Times New Roman"/>
          <w:color w:val="000000"/>
        </w:rPr>
        <w:t>was</w:t>
      </w:r>
      <w:proofErr w:type="gramEnd"/>
      <w:r w:rsidRPr="008263E6">
        <w:rPr>
          <w:rFonts w:ascii="Times New Roman" w:eastAsia="Times New Roman" w:hAnsi="Times New Roman" w:cs="Times New Roman"/>
          <w:color w:val="000000"/>
        </w:rPr>
        <w:t xml:space="preserve"> also lower than that of males (t=-4.53, p&lt;0.001) </w:t>
      </w:r>
    </w:p>
    <w:p w14:paraId="27C9E62B" w14:textId="49525DBA" w:rsidR="00B1722E" w:rsidRDefault="00B1722E" w:rsidP="008263E6">
      <w:pPr>
        <w:rPr>
          <w:rFonts w:ascii="Times New Roman" w:eastAsia="Times New Roman" w:hAnsi="Times New Roman" w:cs="Times New Roman"/>
          <w:color w:val="000000"/>
        </w:rPr>
      </w:pPr>
    </w:p>
    <w:p w14:paraId="77E27D3C" w14:textId="22949200" w:rsidR="00B1722E" w:rsidRDefault="00B1722E" w:rsidP="008263E6">
      <w:pPr>
        <w:rPr>
          <w:rFonts w:ascii="Times New Roman" w:eastAsia="Times New Roman" w:hAnsi="Times New Roman" w:cs="Times New Roman"/>
          <w:color w:val="000000"/>
        </w:rPr>
      </w:pPr>
      <w:r w:rsidRPr="00B1722E">
        <w:rPr>
          <w:rFonts w:ascii="Times New Roman" w:eastAsia="Times New Roman" w:hAnsi="Times New Roman" w:cs="Times New Roman"/>
          <w:b/>
          <w:bCs/>
          <w:color w:val="000000"/>
        </w:rPr>
        <w:t>Table 2.</w:t>
      </w:r>
      <w:r>
        <w:rPr>
          <w:rFonts w:ascii="Times New Roman" w:eastAsia="Times New Roman" w:hAnsi="Times New Roman" w:cs="Times New Roman"/>
          <w:color w:val="000000"/>
        </w:rPr>
        <w:t xml:space="preserve"> T-test results for main analytical sample. </w:t>
      </w:r>
    </w:p>
    <w:tbl>
      <w:tblPr>
        <w:tblW w:w="8897" w:type="dxa"/>
        <w:jc w:val="center"/>
        <w:tblLook w:val="04A0" w:firstRow="1" w:lastRow="0" w:firstColumn="1" w:lastColumn="0" w:noHBand="0" w:noVBand="1"/>
      </w:tblPr>
      <w:tblGrid>
        <w:gridCol w:w="2853"/>
        <w:gridCol w:w="1511"/>
        <w:gridCol w:w="1511"/>
        <w:gridCol w:w="1511"/>
        <w:gridCol w:w="1511"/>
      </w:tblGrid>
      <w:tr w:rsidR="00B1722E" w:rsidRPr="00B1722E" w14:paraId="547F1299" w14:textId="77777777" w:rsidTr="00547749">
        <w:trPr>
          <w:trHeight w:val="572"/>
          <w:jc w:val="center"/>
        </w:trPr>
        <w:tc>
          <w:tcPr>
            <w:tcW w:w="2853" w:type="dxa"/>
            <w:tcBorders>
              <w:top w:val="single" w:sz="4" w:space="0" w:color="auto"/>
              <w:left w:val="nil"/>
              <w:bottom w:val="nil"/>
              <w:right w:val="nil"/>
            </w:tcBorders>
            <w:shd w:val="clear" w:color="auto" w:fill="auto"/>
            <w:noWrap/>
            <w:vAlign w:val="bottom"/>
            <w:hideMark/>
          </w:tcPr>
          <w:p w14:paraId="16C4D2EC" w14:textId="77777777" w:rsidR="00B1722E" w:rsidRPr="00B1722E" w:rsidRDefault="00B1722E" w:rsidP="00B1722E">
            <w:pPr>
              <w:rPr>
                <w:rFonts w:ascii="Times New Roman" w:eastAsia="Times New Roman" w:hAnsi="Times New Roman" w:cs="Times New Roman"/>
                <w:color w:val="000000"/>
              </w:rPr>
            </w:pPr>
            <w:r w:rsidRPr="00B1722E">
              <w:rPr>
                <w:rFonts w:ascii="Times New Roman" w:eastAsia="Times New Roman" w:hAnsi="Times New Roman" w:cs="Times New Roman"/>
                <w:color w:val="000000"/>
              </w:rPr>
              <w:t> </w:t>
            </w:r>
          </w:p>
        </w:tc>
        <w:tc>
          <w:tcPr>
            <w:tcW w:w="1511" w:type="dxa"/>
            <w:tcBorders>
              <w:top w:val="single" w:sz="4" w:space="0" w:color="auto"/>
              <w:left w:val="nil"/>
              <w:bottom w:val="single" w:sz="4" w:space="0" w:color="auto"/>
              <w:right w:val="nil"/>
            </w:tcBorders>
            <w:shd w:val="clear" w:color="auto" w:fill="auto"/>
            <w:vAlign w:val="center"/>
            <w:hideMark/>
          </w:tcPr>
          <w:p w14:paraId="17DC6554"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Mean (SD) for females</w:t>
            </w:r>
          </w:p>
        </w:tc>
        <w:tc>
          <w:tcPr>
            <w:tcW w:w="1511" w:type="dxa"/>
            <w:tcBorders>
              <w:top w:val="single" w:sz="4" w:space="0" w:color="auto"/>
              <w:left w:val="nil"/>
              <w:bottom w:val="single" w:sz="4" w:space="0" w:color="auto"/>
              <w:right w:val="nil"/>
            </w:tcBorders>
            <w:shd w:val="clear" w:color="auto" w:fill="auto"/>
            <w:vAlign w:val="center"/>
            <w:hideMark/>
          </w:tcPr>
          <w:p w14:paraId="7D2806D4"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Mean (SD) for males</w:t>
            </w:r>
          </w:p>
        </w:tc>
        <w:tc>
          <w:tcPr>
            <w:tcW w:w="1511" w:type="dxa"/>
            <w:tcBorders>
              <w:top w:val="single" w:sz="4" w:space="0" w:color="auto"/>
              <w:left w:val="nil"/>
              <w:bottom w:val="single" w:sz="4" w:space="0" w:color="auto"/>
              <w:right w:val="nil"/>
            </w:tcBorders>
            <w:shd w:val="clear" w:color="auto" w:fill="auto"/>
            <w:noWrap/>
            <w:vAlign w:val="center"/>
            <w:hideMark/>
          </w:tcPr>
          <w:p w14:paraId="039ADF84"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t statistics</w:t>
            </w:r>
          </w:p>
        </w:tc>
        <w:tc>
          <w:tcPr>
            <w:tcW w:w="1511" w:type="dxa"/>
            <w:tcBorders>
              <w:top w:val="single" w:sz="4" w:space="0" w:color="auto"/>
              <w:left w:val="nil"/>
              <w:bottom w:val="single" w:sz="4" w:space="0" w:color="auto"/>
              <w:right w:val="nil"/>
            </w:tcBorders>
            <w:shd w:val="clear" w:color="auto" w:fill="auto"/>
            <w:noWrap/>
            <w:vAlign w:val="center"/>
            <w:hideMark/>
          </w:tcPr>
          <w:p w14:paraId="677D7F07" w14:textId="77777777" w:rsidR="00B1722E" w:rsidRPr="00B1722E" w:rsidRDefault="00B1722E" w:rsidP="00B1722E">
            <w:pPr>
              <w:jc w:val="center"/>
              <w:rPr>
                <w:rFonts w:ascii="Times New Roman" w:eastAsia="Times New Roman" w:hAnsi="Times New Roman" w:cs="Times New Roman"/>
                <w:b/>
                <w:bCs/>
                <w:color w:val="000000"/>
              </w:rPr>
            </w:pPr>
            <w:r w:rsidRPr="00B1722E">
              <w:rPr>
                <w:rFonts w:ascii="Times New Roman" w:eastAsia="Times New Roman" w:hAnsi="Times New Roman" w:cs="Times New Roman"/>
                <w:b/>
                <w:bCs/>
                <w:color w:val="000000"/>
              </w:rPr>
              <w:t>p-value</w:t>
            </w:r>
          </w:p>
        </w:tc>
      </w:tr>
      <w:tr w:rsidR="00B1722E" w:rsidRPr="00B1722E" w14:paraId="3EBCE5E4" w14:textId="77777777" w:rsidTr="00547749">
        <w:trPr>
          <w:trHeight w:val="208"/>
          <w:jc w:val="center"/>
        </w:trPr>
        <w:tc>
          <w:tcPr>
            <w:tcW w:w="2853" w:type="dxa"/>
            <w:tcBorders>
              <w:top w:val="nil"/>
              <w:left w:val="nil"/>
              <w:bottom w:val="nil"/>
              <w:right w:val="nil"/>
            </w:tcBorders>
            <w:shd w:val="clear" w:color="auto" w:fill="auto"/>
            <w:noWrap/>
            <w:vAlign w:val="bottom"/>
            <w:hideMark/>
          </w:tcPr>
          <w:p w14:paraId="29F9565E" w14:textId="77777777" w:rsidR="00B1722E" w:rsidRPr="00B1722E" w:rsidRDefault="00B1722E" w:rsidP="00B1722E">
            <w:pPr>
              <w:rPr>
                <w:rFonts w:ascii="Times New Roman" w:eastAsia="Times New Roman" w:hAnsi="Times New Roman" w:cs="Times New Roman"/>
                <w:color w:val="112277"/>
              </w:rPr>
            </w:pPr>
            <w:r w:rsidRPr="00B1722E">
              <w:rPr>
                <w:rFonts w:ascii="Times New Roman" w:eastAsia="Times New Roman" w:hAnsi="Times New Roman" w:cs="Times New Roman"/>
                <w:color w:val="112277"/>
              </w:rPr>
              <w:t>Age at death</w:t>
            </w:r>
          </w:p>
        </w:tc>
        <w:tc>
          <w:tcPr>
            <w:tcW w:w="1511" w:type="dxa"/>
            <w:tcBorders>
              <w:top w:val="nil"/>
              <w:left w:val="nil"/>
              <w:bottom w:val="nil"/>
              <w:right w:val="nil"/>
            </w:tcBorders>
            <w:shd w:val="clear" w:color="auto" w:fill="auto"/>
            <w:noWrap/>
            <w:vAlign w:val="center"/>
            <w:hideMark/>
          </w:tcPr>
          <w:p w14:paraId="5D73255F"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58.32 (13.05)</w:t>
            </w:r>
          </w:p>
        </w:tc>
        <w:tc>
          <w:tcPr>
            <w:tcW w:w="1511" w:type="dxa"/>
            <w:tcBorders>
              <w:top w:val="nil"/>
              <w:left w:val="nil"/>
              <w:bottom w:val="nil"/>
              <w:right w:val="nil"/>
            </w:tcBorders>
            <w:shd w:val="clear" w:color="auto" w:fill="auto"/>
            <w:noWrap/>
            <w:vAlign w:val="center"/>
            <w:hideMark/>
          </w:tcPr>
          <w:p w14:paraId="256D8375"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63.22 (14.14)</w:t>
            </w:r>
          </w:p>
        </w:tc>
        <w:tc>
          <w:tcPr>
            <w:tcW w:w="1511" w:type="dxa"/>
            <w:tcBorders>
              <w:top w:val="nil"/>
              <w:left w:val="nil"/>
              <w:bottom w:val="nil"/>
              <w:right w:val="nil"/>
            </w:tcBorders>
            <w:shd w:val="clear" w:color="auto" w:fill="auto"/>
            <w:noWrap/>
            <w:vAlign w:val="center"/>
            <w:hideMark/>
          </w:tcPr>
          <w:p w14:paraId="7558E017"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-7.96</w:t>
            </w:r>
          </w:p>
        </w:tc>
        <w:tc>
          <w:tcPr>
            <w:tcW w:w="1511" w:type="dxa"/>
            <w:tcBorders>
              <w:top w:val="nil"/>
              <w:left w:val="nil"/>
              <w:bottom w:val="nil"/>
              <w:right w:val="nil"/>
            </w:tcBorders>
            <w:shd w:val="clear" w:color="auto" w:fill="auto"/>
            <w:noWrap/>
            <w:vAlign w:val="center"/>
            <w:hideMark/>
          </w:tcPr>
          <w:p w14:paraId="6D99C239"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p&lt;0.001</w:t>
            </w:r>
          </w:p>
        </w:tc>
      </w:tr>
      <w:tr w:rsidR="00B1722E" w:rsidRPr="00B1722E" w14:paraId="562A55F6" w14:textId="77777777" w:rsidTr="00547749">
        <w:trPr>
          <w:trHeight w:val="208"/>
          <w:jc w:val="center"/>
        </w:trPr>
        <w:tc>
          <w:tcPr>
            <w:tcW w:w="2853" w:type="dxa"/>
            <w:tcBorders>
              <w:top w:val="nil"/>
              <w:left w:val="nil"/>
              <w:bottom w:val="nil"/>
              <w:right w:val="nil"/>
            </w:tcBorders>
            <w:shd w:val="clear" w:color="auto" w:fill="auto"/>
            <w:noWrap/>
            <w:vAlign w:val="bottom"/>
            <w:hideMark/>
          </w:tcPr>
          <w:p w14:paraId="6FCC25EE" w14:textId="77777777" w:rsidR="00B1722E" w:rsidRPr="00B1722E" w:rsidRDefault="00B1722E" w:rsidP="00B1722E">
            <w:pPr>
              <w:rPr>
                <w:rFonts w:ascii="Times New Roman" w:eastAsia="Times New Roman" w:hAnsi="Times New Roman" w:cs="Times New Roman"/>
                <w:color w:val="000000"/>
              </w:rPr>
            </w:pPr>
            <w:r w:rsidRPr="00B1722E">
              <w:rPr>
                <w:rFonts w:ascii="Times New Roman" w:eastAsia="Times New Roman" w:hAnsi="Times New Roman" w:cs="Times New Roman"/>
                <w:color w:val="000000"/>
              </w:rPr>
              <w:t xml:space="preserve">Body burden in </w:t>
            </w:r>
            <w:proofErr w:type="spellStart"/>
            <w:r w:rsidRPr="00B1722E">
              <w:rPr>
                <w:rFonts w:ascii="Times New Roman" w:eastAsia="Times New Roman" w:hAnsi="Times New Roman" w:cs="Times New Roman"/>
                <w:color w:val="000000"/>
              </w:rPr>
              <w:t>nCi</w:t>
            </w:r>
            <w:proofErr w:type="spellEnd"/>
          </w:p>
        </w:tc>
        <w:tc>
          <w:tcPr>
            <w:tcW w:w="1511" w:type="dxa"/>
            <w:tcBorders>
              <w:top w:val="nil"/>
              <w:left w:val="nil"/>
              <w:bottom w:val="nil"/>
              <w:right w:val="nil"/>
            </w:tcBorders>
            <w:shd w:val="clear" w:color="auto" w:fill="auto"/>
            <w:noWrap/>
            <w:vAlign w:val="center"/>
            <w:hideMark/>
          </w:tcPr>
          <w:p w14:paraId="05D80DF5"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1.64 (21.08)</w:t>
            </w:r>
          </w:p>
        </w:tc>
        <w:tc>
          <w:tcPr>
            <w:tcW w:w="1511" w:type="dxa"/>
            <w:tcBorders>
              <w:top w:val="nil"/>
              <w:left w:val="nil"/>
              <w:bottom w:val="nil"/>
              <w:right w:val="nil"/>
            </w:tcBorders>
            <w:shd w:val="clear" w:color="auto" w:fill="auto"/>
            <w:noWrap/>
            <w:vAlign w:val="center"/>
            <w:hideMark/>
          </w:tcPr>
          <w:p w14:paraId="4C9C1219"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6.85 (51.69)</w:t>
            </w:r>
          </w:p>
        </w:tc>
        <w:tc>
          <w:tcPr>
            <w:tcW w:w="1511" w:type="dxa"/>
            <w:tcBorders>
              <w:top w:val="nil"/>
              <w:left w:val="nil"/>
              <w:bottom w:val="nil"/>
              <w:right w:val="nil"/>
            </w:tcBorders>
            <w:shd w:val="clear" w:color="auto" w:fill="auto"/>
            <w:noWrap/>
            <w:vAlign w:val="center"/>
            <w:hideMark/>
          </w:tcPr>
          <w:p w14:paraId="1A6F155D"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-4.07</w:t>
            </w:r>
          </w:p>
        </w:tc>
        <w:tc>
          <w:tcPr>
            <w:tcW w:w="1511" w:type="dxa"/>
            <w:tcBorders>
              <w:top w:val="nil"/>
              <w:left w:val="nil"/>
              <w:bottom w:val="nil"/>
              <w:right w:val="nil"/>
            </w:tcBorders>
            <w:shd w:val="clear" w:color="auto" w:fill="auto"/>
            <w:noWrap/>
            <w:vAlign w:val="center"/>
            <w:hideMark/>
          </w:tcPr>
          <w:p w14:paraId="329340D1"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p&lt;0.001</w:t>
            </w:r>
          </w:p>
        </w:tc>
      </w:tr>
      <w:tr w:rsidR="00B1722E" w:rsidRPr="00B1722E" w14:paraId="51C46170" w14:textId="77777777" w:rsidTr="00547749">
        <w:trPr>
          <w:trHeight w:val="208"/>
          <w:jc w:val="center"/>
        </w:trPr>
        <w:tc>
          <w:tcPr>
            <w:tcW w:w="2853" w:type="dxa"/>
            <w:tcBorders>
              <w:top w:val="nil"/>
              <w:left w:val="nil"/>
              <w:bottom w:val="single" w:sz="4" w:space="0" w:color="auto"/>
              <w:right w:val="nil"/>
            </w:tcBorders>
            <w:shd w:val="clear" w:color="auto" w:fill="auto"/>
            <w:noWrap/>
            <w:vAlign w:val="bottom"/>
            <w:hideMark/>
          </w:tcPr>
          <w:p w14:paraId="31309583" w14:textId="77777777" w:rsidR="00B1722E" w:rsidRPr="00B1722E" w:rsidRDefault="00B1722E" w:rsidP="00B1722E">
            <w:pPr>
              <w:rPr>
                <w:rFonts w:ascii="Times New Roman" w:eastAsia="Times New Roman" w:hAnsi="Times New Roman" w:cs="Times New Roman"/>
                <w:color w:val="000000"/>
              </w:rPr>
            </w:pPr>
            <w:r w:rsidRPr="00B1722E">
              <w:rPr>
                <w:rFonts w:ascii="Times New Roman" w:eastAsia="Times New Roman" w:hAnsi="Times New Roman" w:cs="Times New Roman"/>
                <w:color w:val="000000"/>
              </w:rPr>
              <w:t xml:space="preserve">Body burden in </w:t>
            </w:r>
            <w:proofErr w:type="spellStart"/>
            <w:r w:rsidRPr="00B1722E">
              <w:rPr>
                <w:rFonts w:ascii="Times New Roman" w:eastAsia="Times New Roman" w:hAnsi="Times New Roman" w:cs="Times New Roman"/>
                <w:color w:val="000000"/>
              </w:rPr>
              <w:t>nCi</w:t>
            </w:r>
            <w:proofErr w:type="spellEnd"/>
            <w:r w:rsidRPr="00B1722E">
              <w:rPr>
                <w:rFonts w:ascii="Times New Roman" w:eastAsia="Times New Roman" w:hAnsi="Times New Roman" w:cs="Times New Roman"/>
                <w:color w:val="000000"/>
              </w:rPr>
              <w:t>-years</w:t>
            </w:r>
          </w:p>
        </w:tc>
        <w:tc>
          <w:tcPr>
            <w:tcW w:w="1511" w:type="dxa"/>
            <w:tcBorders>
              <w:top w:val="nil"/>
              <w:left w:val="nil"/>
              <w:bottom w:val="single" w:sz="4" w:space="0" w:color="auto"/>
              <w:right w:val="nil"/>
            </w:tcBorders>
            <w:shd w:val="clear" w:color="auto" w:fill="auto"/>
            <w:noWrap/>
            <w:vAlign w:val="center"/>
            <w:hideMark/>
          </w:tcPr>
          <w:p w14:paraId="2FE47F95"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0.05 (0.56)</w:t>
            </w:r>
          </w:p>
        </w:tc>
        <w:tc>
          <w:tcPr>
            <w:tcW w:w="1511" w:type="dxa"/>
            <w:tcBorders>
              <w:top w:val="nil"/>
              <w:left w:val="nil"/>
              <w:bottom w:val="single" w:sz="4" w:space="0" w:color="auto"/>
              <w:right w:val="nil"/>
            </w:tcBorders>
            <w:shd w:val="clear" w:color="auto" w:fill="auto"/>
            <w:noWrap/>
            <w:vAlign w:val="center"/>
            <w:hideMark/>
          </w:tcPr>
          <w:p w14:paraId="6BFF4B6C"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0.29 (2.71)</w:t>
            </w:r>
          </w:p>
        </w:tc>
        <w:tc>
          <w:tcPr>
            <w:tcW w:w="1511" w:type="dxa"/>
            <w:tcBorders>
              <w:top w:val="nil"/>
              <w:left w:val="nil"/>
              <w:bottom w:val="single" w:sz="4" w:space="0" w:color="auto"/>
              <w:right w:val="nil"/>
            </w:tcBorders>
            <w:shd w:val="clear" w:color="auto" w:fill="auto"/>
            <w:noWrap/>
            <w:vAlign w:val="center"/>
            <w:hideMark/>
          </w:tcPr>
          <w:p w14:paraId="3BFD5556"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-4.53</w:t>
            </w:r>
          </w:p>
        </w:tc>
        <w:tc>
          <w:tcPr>
            <w:tcW w:w="1511" w:type="dxa"/>
            <w:tcBorders>
              <w:top w:val="nil"/>
              <w:left w:val="nil"/>
              <w:bottom w:val="single" w:sz="4" w:space="0" w:color="auto"/>
              <w:right w:val="nil"/>
            </w:tcBorders>
            <w:shd w:val="clear" w:color="auto" w:fill="auto"/>
            <w:noWrap/>
            <w:vAlign w:val="center"/>
            <w:hideMark/>
          </w:tcPr>
          <w:p w14:paraId="00BF9BB0" w14:textId="77777777" w:rsidR="00B1722E" w:rsidRPr="00B1722E" w:rsidRDefault="00B1722E" w:rsidP="00B1722E">
            <w:pPr>
              <w:jc w:val="center"/>
              <w:rPr>
                <w:rFonts w:ascii="Times New Roman" w:eastAsia="Times New Roman" w:hAnsi="Times New Roman" w:cs="Times New Roman"/>
                <w:color w:val="000000"/>
              </w:rPr>
            </w:pPr>
            <w:r w:rsidRPr="00B1722E">
              <w:rPr>
                <w:rFonts w:ascii="Times New Roman" w:eastAsia="Times New Roman" w:hAnsi="Times New Roman" w:cs="Times New Roman"/>
                <w:color w:val="000000"/>
              </w:rPr>
              <w:t>p&lt;0.001</w:t>
            </w:r>
          </w:p>
        </w:tc>
      </w:tr>
    </w:tbl>
    <w:p w14:paraId="38B1D395" w14:textId="77777777" w:rsidR="00B1722E" w:rsidRDefault="00B1722E" w:rsidP="008263E6">
      <w:pPr>
        <w:rPr>
          <w:rFonts w:ascii="Times New Roman" w:eastAsia="Times New Roman" w:hAnsi="Times New Roman" w:cs="Times New Roman"/>
          <w:color w:val="000000"/>
        </w:rPr>
      </w:pPr>
    </w:p>
    <w:p w14:paraId="345FB7FF" w14:textId="4D742E81" w:rsidR="00B1722E" w:rsidRDefault="00B1722E" w:rsidP="008263E6">
      <w:pPr>
        <w:rPr>
          <w:rFonts w:ascii="Times New Roman" w:eastAsia="Times New Roman" w:hAnsi="Times New Roman" w:cs="Times New Roman"/>
        </w:rPr>
      </w:pPr>
    </w:p>
    <w:p w14:paraId="7D28F03D" w14:textId="329B66CD" w:rsidR="00760312" w:rsidRPr="008263E6" w:rsidRDefault="00760312" w:rsidP="008263E6">
      <w:pPr>
        <w:rPr>
          <w:rFonts w:ascii="Times New Roman" w:eastAsia="Times New Roman" w:hAnsi="Times New Roman" w:cs="Times New Roman"/>
        </w:rPr>
      </w:pPr>
      <w:r w:rsidRPr="00760312">
        <w:rPr>
          <w:rFonts w:ascii="Times New Roman" w:eastAsia="Times New Roman" w:hAnsi="Times New Roman" w:cs="Times New Roman"/>
          <w:b/>
          <w:bCs/>
        </w:rPr>
        <w:t>Figure 1.</w:t>
      </w:r>
      <w:r>
        <w:rPr>
          <w:rFonts w:ascii="Times New Roman" w:eastAsia="Times New Roman" w:hAnsi="Times New Roman" w:cs="Times New Roman"/>
        </w:rPr>
        <w:t xml:space="preserve"> Distribution of age at death. </w:t>
      </w:r>
    </w:p>
    <w:p w14:paraId="1C3D325F" w14:textId="341F915B" w:rsidR="008263E6" w:rsidRPr="008263E6" w:rsidRDefault="00760312" w:rsidP="0076031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A181358" wp14:editId="36AF8940">
            <wp:extent cx="3320716" cy="247670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2256" cy="2485308"/>
                    </a:xfrm>
                    <a:prstGeom prst="rect">
                      <a:avLst/>
                    </a:prstGeom>
                  </pic:spPr>
                </pic:pic>
              </a:graphicData>
            </a:graphic>
          </wp:inline>
        </w:drawing>
      </w:r>
    </w:p>
    <w:p w14:paraId="31AD4851" w14:textId="5FBC29C2" w:rsidR="00760312" w:rsidRDefault="008263E6" w:rsidP="008263E6">
      <w:pPr>
        <w:rPr>
          <w:rFonts w:ascii="Times New Roman" w:eastAsia="Times New Roman" w:hAnsi="Times New Roman" w:cs="Times New Roman"/>
          <w:color w:val="000000"/>
        </w:rPr>
      </w:pPr>
      <w:r w:rsidRPr="008263E6">
        <w:rPr>
          <w:rFonts w:ascii="Times New Roman" w:eastAsia="Times New Roman" w:hAnsi="Times New Roman" w:cs="Times New Roman"/>
          <w:color w:val="000000"/>
        </w:rPr>
        <w:t>For our secondary analysis using only individuals who were monitored for plutonium exposure, we only found a significant difference in the radioactive body burdens between females and males (t=-2.03, p=0.046)</w:t>
      </w:r>
    </w:p>
    <w:p w14:paraId="6B30BEFC" w14:textId="481BB153" w:rsidR="00B1722E" w:rsidRDefault="00B1722E" w:rsidP="008263E6">
      <w:pPr>
        <w:rPr>
          <w:rFonts w:ascii="Times New Roman" w:eastAsia="Times New Roman" w:hAnsi="Times New Roman" w:cs="Times New Roman"/>
          <w:color w:val="000000"/>
        </w:rPr>
      </w:pPr>
    </w:p>
    <w:p w14:paraId="696E86A8" w14:textId="374E00FF" w:rsidR="00B1722E" w:rsidRDefault="00B1722E" w:rsidP="008263E6">
      <w:pPr>
        <w:rPr>
          <w:rFonts w:ascii="Times New Roman" w:eastAsia="Times New Roman" w:hAnsi="Times New Roman" w:cs="Times New Roman"/>
          <w:color w:val="000000"/>
        </w:rPr>
      </w:pPr>
      <w:r w:rsidRPr="00B1722E">
        <w:rPr>
          <w:rFonts w:ascii="Times New Roman" w:eastAsia="Times New Roman" w:hAnsi="Times New Roman" w:cs="Times New Roman"/>
          <w:b/>
          <w:bCs/>
          <w:color w:val="000000"/>
        </w:rPr>
        <w:t>Supplemental Table 1.</w:t>
      </w:r>
      <w:r>
        <w:rPr>
          <w:rFonts w:ascii="Times New Roman" w:eastAsia="Times New Roman" w:hAnsi="Times New Roman" w:cs="Times New Roman"/>
          <w:color w:val="000000"/>
        </w:rPr>
        <w:t xml:space="preserve"> T-test results for secondary analytical sample. </w:t>
      </w:r>
    </w:p>
    <w:p w14:paraId="5FF56D61" w14:textId="77777777" w:rsidR="00547749" w:rsidRDefault="00547749" w:rsidP="008263E6">
      <w:pPr>
        <w:rPr>
          <w:rFonts w:ascii="Times New Roman" w:eastAsia="Times New Roman" w:hAnsi="Times New Roman" w:cs="Times New Roman"/>
          <w:color w:val="000000"/>
        </w:rPr>
      </w:pPr>
    </w:p>
    <w:tbl>
      <w:tblPr>
        <w:tblW w:w="7039" w:type="dxa"/>
        <w:jc w:val="center"/>
        <w:tblLook w:val="04A0" w:firstRow="1" w:lastRow="0" w:firstColumn="1" w:lastColumn="0" w:noHBand="0" w:noVBand="1"/>
      </w:tblPr>
      <w:tblGrid>
        <w:gridCol w:w="1947"/>
        <w:gridCol w:w="1273"/>
        <w:gridCol w:w="1273"/>
        <w:gridCol w:w="1273"/>
        <w:gridCol w:w="1273"/>
      </w:tblGrid>
      <w:tr w:rsidR="00B1722E" w:rsidRPr="00B1722E" w14:paraId="498FD5E9" w14:textId="77777777" w:rsidTr="00547749">
        <w:trPr>
          <w:trHeight w:val="607"/>
          <w:jc w:val="center"/>
        </w:trPr>
        <w:tc>
          <w:tcPr>
            <w:tcW w:w="1947" w:type="dxa"/>
            <w:tcBorders>
              <w:top w:val="single" w:sz="4" w:space="0" w:color="auto"/>
              <w:left w:val="nil"/>
              <w:bottom w:val="nil"/>
              <w:right w:val="nil"/>
            </w:tcBorders>
            <w:shd w:val="clear" w:color="auto" w:fill="auto"/>
            <w:noWrap/>
            <w:vAlign w:val="bottom"/>
            <w:hideMark/>
          </w:tcPr>
          <w:p w14:paraId="31709C1C" w14:textId="77777777" w:rsidR="00B1722E" w:rsidRPr="00B1722E" w:rsidRDefault="00B1722E" w:rsidP="00B1722E">
            <w:pP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 </w:t>
            </w:r>
          </w:p>
        </w:tc>
        <w:tc>
          <w:tcPr>
            <w:tcW w:w="1273" w:type="dxa"/>
            <w:tcBorders>
              <w:top w:val="single" w:sz="4" w:space="0" w:color="auto"/>
              <w:left w:val="nil"/>
              <w:bottom w:val="single" w:sz="4" w:space="0" w:color="auto"/>
              <w:right w:val="nil"/>
            </w:tcBorders>
            <w:shd w:val="clear" w:color="auto" w:fill="auto"/>
            <w:vAlign w:val="center"/>
            <w:hideMark/>
          </w:tcPr>
          <w:p w14:paraId="4821AAC0" w14:textId="77777777" w:rsidR="00B1722E" w:rsidRPr="00B1722E" w:rsidRDefault="00B1722E" w:rsidP="00B1722E">
            <w:pPr>
              <w:jc w:val="center"/>
              <w:rPr>
                <w:rFonts w:ascii="Times New Roman" w:eastAsia="Times New Roman" w:hAnsi="Times New Roman" w:cs="Times New Roman"/>
                <w:b/>
                <w:bCs/>
                <w:color w:val="000000"/>
                <w:sz w:val="16"/>
                <w:szCs w:val="16"/>
              </w:rPr>
            </w:pPr>
            <w:r w:rsidRPr="00B1722E">
              <w:rPr>
                <w:rFonts w:ascii="Times New Roman" w:eastAsia="Times New Roman" w:hAnsi="Times New Roman" w:cs="Times New Roman"/>
                <w:b/>
                <w:bCs/>
                <w:color w:val="000000"/>
                <w:sz w:val="16"/>
                <w:szCs w:val="16"/>
              </w:rPr>
              <w:t>Mean (SD) for females</w:t>
            </w:r>
          </w:p>
        </w:tc>
        <w:tc>
          <w:tcPr>
            <w:tcW w:w="1273" w:type="dxa"/>
            <w:tcBorders>
              <w:top w:val="single" w:sz="4" w:space="0" w:color="auto"/>
              <w:left w:val="nil"/>
              <w:bottom w:val="single" w:sz="4" w:space="0" w:color="auto"/>
              <w:right w:val="nil"/>
            </w:tcBorders>
            <w:shd w:val="clear" w:color="auto" w:fill="auto"/>
            <w:vAlign w:val="center"/>
            <w:hideMark/>
          </w:tcPr>
          <w:p w14:paraId="4EA053A7" w14:textId="77777777" w:rsidR="00B1722E" w:rsidRPr="00B1722E" w:rsidRDefault="00B1722E" w:rsidP="00B1722E">
            <w:pPr>
              <w:jc w:val="center"/>
              <w:rPr>
                <w:rFonts w:ascii="Times New Roman" w:eastAsia="Times New Roman" w:hAnsi="Times New Roman" w:cs="Times New Roman"/>
                <w:b/>
                <w:bCs/>
                <w:color w:val="000000"/>
                <w:sz w:val="16"/>
                <w:szCs w:val="16"/>
              </w:rPr>
            </w:pPr>
            <w:r w:rsidRPr="00B1722E">
              <w:rPr>
                <w:rFonts w:ascii="Times New Roman" w:eastAsia="Times New Roman" w:hAnsi="Times New Roman" w:cs="Times New Roman"/>
                <w:b/>
                <w:bCs/>
                <w:color w:val="000000"/>
                <w:sz w:val="16"/>
                <w:szCs w:val="16"/>
              </w:rPr>
              <w:t>Mean (SD) for males</w:t>
            </w:r>
          </w:p>
        </w:tc>
        <w:tc>
          <w:tcPr>
            <w:tcW w:w="1273" w:type="dxa"/>
            <w:tcBorders>
              <w:top w:val="single" w:sz="4" w:space="0" w:color="auto"/>
              <w:left w:val="nil"/>
              <w:bottom w:val="single" w:sz="4" w:space="0" w:color="auto"/>
              <w:right w:val="nil"/>
            </w:tcBorders>
            <w:shd w:val="clear" w:color="auto" w:fill="auto"/>
            <w:noWrap/>
            <w:vAlign w:val="center"/>
            <w:hideMark/>
          </w:tcPr>
          <w:p w14:paraId="77B60794" w14:textId="77777777" w:rsidR="00B1722E" w:rsidRPr="00B1722E" w:rsidRDefault="00B1722E" w:rsidP="00B1722E">
            <w:pPr>
              <w:jc w:val="center"/>
              <w:rPr>
                <w:rFonts w:ascii="Times New Roman" w:eastAsia="Times New Roman" w:hAnsi="Times New Roman" w:cs="Times New Roman"/>
                <w:b/>
                <w:bCs/>
                <w:color w:val="000000"/>
                <w:sz w:val="16"/>
                <w:szCs w:val="16"/>
              </w:rPr>
            </w:pPr>
            <w:r w:rsidRPr="00B1722E">
              <w:rPr>
                <w:rFonts w:ascii="Times New Roman" w:eastAsia="Times New Roman" w:hAnsi="Times New Roman" w:cs="Times New Roman"/>
                <w:b/>
                <w:bCs/>
                <w:color w:val="000000"/>
                <w:sz w:val="16"/>
                <w:szCs w:val="16"/>
              </w:rPr>
              <w:t>t statistics</w:t>
            </w:r>
          </w:p>
        </w:tc>
        <w:tc>
          <w:tcPr>
            <w:tcW w:w="1273" w:type="dxa"/>
            <w:tcBorders>
              <w:top w:val="single" w:sz="4" w:space="0" w:color="auto"/>
              <w:left w:val="nil"/>
              <w:bottom w:val="single" w:sz="4" w:space="0" w:color="auto"/>
              <w:right w:val="nil"/>
            </w:tcBorders>
            <w:shd w:val="clear" w:color="auto" w:fill="auto"/>
            <w:noWrap/>
            <w:vAlign w:val="center"/>
            <w:hideMark/>
          </w:tcPr>
          <w:p w14:paraId="1D4DB7C6" w14:textId="77777777" w:rsidR="00B1722E" w:rsidRPr="00B1722E" w:rsidRDefault="00B1722E" w:rsidP="00B1722E">
            <w:pPr>
              <w:jc w:val="center"/>
              <w:rPr>
                <w:rFonts w:ascii="Times New Roman" w:eastAsia="Times New Roman" w:hAnsi="Times New Roman" w:cs="Times New Roman"/>
                <w:b/>
                <w:bCs/>
                <w:color w:val="000000"/>
                <w:sz w:val="16"/>
                <w:szCs w:val="16"/>
              </w:rPr>
            </w:pPr>
            <w:r w:rsidRPr="00B1722E">
              <w:rPr>
                <w:rFonts w:ascii="Times New Roman" w:eastAsia="Times New Roman" w:hAnsi="Times New Roman" w:cs="Times New Roman"/>
                <w:b/>
                <w:bCs/>
                <w:color w:val="000000"/>
                <w:sz w:val="16"/>
                <w:szCs w:val="16"/>
              </w:rPr>
              <w:t>p-value</w:t>
            </w:r>
          </w:p>
        </w:tc>
      </w:tr>
      <w:tr w:rsidR="00B1722E" w:rsidRPr="00B1722E" w14:paraId="3B7ED323" w14:textId="77777777" w:rsidTr="00547749">
        <w:trPr>
          <w:trHeight w:val="285"/>
          <w:jc w:val="center"/>
        </w:trPr>
        <w:tc>
          <w:tcPr>
            <w:tcW w:w="1947" w:type="dxa"/>
            <w:tcBorders>
              <w:top w:val="nil"/>
              <w:left w:val="nil"/>
              <w:bottom w:val="nil"/>
              <w:right w:val="nil"/>
            </w:tcBorders>
            <w:shd w:val="clear" w:color="auto" w:fill="auto"/>
            <w:noWrap/>
            <w:vAlign w:val="bottom"/>
            <w:hideMark/>
          </w:tcPr>
          <w:p w14:paraId="2E0E2137" w14:textId="77777777" w:rsidR="00B1722E" w:rsidRPr="00B1722E" w:rsidRDefault="00B1722E" w:rsidP="00B1722E">
            <w:pPr>
              <w:rPr>
                <w:rFonts w:ascii="Times New Roman" w:eastAsia="Times New Roman" w:hAnsi="Times New Roman" w:cs="Times New Roman"/>
                <w:b/>
                <w:bCs/>
                <w:color w:val="112277"/>
                <w:sz w:val="16"/>
                <w:szCs w:val="16"/>
              </w:rPr>
            </w:pPr>
            <w:r w:rsidRPr="00B1722E">
              <w:rPr>
                <w:rFonts w:ascii="Times New Roman" w:eastAsia="Times New Roman" w:hAnsi="Times New Roman" w:cs="Times New Roman"/>
                <w:b/>
                <w:bCs/>
                <w:color w:val="112277"/>
                <w:sz w:val="16"/>
                <w:szCs w:val="16"/>
              </w:rPr>
              <w:t>Age at death</w:t>
            </w:r>
          </w:p>
        </w:tc>
        <w:tc>
          <w:tcPr>
            <w:tcW w:w="1273" w:type="dxa"/>
            <w:tcBorders>
              <w:top w:val="nil"/>
              <w:left w:val="nil"/>
              <w:bottom w:val="nil"/>
              <w:right w:val="nil"/>
            </w:tcBorders>
            <w:shd w:val="clear" w:color="auto" w:fill="auto"/>
            <w:noWrap/>
            <w:vAlign w:val="center"/>
            <w:hideMark/>
          </w:tcPr>
          <w:p w14:paraId="6F1CFF16"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57.86 (11.40)</w:t>
            </w:r>
          </w:p>
        </w:tc>
        <w:tc>
          <w:tcPr>
            <w:tcW w:w="1273" w:type="dxa"/>
            <w:tcBorders>
              <w:top w:val="nil"/>
              <w:left w:val="nil"/>
              <w:bottom w:val="nil"/>
              <w:right w:val="nil"/>
            </w:tcBorders>
            <w:shd w:val="clear" w:color="auto" w:fill="auto"/>
            <w:noWrap/>
            <w:vAlign w:val="center"/>
            <w:hideMark/>
          </w:tcPr>
          <w:p w14:paraId="4672F377"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61.77 (13.76)</w:t>
            </w:r>
          </w:p>
        </w:tc>
        <w:tc>
          <w:tcPr>
            <w:tcW w:w="1273" w:type="dxa"/>
            <w:tcBorders>
              <w:top w:val="nil"/>
              <w:left w:val="nil"/>
              <w:bottom w:val="nil"/>
              <w:right w:val="nil"/>
            </w:tcBorders>
            <w:shd w:val="clear" w:color="auto" w:fill="auto"/>
            <w:noWrap/>
            <w:vAlign w:val="bottom"/>
            <w:hideMark/>
          </w:tcPr>
          <w:p w14:paraId="42F2FB77" w14:textId="77777777" w:rsidR="00B1722E" w:rsidRPr="00B1722E" w:rsidRDefault="00B1722E" w:rsidP="00B1722E">
            <w:pPr>
              <w:jc w:val="center"/>
              <w:rPr>
                <w:rFonts w:ascii="Times Roman" w:eastAsia="Times New Roman" w:hAnsi="Times Roman" w:cs="Calibri"/>
                <w:color w:val="000000"/>
                <w:sz w:val="16"/>
                <w:szCs w:val="16"/>
              </w:rPr>
            </w:pPr>
            <w:r w:rsidRPr="00B1722E">
              <w:rPr>
                <w:rFonts w:ascii="Times Roman" w:eastAsia="Times New Roman" w:hAnsi="Times Roman" w:cs="Calibri"/>
                <w:color w:val="000000"/>
                <w:sz w:val="16"/>
                <w:szCs w:val="16"/>
              </w:rPr>
              <w:t>-1.95</w:t>
            </w:r>
          </w:p>
        </w:tc>
        <w:tc>
          <w:tcPr>
            <w:tcW w:w="1273" w:type="dxa"/>
            <w:tcBorders>
              <w:top w:val="nil"/>
              <w:left w:val="nil"/>
              <w:bottom w:val="nil"/>
              <w:right w:val="nil"/>
            </w:tcBorders>
            <w:shd w:val="clear" w:color="auto" w:fill="auto"/>
            <w:noWrap/>
            <w:vAlign w:val="center"/>
            <w:hideMark/>
          </w:tcPr>
          <w:p w14:paraId="7EA5D8E5"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0.059</w:t>
            </w:r>
          </w:p>
        </w:tc>
      </w:tr>
      <w:tr w:rsidR="00B1722E" w:rsidRPr="00B1722E" w14:paraId="653F9A2B" w14:textId="77777777" w:rsidTr="00547749">
        <w:trPr>
          <w:trHeight w:val="285"/>
          <w:jc w:val="center"/>
        </w:trPr>
        <w:tc>
          <w:tcPr>
            <w:tcW w:w="1947" w:type="dxa"/>
            <w:tcBorders>
              <w:top w:val="nil"/>
              <w:left w:val="nil"/>
              <w:bottom w:val="nil"/>
              <w:right w:val="nil"/>
            </w:tcBorders>
            <w:shd w:val="clear" w:color="auto" w:fill="auto"/>
            <w:noWrap/>
            <w:vAlign w:val="bottom"/>
            <w:hideMark/>
          </w:tcPr>
          <w:p w14:paraId="0B76A8A1" w14:textId="77777777" w:rsidR="00B1722E" w:rsidRPr="00B1722E" w:rsidRDefault="00B1722E" w:rsidP="00B1722E">
            <w:pP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 xml:space="preserve">Body burden in </w:t>
            </w:r>
            <w:proofErr w:type="spellStart"/>
            <w:r w:rsidRPr="00B1722E">
              <w:rPr>
                <w:rFonts w:ascii="Times New Roman" w:eastAsia="Times New Roman" w:hAnsi="Times New Roman" w:cs="Times New Roman"/>
                <w:color w:val="000000"/>
                <w:sz w:val="16"/>
                <w:szCs w:val="16"/>
              </w:rPr>
              <w:t>nCi</w:t>
            </w:r>
            <w:proofErr w:type="spellEnd"/>
          </w:p>
        </w:tc>
        <w:tc>
          <w:tcPr>
            <w:tcW w:w="1273" w:type="dxa"/>
            <w:tcBorders>
              <w:top w:val="nil"/>
              <w:left w:val="nil"/>
              <w:bottom w:val="nil"/>
              <w:right w:val="nil"/>
            </w:tcBorders>
            <w:shd w:val="clear" w:color="auto" w:fill="auto"/>
            <w:noWrap/>
            <w:vAlign w:val="center"/>
            <w:hideMark/>
          </w:tcPr>
          <w:p w14:paraId="622FE3D4"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25.16 (79.88)</w:t>
            </w:r>
          </w:p>
        </w:tc>
        <w:tc>
          <w:tcPr>
            <w:tcW w:w="1273" w:type="dxa"/>
            <w:tcBorders>
              <w:top w:val="nil"/>
              <w:left w:val="nil"/>
              <w:bottom w:val="nil"/>
              <w:right w:val="nil"/>
            </w:tcBorders>
            <w:shd w:val="clear" w:color="auto" w:fill="auto"/>
            <w:noWrap/>
            <w:vAlign w:val="center"/>
            <w:hideMark/>
          </w:tcPr>
          <w:p w14:paraId="624436D2"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38.46 (117.5)</w:t>
            </w:r>
          </w:p>
        </w:tc>
        <w:tc>
          <w:tcPr>
            <w:tcW w:w="1273" w:type="dxa"/>
            <w:tcBorders>
              <w:top w:val="nil"/>
              <w:left w:val="nil"/>
              <w:bottom w:val="nil"/>
              <w:right w:val="nil"/>
            </w:tcBorders>
            <w:shd w:val="clear" w:color="auto" w:fill="auto"/>
            <w:noWrap/>
            <w:vAlign w:val="bottom"/>
            <w:hideMark/>
          </w:tcPr>
          <w:p w14:paraId="6DF80B53" w14:textId="77777777" w:rsidR="00B1722E" w:rsidRPr="00B1722E" w:rsidRDefault="00B1722E" w:rsidP="00B1722E">
            <w:pPr>
              <w:jc w:val="center"/>
              <w:rPr>
                <w:rFonts w:ascii="Times Roman" w:eastAsia="Times New Roman" w:hAnsi="Times Roman" w:cs="Calibri"/>
                <w:color w:val="000000"/>
                <w:sz w:val="16"/>
                <w:szCs w:val="16"/>
              </w:rPr>
            </w:pPr>
            <w:r w:rsidRPr="00B1722E">
              <w:rPr>
                <w:rFonts w:ascii="Times Roman" w:eastAsia="Times New Roman" w:hAnsi="Times Roman" w:cs="Calibri"/>
                <w:color w:val="000000"/>
                <w:sz w:val="16"/>
                <w:szCs w:val="16"/>
              </w:rPr>
              <w:t>-0.93</w:t>
            </w:r>
          </w:p>
        </w:tc>
        <w:tc>
          <w:tcPr>
            <w:tcW w:w="1273" w:type="dxa"/>
            <w:tcBorders>
              <w:top w:val="nil"/>
              <w:left w:val="nil"/>
              <w:bottom w:val="nil"/>
              <w:right w:val="nil"/>
            </w:tcBorders>
            <w:shd w:val="clear" w:color="auto" w:fill="auto"/>
            <w:noWrap/>
            <w:vAlign w:val="center"/>
            <w:hideMark/>
          </w:tcPr>
          <w:p w14:paraId="5FD764B7"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0.358</w:t>
            </w:r>
          </w:p>
        </w:tc>
      </w:tr>
      <w:tr w:rsidR="00B1722E" w:rsidRPr="00B1722E" w14:paraId="4ADC39F2" w14:textId="77777777" w:rsidTr="00547749">
        <w:trPr>
          <w:trHeight w:val="285"/>
          <w:jc w:val="center"/>
        </w:trPr>
        <w:tc>
          <w:tcPr>
            <w:tcW w:w="1947" w:type="dxa"/>
            <w:tcBorders>
              <w:top w:val="nil"/>
              <w:left w:val="nil"/>
              <w:bottom w:val="single" w:sz="4" w:space="0" w:color="auto"/>
              <w:right w:val="nil"/>
            </w:tcBorders>
            <w:shd w:val="clear" w:color="auto" w:fill="auto"/>
            <w:noWrap/>
            <w:vAlign w:val="bottom"/>
            <w:hideMark/>
          </w:tcPr>
          <w:p w14:paraId="540A4DB8" w14:textId="77777777" w:rsidR="00B1722E" w:rsidRPr="00B1722E" w:rsidRDefault="00B1722E" w:rsidP="00B1722E">
            <w:pP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 xml:space="preserve">Body burden in </w:t>
            </w:r>
            <w:proofErr w:type="spellStart"/>
            <w:r w:rsidRPr="00B1722E">
              <w:rPr>
                <w:rFonts w:ascii="Times New Roman" w:eastAsia="Times New Roman" w:hAnsi="Times New Roman" w:cs="Times New Roman"/>
                <w:color w:val="000000"/>
                <w:sz w:val="16"/>
                <w:szCs w:val="16"/>
              </w:rPr>
              <w:t>nCi</w:t>
            </w:r>
            <w:proofErr w:type="spellEnd"/>
            <w:r w:rsidRPr="00B1722E">
              <w:rPr>
                <w:rFonts w:ascii="Times New Roman" w:eastAsia="Times New Roman" w:hAnsi="Times New Roman" w:cs="Times New Roman"/>
                <w:color w:val="000000"/>
                <w:sz w:val="16"/>
                <w:szCs w:val="16"/>
              </w:rPr>
              <w:t>-years</w:t>
            </w:r>
          </w:p>
        </w:tc>
        <w:tc>
          <w:tcPr>
            <w:tcW w:w="1273" w:type="dxa"/>
            <w:tcBorders>
              <w:top w:val="nil"/>
              <w:left w:val="nil"/>
              <w:bottom w:val="single" w:sz="4" w:space="0" w:color="auto"/>
              <w:right w:val="nil"/>
            </w:tcBorders>
            <w:shd w:val="clear" w:color="auto" w:fill="auto"/>
            <w:noWrap/>
            <w:vAlign w:val="center"/>
            <w:hideMark/>
          </w:tcPr>
          <w:p w14:paraId="2A546D7A"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0.71 (2.11)</w:t>
            </w:r>
          </w:p>
        </w:tc>
        <w:tc>
          <w:tcPr>
            <w:tcW w:w="1273" w:type="dxa"/>
            <w:tcBorders>
              <w:top w:val="nil"/>
              <w:left w:val="nil"/>
              <w:bottom w:val="single" w:sz="4" w:space="0" w:color="auto"/>
              <w:right w:val="nil"/>
            </w:tcBorders>
            <w:shd w:val="clear" w:color="auto" w:fill="auto"/>
            <w:noWrap/>
            <w:vAlign w:val="center"/>
            <w:hideMark/>
          </w:tcPr>
          <w:p w14:paraId="03F8AECD"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1.61 (6.27)</w:t>
            </w:r>
          </w:p>
        </w:tc>
        <w:tc>
          <w:tcPr>
            <w:tcW w:w="1273" w:type="dxa"/>
            <w:tcBorders>
              <w:top w:val="nil"/>
              <w:left w:val="nil"/>
              <w:bottom w:val="single" w:sz="4" w:space="0" w:color="auto"/>
              <w:right w:val="nil"/>
            </w:tcBorders>
            <w:shd w:val="clear" w:color="auto" w:fill="auto"/>
            <w:noWrap/>
            <w:vAlign w:val="center"/>
            <w:hideMark/>
          </w:tcPr>
          <w:p w14:paraId="76569AE7" w14:textId="77777777" w:rsidR="00B1722E" w:rsidRPr="00B1722E" w:rsidRDefault="00B1722E" w:rsidP="00B1722E">
            <w:pPr>
              <w:jc w:val="center"/>
              <w:rPr>
                <w:rFonts w:ascii="Times Roman" w:eastAsia="Times New Roman" w:hAnsi="Times Roman" w:cs="Calibri"/>
                <w:color w:val="000000"/>
                <w:sz w:val="16"/>
                <w:szCs w:val="16"/>
              </w:rPr>
            </w:pPr>
            <w:r w:rsidRPr="00B1722E">
              <w:rPr>
                <w:rFonts w:ascii="Times Roman" w:eastAsia="Times New Roman" w:hAnsi="Times Roman" w:cs="Calibri"/>
                <w:color w:val="000000"/>
                <w:sz w:val="16"/>
                <w:szCs w:val="16"/>
              </w:rPr>
              <w:t>-2.03</w:t>
            </w:r>
          </w:p>
        </w:tc>
        <w:tc>
          <w:tcPr>
            <w:tcW w:w="1273" w:type="dxa"/>
            <w:tcBorders>
              <w:top w:val="nil"/>
              <w:left w:val="nil"/>
              <w:bottom w:val="single" w:sz="4" w:space="0" w:color="auto"/>
              <w:right w:val="nil"/>
            </w:tcBorders>
            <w:shd w:val="clear" w:color="auto" w:fill="auto"/>
            <w:noWrap/>
            <w:vAlign w:val="center"/>
            <w:hideMark/>
          </w:tcPr>
          <w:p w14:paraId="7381851A" w14:textId="77777777" w:rsidR="00B1722E" w:rsidRPr="00B1722E" w:rsidRDefault="00B1722E" w:rsidP="00B1722E">
            <w:pPr>
              <w:jc w:val="center"/>
              <w:rPr>
                <w:rFonts w:ascii="Times New Roman" w:eastAsia="Times New Roman" w:hAnsi="Times New Roman" w:cs="Times New Roman"/>
                <w:color w:val="000000"/>
                <w:sz w:val="16"/>
                <w:szCs w:val="16"/>
              </w:rPr>
            </w:pPr>
            <w:r w:rsidRPr="00B1722E">
              <w:rPr>
                <w:rFonts w:ascii="Times New Roman" w:eastAsia="Times New Roman" w:hAnsi="Times New Roman" w:cs="Times New Roman"/>
                <w:color w:val="000000"/>
                <w:sz w:val="16"/>
                <w:szCs w:val="16"/>
              </w:rPr>
              <w:t>0.046</w:t>
            </w:r>
          </w:p>
        </w:tc>
      </w:tr>
    </w:tbl>
    <w:p w14:paraId="66636DC5" w14:textId="77777777" w:rsidR="00B1722E" w:rsidRDefault="00B1722E" w:rsidP="008263E6">
      <w:pPr>
        <w:rPr>
          <w:rFonts w:ascii="Times New Roman" w:eastAsia="Times New Roman" w:hAnsi="Times New Roman" w:cs="Times New Roman"/>
          <w:color w:val="000000"/>
        </w:rPr>
      </w:pPr>
    </w:p>
    <w:p w14:paraId="06F5EC62" w14:textId="237A10A8" w:rsidR="00B1722E" w:rsidRDefault="00B1722E" w:rsidP="008263E6">
      <w:pPr>
        <w:rPr>
          <w:rFonts w:ascii="Times New Roman" w:eastAsia="Times New Roman" w:hAnsi="Times New Roman" w:cs="Times New Roman"/>
          <w:color w:val="000000"/>
        </w:rPr>
      </w:pPr>
    </w:p>
    <w:p w14:paraId="1CDDBCD6" w14:textId="77777777" w:rsidR="00B1722E" w:rsidRPr="008263E6" w:rsidRDefault="00B1722E" w:rsidP="008263E6">
      <w:pPr>
        <w:rPr>
          <w:rFonts w:ascii="Times New Roman" w:eastAsia="Times New Roman" w:hAnsi="Times New Roman" w:cs="Times New Roman"/>
        </w:rPr>
      </w:pPr>
    </w:p>
    <w:p w14:paraId="1AF31604" w14:textId="77777777" w:rsidR="008263E6" w:rsidRPr="008263E6" w:rsidRDefault="008263E6" w:rsidP="008263E6">
      <w:pPr>
        <w:rPr>
          <w:rFonts w:ascii="Times New Roman" w:eastAsia="Times New Roman" w:hAnsi="Times New Roman" w:cs="Times New Roman"/>
        </w:rPr>
      </w:pPr>
    </w:p>
    <w:p w14:paraId="7AA05E1B" w14:textId="77777777" w:rsidR="008263E6" w:rsidRPr="008263E6" w:rsidRDefault="008263E6" w:rsidP="008263E6">
      <w:pP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lastRenderedPageBreak/>
        <w:t>DISCUSSION</w:t>
      </w:r>
    </w:p>
    <w:p w14:paraId="75473D06" w14:textId="77777777" w:rsidR="008263E6" w:rsidRPr="008263E6" w:rsidRDefault="008263E6" w:rsidP="008263E6">
      <w:pPr>
        <w:rPr>
          <w:rFonts w:ascii="Times New Roman" w:eastAsia="Times New Roman" w:hAnsi="Times New Roman" w:cs="Times New Roman"/>
        </w:rPr>
      </w:pPr>
    </w:p>
    <w:p w14:paraId="48FCFBE7"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The results of the analyses in the study of 3856 eligible workers at the LANL indicated a higher age at death in males than females, whereas a lower radioactive body burden, and lower cumulative radioactive body burden of female than male workers. However, in our secondary analyses, no significant differences were found in the age at death and the cumulative radioactive body burden among male and female workers, although a higher radioactive body burden was shown in males over females. Generally, males were shown to receive more radiation exposure than females, but males still have a longer lifespan than females. </w:t>
      </w:r>
    </w:p>
    <w:p w14:paraId="2C5895F9" w14:textId="77777777" w:rsidR="008263E6" w:rsidRPr="008263E6" w:rsidRDefault="008263E6" w:rsidP="008263E6">
      <w:pPr>
        <w:rPr>
          <w:rFonts w:ascii="Times New Roman" w:eastAsia="Times New Roman" w:hAnsi="Times New Roman" w:cs="Times New Roman"/>
        </w:rPr>
      </w:pPr>
    </w:p>
    <w:p w14:paraId="5D7E4F1E" w14:textId="4FB7AAD1"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 xml:space="preserve">The finding of longer lifespan in males are consistent with previous epidemiology studies, especially those under workplace settings, which validated that gender extensively served as a key effect modifier. In this case, males were claimed to have superior health outcomes regarding its linkage to the social, </w:t>
      </w:r>
      <w:proofErr w:type="gramStart"/>
      <w:r w:rsidRPr="008263E6">
        <w:rPr>
          <w:rFonts w:ascii="Times New Roman" w:eastAsia="Times New Roman" w:hAnsi="Times New Roman" w:cs="Times New Roman"/>
          <w:color w:val="000000"/>
        </w:rPr>
        <w:t>economic</w:t>
      </w:r>
      <w:proofErr w:type="gramEnd"/>
      <w:r w:rsidRPr="008263E6">
        <w:rPr>
          <w:rFonts w:ascii="Times New Roman" w:eastAsia="Times New Roman" w:hAnsi="Times New Roman" w:cs="Times New Roman"/>
          <w:color w:val="000000"/>
        </w:rPr>
        <w:t xml:space="preserve"> and biological determinants and consequences of diseases and conditions [</w:t>
      </w:r>
      <w:r w:rsidR="00F61878">
        <w:rPr>
          <w:rFonts w:ascii="Times New Roman" w:eastAsia="Times New Roman" w:hAnsi="Times New Roman" w:cs="Times New Roman"/>
          <w:color w:val="000000"/>
        </w:rPr>
        <w:t>5</w:t>
      </w:r>
      <w:r w:rsidRPr="008263E6">
        <w:rPr>
          <w:rFonts w:ascii="Times New Roman" w:eastAsia="Times New Roman" w:hAnsi="Times New Roman" w:cs="Times New Roman"/>
          <w:color w:val="000000"/>
        </w:rPr>
        <w:t>,</w:t>
      </w:r>
      <w:r w:rsidR="00F61878">
        <w:rPr>
          <w:rFonts w:ascii="Times New Roman" w:eastAsia="Times New Roman" w:hAnsi="Times New Roman" w:cs="Times New Roman"/>
          <w:color w:val="000000"/>
        </w:rPr>
        <w:t>6</w:t>
      </w:r>
      <w:r w:rsidRPr="008263E6">
        <w:rPr>
          <w:rFonts w:ascii="Times New Roman" w:eastAsia="Times New Roman" w:hAnsi="Times New Roman" w:cs="Times New Roman"/>
          <w:color w:val="000000"/>
        </w:rPr>
        <w:t xml:space="preserve">]. A possible assumption for the higher radioactive body burden in male workers can be the existence of gender stereotypes in the workplace 50 years ago. The different subdivided types of work among male and female workers may cause workers of the two genders disproportionately exposed to environmental radiation exposure, despite their comparable working hours. Also, lack of records in detailed types of work in the data set increases the credibility of this hypothesis. In addition, </w:t>
      </w:r>
      <w:r w:rsidRPr="008263E6">
        <w:rPr>
          <w:rFonts w:ascii="Times New Roman" w:eastAsia="Times New Roman" w:hAnsi="Times New Roman" w:cs="Times New Roman"/>
          <w:color w:val="000000"/>
          <w:shd w:val="clear" w:color="auto" w:fill="FFFFFF"/>
        </w:rPr>
        <w:t xml:space="preserve">Nguyen </w:t>
      </w:r>
      <w:proofErr w:type="gramStart"/>
      <w:r w:rsidRPr="008263E6">
        <w:rPr>
          <w:rFonts w:ascii="Times New Roman" w:eastAsia="Times New Roman" w:hAnsi="Times New Roman" w:cs="Times New Roman"/>
          <w:color w:val="000000"/>
          <w:shd w:val="clear" w:color="auto" w:fill="FFFFFF"/>
        </w:rPr>
        <w:t>et al.[</w:t>
      </w:r>
      <w:proofErr w:type="gramEnd"/>
      <w:r w:rsidR="00F61878">
        <w:rPr>
          <w:rFonts w:ascii="Times New Roman" w:eastAsia="Times New Roman" w:hAnsi="Times New Roman" w:cs="Times New Roman"/>
          <w:color w:val="000000"/>
          <w:shd w:val="clear" w:color="auto" w:fill="FFFFFF"/>
        </w:rPr>
        <w:t>7</w:t>
      </w:r>
      <w:r w:rsidRPr="008263E6">
        <w:rPr>
          <w:rFonts w:ascii="Times New Roman" w:eastAsia="Times New Roman" w:hAnsi="Times New Roman" w:cs="Times New Roman"/>
          <w:color w:val="000000"/>
          <w:shd w:val="clear" w:color="auto" w:fill="FFFFFF"/>
        </w:rPr>
        <w:t>] suggested in their study that females were more likely to have better knowledge and overall awareness of self-protection, which confirms the idea that females may protect themselves better from radiation hazards compared with males. </w:t>
      </w:r>
    </w:p>
    <w:p w14:paraId="51AE0DAF" w14:textId="77777777" w:rsidR="008263E6" w:rsidRPr="008263E6" w:rsidRDefault="008263E6" w:rsidP="008263E6">
      <w:pPr>
        <w:rPr>
          <w:rFonts w:ascii="Times New Roman" w:eastAsia="Times New Roman" w:hAnsi="Times New Roman" w:cs="Times New Roman"/>
        </w:rPr>
      </w:pPr>
    </w:p>
    <w:p w14:paraId="1D4FDFF9"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shd w:val="clear" w:color="auto" w:fill="FFFFFF"/>
        </w:rPr>
        <w:t>Several limitations of the current study need to be acknowledged. First, among all 22,517 workers employed between 1943 and 1980, 18,661 participants were excluded for lack of death date records. The decrease in sample size can reduce the power of the study and increase the margin of error. Second, health hazards caused by low-dose radiation theoretically require longer time to appear, leading to the insufficiency of data used for current analysis. Third, lacking information of working types of workers in LANL may introduce potential selection bias into the exposure assessment step.</w:t>
      </w:r>
    </w:p>
    <w:p w14:paraId="1C500E6E" w14:textId="77777777" w:rsidR="008263E6" w:rsidRPr="008263E6" w:rsidRDefault="008263E6" w:rsidP="008263E6">
      <w:pPr>
        <w:rPr>
          <w:rFonts w:ascii="Times New Roman" w:eastAsia="Times New Roman" w:hAnsi="Times New Roman" w:cs="Times New Roman"/>
        </w:rPr>
      </w:pPr>
    </w:p>
    <w:p w14:paraId="46464390"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shd w:val="clear" w:color="auto" w:fill="FFFFFF"/>
        </w:rPr>
        <w:t xml:space="preserve">Future research should be therefore concentrated on including up-to-date mortality data and types of work information into analysis. </w:t>
      </w:r>
      <w:r w:rsidRPr="008263E6">
        <w:rPr>
          <w:rFonts w:ascii="Times New Roman" w:eastAsia="Times New Roman" w:hAnsi="Times New Roman" w:cs="Times New Roman"/>
          <w:color w:val="000000"/>
        </w:rPr>
        <w:t>Also, contrastive evaluation analysis of workers in similar nuclear laboratories such as Hanford, Savannah River and Rocky Flats will be needed [1].</w:t>
      </w:r>
    </w:p>
    <w:p w14:paraId="109ACE99" w14:textId="77777777" w:rsidR="008263E6" w:rsidRPr="008263E6" w:rsidRDefault="008263E6" w:rsidP="008263E6">
      <w:pPr>
        <w:spacing w:after="240"/>
        <w:rPr>
          <w:rFonts w:ascii="Times New Roman" w:eastAsia="Times New Roman" w:hAnsi="Times New Roman" w:cs="Times New Roman"/>
        </w:rPr>
      </w:pPr>
    </w:p>
    <w:p w14:paraId="1DF46A8C" w14:textId="77777777" w:rsidR="008263E6" w:rsidRPr="008263E6" w:rsidRDefault="008263E6" w:rsidP="008263E6">
      <w:pP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t>CONCLUSIONS</w:t>
      </w:r>
    </w:p>
    <w:p w14:paraId="44A841B8" w14:textId="77777777" w:rsidR="008263E6" w:rsidRPr="008263E6" w:rsidRDefault="008263E6" w:rsidP="008263E6">
      <w:pPr>
        <w:rPr>
          <w:rFonts w:ascii="Times New Roman" w:eastAsia="Times New Roman" w:hAnsi="Times New Roman" w:cs="Times New Roman"/>
        </w:rPr>
      </w:pPr>
    </w:p>
    <w:p w14:paraId="05EE06EA" w14:textId="02F19FB9" w:rsidR="008263E6" w:rsidRDefault="008263E6" w:rsidP="008263E6">
      <w:pPr>
        <w:rPr>
          <w:rFonts w:ascii="Times New Roman" w:eastAsia="Times New Roman" w:hAnsi="Times New Roman" w:cs="Times New Roman"/>
          <w:color w:val="000000"/>
        </w:rPr>
      </w:pPr>
      <w:r w:rsidRPr="008263E6">
        <w:rPr>
          <w:rFonts w:ascii="Times New Roman" w:eastAsia="Times New Roman" w:hAnsi="Times New Roman" w:cs="Times New Roman"/>
          <w:color w:val="000000"/>
        </w:rPr>
        <w:t>Of all workers in LANL between 1943 and 1977, females tended to die earlier compared with males. However, males tended to have more radioactive body burden in both instant and cumulative measurement. Of workers who were monitored for plutonium exposure during that time, there is no significant difference in both death ages and radioactive body burden between females and males.</w:t>
      </w:r>
    </w:p>
    <w:p w14:paraId="0A892891" w14:textId="4AE60A89" w:rsidR="006136D0" w:rsidRDefault="006136D0" w:rsidP="008263E6">
      <w:pPr>
        <w:rPr>
          <w:rFonts w:ascii="Times New Roman" w:eastAsia="Times New Roman" w:hAnsi="Times New Roman" w:cs="Times New Roman"/>
          <w:color w:val="000000"/>
        </w:rPr>
      </w:pPr>
    </w:p>
    <w:p w14:paraId="50EC8219" w14:textId="77777777" w:rsidR="00547749" w:rsidRDefault="00547749" w:rsidP="008263E6">
      <w:pPr>
        <w:outlineLvl w:val="2"/>
        <w:rPr>
          <w:rFonts w:ascii="Times New Roman" w:eastAsia="Times New Roman" w:hAnsi="Times New Roman" w:cs="Times New Roman"/>
        </w:rPr>
      </w:pPr>
    </w:p>
    <w:p w14:paraId="6F440C52" w14:textId="617497B2" w:rsidR="008263E6" w:rsidRPr="008263E6" w:rsidRDefault="008263E6" w:rsidP="008263E6">
      <w:pPr>
        <w:outlineLvl w:val="2"/>
        <w:rPr>
          <w:rFonts w:ascii="Times New Roman" w:eastAsia="Times New Roman" w:hAnsi="Times New Roman" w:cs="Times New Roman"/>
          <w:b/>
          <w:bCs/>
          <w:sz w:val="27"/>
          <w:szCs w:val="27"/>
        </w:rPr>
      </w:pPr>
      <w:r w:rsidRPr="008263E6">
        <w:rPr>
          <w:rFonts w:ascii="Times New Roman" w:eastAsia="Times New Roman" w:hAnsi="Times New Roman" w:cs="Times New Roman"/>
          <w:b/>
          <w:bCs/>
          <w:color w:val="000000"/>
        </w:rPr>
        <w:lastRenderedPageBreak/>
        <w:t>REFERENCES</w:t>
      </w:r>
    </w:p>
    <w:p w14:paraId="20998C85" w14:textId="77777777" w:rsidR="008263E6" w:rsidRPr="008263E6" w:rsidRDefault="008263E6" w:rsidP="008263E6">
      <w:pPr>
        <w:rPr>
          <w:rFonts w:ascii="Times New Roman" w:eastAsia="Times New Roman" w:hAnsi="Times New Roman" w:cs="Times New Roman"/>
        </w:rPr>
      </w:pPr>
    </w:p>
    <w:p w14:paraId="3DB07EFE"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1.</w:t>
      </w:r>
      <w:r w:rsidRPr="008263E6">
        <w:rPr>
          <w:rFonts w:ascii="Times New Roman" w:eastAsia="Times New Roman" w:hAnsi="Times New Roman" w:cs="Times New Roman"/>
          <w:color w:val="000000"/>
        </w:rPr>
        <w:tab/>
      </w:r>
      <w:proofErr w:type="spellStart"/>
      <w:r w:rsidRPr="008263E6">
        <w:rPr>
          <w:rFonts w:ascii="Times New Roman" w:eastAsia="Times New Roman" w:hAnsi="Times New Roman" w:cs="Times New Roman"/>
          <w:color w:val="000000"/>
        </w:rPr>
        <w:t>Boice</w:t>
      </w:r>
      <w:proofErr w:type="spellEnd"/>
      <w:r w:rsidRPr="008263E6">
        <w:rPr>
          <w:rFonts w:ascii="Times New Roman" w:eastAsia="Times New Roman" w:hAnsi="Times New Roman" w:cs="Times New Roman"/>
          <w:color w:val="000000"/>
        </w:rPr>
        <w:t xml:space="preserve"> Jr JD, Cohen SS, Mumma MT, Golden AP, Howard SC, Girardi DJ, et al. Mortality among Workers at the Los Alamos National Laboratory, 1943-2017. International Journal of Radiation Biology. 2021(just-accepted):1-83.</w:t>
      </w:r>
    </w:p>
    <w:p w14:paraId="3704A459"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2.</w:t>
      </w:r>
      <w:r w:rsidRPr="008263E6">
        <w:rPr>
          <w:rFonts w:ascii="Times New Roman" w:eastAsia="Times New Roman" w:hAnsi="Times New Roman" w:cs="Times New Roman"/>
          <w:color w:val="000000"/>
        </w:rPr>
        <w:tab/>
        <w:t xml:space="preserve">Wiggs LD, Johnson ER, Cox-Devore CA, </w:t>
      </w:r>
      <w:proofErr w:type="spellStart"/>
      <w:r w:rsidRPr="008263E6">
        <w:rPr>
          <w:rFonts w:ascii="Times New Roman" w:eastAsia="Times New Roman" w:hAnsi="Times New Roman" w:cs="Times New Roman"/>
          <w:color w:val="000000"/>
        </w:rPr>
        <w:t>Voelz</w:t>
      </w:r>
      <w:proofErr w:type="spellEnd"/>
      <w:r w:rsidRPr="008263E6">
        <w:rPr>
          <w:rFonts w:ascii="Times New Roman" w:eastAsia="Times New Roman" w:hAnsi="Times New Roman" w:cs="Times New Roman"/>
          <w:color w:val="000000"/>
        </w:rPr>
        <w:t xml:space="preserve"> GL. Mortality through 1990 among white male workers at the Los Alamos National Laboratory: Considering exposures to plutonium and external ionizing radiation. Health physics. 1994;67(6):577-88.</w:t>
      </w:r>
    </w:p>
    <w:p w14:paraId="4821CE83"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3.</w:t>
      </w:r>
      <w:r w:rsidRPr="008263E6">
        <w:rPr>
          <w:rFonts w:ascii="Times New Roman" w:eastAsia="Times New Roman" w:hAnsi="Times New Roman" w:cs="Times New Roman"/>
          <w:color w:val="000000"/>
        </w:rPr>
        <w:tab/>
        <w:t>Lawrence JN. PUQFUA, an IBM-704 Fortran Code for Determining Plutonium Body Burden from Urine Assays: Los Alamos Scientific Laboratory of the University of California; 1960.</w:t>
      </w:r>
    </w:p>
    <w:p w14:paraId="53FC4BCF"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4.</w:t>
      </w:r>
      <w:r w:rsidRPr="008263E6">
        <w:rPr>
          <w:rFonts w:ascii="Times New Roman" w:eastAsia="Times New Roman" w:hAnsi="Times New Roman" w:cs="Times New Roman"/>
          <w:color w:val="000000"/>
        </w:rPr>
        <w:tab/>
        <w:t>Wiggs LD. Mortality among females employed by the Los Alamos National Laboratory: an epidemiologic investigation. Oklahoma Univ.; 1987.</w:t>
      </w:r>
    </w:p>
    <w:p w14:paraId="10F52456"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5.</w:t>
      </w:r>
      <w:r w:rsidRPr="008263E6">
        <w:rPr>
          <w:rFonts w:ascii="Times New Roman" w:eastAsia="Times New Roman" w:hAnsi="Times New Roman" w:cs="Times New Roman"/>
          <w:color w:val="000000"/>
        </w:rPr>
        <w:tab/>
      </w:r>
      <w:proofErr w:type="spellStart"/>
      <w:r w:rsidRPr="008263E6">
        <w:rPr>
          <w:rFonts w:ascii="Times New Roman" w:eastAsia="Times New Roman" w:hAnsi="Times New Roman" w:cs="Times New Roman"/>
          <w:color w:val="000000"/>
        </w:rPr>
        <w:t>Vlassoff</w:t>
      </w:r>
      <w:proofErr w:type="spellEnd"/>
      <w:r w:rsidRPr="008263E6">
        <w:rPr>
          <w:rFonts w:ascii="Times New Roman" w:eastAsia="Times New Roman" w:hAnsi="Times New Roman" w:cs="Times New Roman"/>
          <w:color w:val="000000"/>
        </w:rPr>
        <w:t xml:space="preserve"> C. Gender differences in determinants and consequences of health and illness. Journal of health, population, and nutrition. 2007;25(1):47.</w:t>
      </w:r>
    </w:p>
    <w:p w14:paraId="277FAC71"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6.</w:t>
      </w:r>
      <w:r w:rsidRPr="008263E6">
        <w:rPr>
          <w:rFonts w:ascii="Times New Roman" w:eastAsia="Times New Roman" w:hAnsi="Times New Roman" w:cs="Times New Roman"/>
          <w:color w:val="000000"/>
        </w:rPr>
        <w:tab/>
        <w:t xml:space="preserve">Jovanović J, </w:t>
      </w:r>
      <w:proofErr w:type="spellStart"/>
      <w:r w:rsidRPr="008263E6">
        <w:rPr>
          <w:rFonts w:ascii="Times New Roman" w:eastAsia="Times New Roman" w:hAnsi="Times New Roman" w:cs="Times New Roman"/>
          <w:color w:val="000000"/>
        </w:rPr>
        <w:t>Šarac</w:t>
      </w:r>
      <w:proofErr w:type="spellEnd"/>
      <w:r w:rsidRPr="008263E6">
        <w:rPr>
          <w:rFonts w:ascii="Times New Roman" w:eastAsia="Times New Roman" w:hAnsi="Times New Roman" w:cs="Times New Roman"/>
          <w:color w:val="000000"/>
        </w:rPr>
        <w:t xml:space="preserve"> I, Jovanović S, </w:t>
      </w:r>
      <w:proofErr w:type="spellStart"/>
      <w:r w:rsidRPr="008263E6">
        <w:rPr>
          <w:rFonts w:ascii="Times New Roman" w:eastAsia="Times New Roman" w:hAnsi="Times New Roman" w:cs="Times New Roman"/>
          <w:color w:val="000000"/>
        </w:rPr>
        <w:t>Sokolović</w:t>
      </w:r>
      <w:proofErr w:type="spellEnd"/>
      <w:r w:rsidRPr="008263E6">
        <w:rPr>
          <w:rFonts w:ascii="Times New Roman" w:eastAsia="Times New Roman" w:hAnsi="Times New Roman" w:cs="Times New Roman"/>
          <w:color w:val="000000"/>
        </w:rPr>
        <w:t xml:space="preserve"> D, </w:t>
      </w:r>
      <w:proofErr w:type="spellStart"/>
      <w:r w:rsidRPr="008263E6">
        <w:rPr>
          <w:rFonts w:ascii="Times New Roman" w:eastAsia="Times New Roman" w:hAnsi="Times New Roman" w:cs="Times New Roman"/>
          <w:color w:val="000000"/>
        </w:rPr>
        <w:t>Govedarović</w:t>
      </w:r>
      <w:proofErr w:type="spellEnd"/>
      <w:r w:rsidRPr="008263E6">
        <w:rPr>
          <w:rFonts w:ascii="Times New Roman" w:eastAsia="Times New Roman" w:hAnsi="Times New Roman" w:cs="Times New Roman"/>
          <w:color w:val="000000"/>
        </w:rPr>
        <w:t xml:space="preserve"> N, Jovanović J. The relationship between occupational stress, health status, and temporary and permanent work disability among security guards in Serbia. International journal of occupational safety and ergonomics. 2019.</w:t>
      </w:r>
    </w:p>
    <w:p w14:paraId="6807438A" w14:textId="77777777" w:rsidR="008263E6" w:rsidRPr="008263E6" w:rsidRDefault="008263E6" w:rsidP="008263E6">
      <w:pPr>
        <w:rPr>
          <w:rFonts w:ascii="Times New Roman" w:eastAsia="Times New Roman" w:hAnsi="Times New Roman" w:cs="Times New Roman"/>
        </w:rPr>
      </w:pPr>
      <w:r w:rsidRPr="008263E6">
        <w:rPr>
          <w:rFonts w:ascii="Times New Roman" w:eastAsia="Times New Roman" w:hAnsi="Times New Roman" w:cs="Times New Roman"/>
          <w:color w:val="000000"/>
        </w:rPr>
        <w:t>7.</w:t>
      </w:r>
      <w:r w:rsidRPr="008263E6">
        <w:rPr>
          <w:rFonts w:ascii="Times New Roman" w:eastAsia="Times New Roman" w:hAnsi="Times New Roman" w:cs="Times New Roman"/>
          <w:color w:val="000000"/>
        </w:rPr>
        <w:tab/>
        <w:t xml:space="preserve">Nguyen CM, </w:t>
      </w:r>
      <w:proofErr w:type="spellStart"/>
      <w:r w:rsidRPr="008263E6">
        <w:rPr>
          <w:rFonts w:ascii="Times New Roman" w:eastAsia="Times New Roman" w:hAnsi="Times New Roman" w:cs="Times New Roman"/>
          <w:color w:val="000000"/>
        </w:rPr>
        <w:t>Santoso</w:t>
      </w:r>
      <w:proofErr w:type="spellEnd"/>
      <w:r w:rsidRPr="008263E6">
        <w:rPr>
          <w:rFonts w:ascii="Times New Roman" w:eastAsia="Times New Roman" w:hAnsi="Times New Roman" w:cs="Times New Roman"/>
          <w:color w:val="000000"/>
        </w:rPr>
        <w:t xml:space="preserve"> CMA, Vu DTH, </w:t>
      </w:r>
      <w:proofErr w:type="spellStart"/>
      <w:r w:rsidRPr="008263E6">
        <w:rPr>
          <w:rFonts w:ascii="Times New Roman" w:eastAsia="Times New Roman" w:hAnsi="Times New Roman" w:cs="Times New Roman"/>
          <w:color w:val="000000"/>
        </w:rPr>
        <w:t>Szőllősi</w:t>
      </w:r>
      <w:proofErr w:type="spellEnd"/>
      <w:r w:rsidRPr="008263E6">
        <w:rPr>
          <w:rFonts w:ascii="Times New Roman" w:eastAsia="Times New Roman" w:hAnsi="Times New Roman" w:cs="Times New Roman"/>
          <w:color w:val="000000"/>
        </w:rPr>
        <w:t xml:space="preserve"> G, Bata R, </w:t>
      </w:r>
      <w:proofErr w:type="spellStart"/>
      <w:r w:rsidRPr="008263E6">
        <w:rPr>
          <w:rFonts w:ascii="Times New Roman" w:eastAsia="Times New Roman" w:hAnsi="Times New Roman" w:cs="Times New Roman"/>
          <w:color w:val="000000"/>
        </w:rPr>
        <w:t>Zsuga</w:t>
      </w:r>
      <w:proofErr w:type="spellEnd"/>
      <w:r w:rsidRPr="008263E6">
        <w:rPr>
          <w:rFonts w:ascii="Times New Roman" w:eastAsia="Times New Roman" w:hAnsi="Times New Roman" w:cs="Times New Roman"/>
          <w:color w:val="000000"/>
        </w:rPr>
        <w:t xml:space="preserve"> J, et al. Awareness Related to Cardiometabolic Diseases: A Cross-Sectional Study in Southern Vietnam. International Journal of Environmental Research and Public Health. 2021;18(19):10209.</w:t>
      </w:r>
    </w:p>
    <w:p w14:paraId="31789CFD" w14:textId="77777777" w:rsidR="004B161B" w:rsidRDefault="00F61878"/>
    <w:sectPr w:rsidR="004B161B" w:rsidSect="009F6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E6"/>
    <w:rsid w:val="00547749"/>
    <w:rsid w:val="006136D0"/>
    <w:rsid w:val="00760312"/>
    <w:rsid w:val="008263E6"/>
    <w:rsid w:val="009F6133"/>
    <w:rsid w:val="00A65DD5"/>
    <w:rsid w:val="00B1722E"/>
    <w:rsid w:val="00F6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9BBC0"/>
  <w15:chartTrackingRefBased/>
  <w15:docId w15:val="{8D573066-3187-2742-B106-1BC00FBA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63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3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63E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5933">
      <w:bodyDiv w:val="1"/>
      <w:marLeft w:val="0"/>
      <w:marRight w:val="0"/>
      <w:marTop w:val="0"/>
      <w:marBottom w:val="0"/>
      <w:divBdr>
        <w:top w:val="none" w:sz="0" w:space="0" w:color="auto"/>
        <w:left w:val="none" w:sz="0" w:space="0" w:color="auto"/>
        <w:bottom w:val="none" w:sz="0" w:space="0" w:color="auto"/>
        <w:right w:val="none" w:sz="0" w:space="0" w:color="auto"/>
      </w:divBdr>
    </w:div>
    <w:div w:id="290331244">
      <w:bodyDiv w:val="1"/>
      <w:marLeft w:val="0"/>
      <w:marRight w:val="0"/>
      <w:marTop w:val="0"/>
      <w:marBottom w:val="0"/>
      <w:divBdr>
        <w:top w:val="none" w:sz="0" w:space="0" w:color="auto"/>
        <w:left w:val="none" w:sz="0" w:space="0" w:color="auto"/>
        <w:bottom w:val="none" w:sz="0" w:space="0" w:color="auto"/>
        <w:right w:val="none" w:sz="0" w:space="0" w:color="auto"/>
      </w:divBdr>
    </w:div>
    <w:div w:id="492914344">
      <w:bodyDiv w:val="1"/>
      <w:marLeft w:val="0"/>
      <w:marRight w:val="0"/>
      <w:marTop w:val="0"/>
      <w:marBottom w:val="0"/>
      <w:divBdr>
        <w:top w:val="none" w:sz="0" w:space="0" w:color="auto"/>
        <w:left w:val="none" w:sz="0" w:space="0" w:color="auto"/>
        <w:bottom w:val="none" w:sz="0" w:space="0" w:color="auto"/>
        <w:right w:val="none" w:sz="0" w:space="0" w:color="auto"/>
      </w:divBdr>
    </w:div>
    <w:div w:id="1522235712">
      <w:bodyDiv w:val="1"/>
      <w:marLeft w:val="0"/>
      <w:marRight w:val="0"/>
      <w:marTop w:val="0"/>
      <w:marBottom w:val="0"/>
      <w:divBdr>
        <w:top w:val="none" w:sz="0" w:space="0" w:color="auto"/>
        <w:left w:val="none" w:sz="0" w:space="0" w:color="auto"/>
        <w:bottom w:val="none" w:sz="0" w:space="0" w:color="auto"/>
        <w:right w:val="none" w:sz="0" w:space="0" w:color="auto"/>
      </w:divBdr>
    </w:div>
    <w:div w:id="1897232004">
      <w:bodyDiv w:val="1"/>
      <w:marLeft w:val="0"/>
      <w:marRight w:val="0"/>
      <w:marTop w:val="0"/>
      <w:marBottom w:val="0"/>
      <w:divBdr>
        <w:top w:val="none" w:sz="0" w:space="0" w:color="auto"/>
        <w:left w:val="none" w:sz="0" w:space="0" w:color="auto"/>
        <w:bottom w:val="none" w:sz="0" w:space="0" w:color="auto"/>
        <w:right w:val="none" w:sz="0" w:space="0" w:color="auto"/>
      </w:divBdr>
    </w:div>
    <w:div w:id="20906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Wu</dc:creator>
  <cp:keywords/>
  <dc:description/>
  <cp:lastModifiedBy>Benson Wu</cp:lastModifiedBy>
  <cp:revision>6</cp:revision>
  <dcterms:created xsi:type="dcterms:W3CDTF">2021-11-12T18:50:00Z</dcterms:created>
  <dcterms:modified xsi:type="dcterms:W3CDTF">2021-11-12T19:32:00Z</dcterms:modified>
</cp:coreProperties>
</file>