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Secure</w:t>
      </w:r>
      <w:r>
        <w:t xml:space="preserve"> </w:t>
      </w:r>
      <w:r>
        <w:t xml:space="preserve">Software</w:t>
      </w:r>
      <w:r>
        <w:t xml:space="preserve"> </w:t>
      </w:r>
      <w:r>
        <w:t xml:space="preserve">Development</w:t>
      </w:r>
      <w:r>
        <w:t xml:space="preserve"> </w:t>
      </w:r>
      <w:r>
        <w:t xml:space="preserve">Guidelines</w:t>
      </w:r>
    </w:p>
    <w:p>
      <w:pPr>
        <w:pStyle w:val="Date"/>
      </w:pPr>
      <w:r>
        <w:t xml:space="preserve">27</w:t>
      </w:r>
      <w:r>
        <w:t xml:space="preserve"> </w:t>
      </w:r>
      <w:r>
        <w:t xml:space="preserve">October</w:t>
      </w:r>
      <w:r>
        <w:t xml:space="preserve"> </w:t>
      </w:r>
      <w:r>
        <w:t xml:space="preserve">2026</w:t>
      </w:r>
    </w:p>
    <w:bookmarkStart w:id="20" w:name="purpose-scope-and-use"/>
    <w:p>
      <w:pPr>
        <w:pStyle w:val="Heading2"/>
      </w:pPr>
      <w:r>
        <w:t xml:space="preserve">1. Purpose, Scope and Use</w:t>
      </w:r>
    </w:p>
    <w:p>
      <w:pPr>
        <w:pStyle w:val="FirstParagraph"/>
      </w:pPr>
      <w:r>
        <w:t xml:space="preserve">These guidelines set the minimum security practices every team MUST follow when designing, building, testing, releasing and operating software, so that vulnerabilities are prevented early and fixed quickly.</w:t>
      </w:r>
    </w:p>
    <w:p>
      <w:pPr>
        <w:pStyle w:val="BodyText"/>
      </w:pPr>
      <w:r>
        <w:rPr>
          <w:bCs/>
          <w:b/>
        </w:rPr>
        <w:t xml:space="preserve">Scope.</w:t>
      </w:r>
      <w:r>
        <w:t xml:space="preserve"> </w:t>
      </w:r>
      <w:r>
        <w:t xml:space="preserve">They apply to all software the organization develops or commissions: web, mobile, desktop, APIs, microservices, embedded code, scripts, infrastructure as code, data pipelines and AI/ML applications. They cover employees, contractors and vendors writing code on the organization’s behalf.</w:t>
      </w:r>
    </w:p>
    <w:p>
      <w:pPr>
        <w:pStyle w:val="BodyText"/>
      </w:pPr>
      <w:r>
        <w:rPr>
          <w:bCs/>
          <w:b/>
        </w:rPr>
        <w:t xml:space="preserve">Requirement language.</w:t>
      </w:r>
    </w:p>
    <w:p>
      <w:pPr>
        <w:numPr>
          <w:ilvl w:val="0"/>
          <w:numId w:val="1001"/>
        </w:numPr>
        <w:pStyle w:val="Compact"/>
      </w:pPr>
      <w:r>
        <w:rPr>
          <w:bCs/>
          <w:b/>
        </w:rPr>
        <w:t xml:space="preserve">MUST / MUST NOT</w:t>
      </w:r>
      <w:r>
        <w:t xml:space="preserve">: mandatory. Deviation needs an approved exception (Section 23).</w:t>
      </w:r>
    </w:p>
    <w:p>
      <w:pPr>
        <w:numPr>
          <w:ilvl w:val="0"/>
          <w:numId w:val="1001"/>
        </w:numPr>
        <w:pStyle w:val="Compact"/>
      </w:pPr>
      <w:r>
        <w:rPr>
          <w:bCs/>
          <w:b/>
        </w:rPr>
        <w:t xml:space="preserve">SHOULD / SHOULD NOT</w:t>
      </w:r>
      <w:r>
        <w:t xml:space="preserve">: expected unless there is a documented, justified reason.</w:t>
      </w:r>
    </w:p>
    <w:p>
      <w:pPr>
        <w:numPr>
          <w:ilvl w:val="0"/>
          <w:numId w:val="1001"/>
        </w:numPr>
        <w:pStyle w:val="Compact"/>
      </w:pPr>
      <w:r>
        <w:rPr>
          <w:bCs/>
          <w:b/>
        </w:rPr>
        <w:t xml:space="preserve">MAY</w:t>
      </w:r>
      <w:r>
        <w:t xml:space="preserve">: optional good practice.</w:t>
      </w:r>
    </w:p>
    <w:p>
      <w:pPr>
        <w:pStyle w:val="FirstParagraph"/>
      </w:pPr>
      <w:r>
        <w:rPr>
          <w:bCs/>
          <w:b/>
        </w:rPr>
        <w:t xml:space="preserve">Alignment.</w:t>
      </w:r>
      <w:r>
        <w:t xml:space="preserve"> </w:t>
      </w:r>
      <w:r>
        <w:t xml:space="preserve">The guidelines draw on NIST SP 800-218 (SSDF), OWASP ASVS, OWASP SAMM, the OWASP Top 10 and ISO/IEC 27034. Teams working under PCI DSS, ISO 27001, SOC 2 or local data protection law (for example the Kenya Data Protection Act) MUST also meet those obligations where they are stricter.</w:t>
      </w:r>
    </w:p>
    <w:p>
      <w:pPr>
        <w:pStyle w:val="BodyText"/>
      </w:pPr>
      <w:r>
        <w:rPr>
          <w:bCs/>
          <w:b/>
        </w:rPr>
        <w:t xml:space="preserve">Risk-based application.</w:t>
      </w:r>
      <w:r>
        <w:t xml:space="preserve"> </w:t>
      </w:r>
      <w:r>
        <w:t xml:space="preserve">Controls scale with application risk tier (Section 3). Tier 1 systems get the full set; lower tiers MAY apply a documented subset.</w:t>
      </w:r>
    </w:p>
    <w:bookmarkEnd w:id="20"/>
    <w:bookmarkStart w:id="21" w:name="roles-and-responsibilities"/>
    <w:p>
      <w:pPr>
        <w:pStyle w:val="Heading2"/>
      </w:pPr>
      <w:r>
        <w:t xml:space="preserve">2. Roles and Responsibilities</w:t>
      </w:r>
    </w:p>
    <w:p>
      <w:pPr>
        <w:pStyle w:val="FirstParagraph"/>
      </w:pPr>
      <w:r>
        <w:t xml:space="preserve">Security is owned by the people who build the software; the security team sets standards and checks them.</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Role</w:t>
            </w:r>
          </w:p>
        </w:tc>
        <w:tc>
          <w:tcPr>
            <w:tcW w:w="7296" w:type="dxa"/>
            <w:shd w:val="clear" w:color="auto" w:fill="1F3864"/>
          </w:tcPr>
          <w:p>
            <w:pPr>
              <w:pStyle w:val="Compact"/>
              <w:spacing w:after="0"/>
              <w:jc w:val="left"/>
            </w:pPr>
            <w:r>
              <w:rPr>
                <w:rFonts w:ascii="Calibri" w:hAnsi="Calibri"/>
                <w:b/>
                <w:color w:val="FFFFFF"/>
                <w:sz w:val="19"/>
              </w:rPr>
              <w:t xml:space="preserve">Responsibilities</w:t>
            </w:r>
          </w:p>
        </w:tc>
      </w:tr>
      <w:tr>
        <w:trPr>
          <w:cantSplit/>
        </w:trPr>
        <w:tc>
          <w:tcPr>
            <w:tcW w:w="2304" w:type="dxa"/>
            <w:shd w:val="clear" w:color="auto" w:fill="F2F2F2"/>
          </w:tcPr>
          <w:p>
            <w:pPr>
              <w:pStyle w:val="Compact"/>
              <w:spacing w:after="0"/>
              <w:jc w:val="left"/>
            </w:pPr>
            <w:r>
              <w:rPr>
                <w:rFonts w:ascii="Calibri" w:hAnsi="Calibri"/>
                <w:b/>
                <w:sz w:val="19"/>
              </w:rPr>
              <w:t xml:space="preserve">Developers</w:t>
            </w:r>
          </w:p>
        </w:tc>
        <w:tc>
          <w:tcPr>
            <w:tcW w:w="7296" w:type="dxa"/>
          </w:tcPr>
          <w:p>
            <w:pPr>
              <w:pStyle w:val="Compact"/>
              <w:spacing w:after="0"/>
              <w:jc w:val="left"/>
            </w:pPr>
            <w:r>
              <w:rPr>
                <w:rFonts w:ascii="Calibri" w:hAnsi="Calibri"/>
                <w:sz w:val="19"/>
              </w:rPr>
              <w:t xml:space="preserve">Write secure code, complete training, fix findings in their code, perform security-aware peer reviews, never commit secrets</w:t>
            </w:r>
          </w:p>
        </w:tc>
      </w:tr>
      <w:tr>
        <w:trPr>
          <w:cantSplit/>
        </w:trPr>
        <w:tc>
          <w:tcPr>
            <w:tcW w:w="2304" w:type="dxa"/>
            <w:shd w:val="clear" w:color="auto" w:fill="F2F2F2"/>
          </w:tcPr>
          <w:p>
            <w:pPr>
              <w:pStyle w:val="Compact"/>
              <w:spacing w:after="0"/>
              <w:jc w:val="left"/>
            </w:pPr>
            <w:r>
              <w:rPr>
                <w:rFonts w:ascii="Calibri" w:hAnsi="Calibri"/>
                <w:b/>
                <w:sz w:val="19"/>
              </w:rPr>
              <w:t xml:space="preserve">Security champions</w:t>
            </w:r>
          </w:p>
        </w:tc>
        <w:tc>
          <w:tcPr>
            <w:tcW w:w="7296" w:type="dxa"/>
          </w:tcPr>
          <w:p>
            <w:pPr>
              <w:pStyle w:val="Compact"/>
              <w:spacing w:after="0"/>
              <w:jc w:val="left"/>
            </w:pPr>
            <w:r>
              <w:rPr>
                <w:rFonts w:ascii="Calibri" w:hAnsi="Calibri"/>
                <w:sz w:val="19"/>
              </w:rPr>
              <w:t xml:space="preserve">Embedded in each team; run threat modeling sessions, triage scanner findings, act as first contact for AppSec</w:t>
            </w:r>
          </w:p>
        </w:tc>
      </w:tr>
      <w:tr>
        <w:trPr>
          <w:cantSplit/>
        </w:trPr>
        <w:tc>
          <w:tcPr>
            <w:tcW w:w="2304" w:type="dxa"/>
            <w:shd w:val="clear" w:color="auto" w:fill="F2F2F2"/>
          </w:tcPr>
          <w:p>
            <w:pPr>
              <w:pStyle w:val="Compact"/>
              <w:spacing w:after="0"/>
              <w:jc w:val="left"/>
            </w:pPr>
            <w:r>
              <w:rPr>
                <w:rFonts w:ascii="Calibri" w:hAnsi="Calibri"/>
                <w:b/>
                <w:sz w:val="19"/>
              </w:rPr>
              <w:t xml:space="preserve">Application security (AppSec) team</w:t>
            </w:r>
          </w:p>
        </w:tc>
        <w:tc>
          <w:tcPr>
            <w:tcW w:w="7296" w:type="dxa"/>
          </w:tcPr>
          <w:p>
            <w:pPr>
              <w:pStyle w:val="Compact"/>
              <w:spacing w:after="0"/>
              <w:jc w:val="left"/>
            </w:pPr>
            <w:r>
              <w:rPr>
                <w:rFonts w:ascii="Calibri" w:hAnsi="Calibri"/>
                <w:sz w:val="19"/>
              </w:rPr>
              <w:t xml:space="preserve">Maintain these guidelines and tooling, run design reviews and penetration tests, track vulnerability SLAs</w:t>
            </w:r>
          </w:p>
        </w:tc>
      </w:tr>
      <w:tr>
        <w:trPr>
          <w:cantSplit/>
        </w:trPr>
        <w:tc>
          <w:tcPr>
            <w:tcW w:w="2304" w:type="dxa"/>
            <w:shd w:val="clear" w:color="auto" w:fill="F2F2F2"/>
          </w:tcPr>
          <w:p>
            <w:pPr>
              <w:pStyle w:val="Compact"/>
              <w:spacing w:after="0"/>
              <w:jc w:val="left"/>
            </w:pPr>
            <w:r>
              <w:rPr>
                <w:rFonts w:ascii="Calibri" w:hAnsi="Calibri"/>
                <w:b/>
                <w:sz w:val="19"/>
              </w:rPr>
              <w:t xml:space="preserve">Architects</w:t>
            </w:r>
          </w:p>
        </w:tc>
        <w:tc>
          <w:tcPr>
            <w:tcW w:w="7296" w:type="dxa"/>
          </w:tcPr>
          <w:p>
            <w:pPr>
              <w:pStyle w:val="Compact"/>
              <w:spacing w:after="0"/>
              <w:jc w:val="left"/>
            </w:pPr>
            <w:r>
              <w:rPr>
                <w:rFonts w:ascii="Calibri" w:hAnsi="Calibri"/>
                <w:sz w:val="19"/>
              </w:rPr>
              <w:t xml:space="preserve">Apply secure design principles, document trust boundaries, approve high-risk design changes</w:t>
            </w:r>
          </w:p>
        </w:tc>
      </w:tr>
      <w:tr>
        <w:trPr>
          <w:cantSplit/>
        </w:trPr>
        <w:tc>
          <w:tcPr>
            <w:tcW w:w="2304" w:type="dxa"/>
            <w:shd w:val="clear" w:color="auto" w:fill="F2F2F2"/>
          </w:tcPr>
          <w:p>
            <w:pPr>
              <w:pStyle w:val="Compact"/>
              <w:spacing w:after="0"/>
              <w:jc w:val="left"/>
            </w:pPr>
            <w:r>
              <w:rPr>
                <w:rFonts w:ascii="Calibri" w:hAnsi="Calibri"/>
                <w:b/>
                <w:sz w:val="19"/>
              </w:rPr>
              <w:t xml:space="preserve">Product owners</w:t>
            </w:r>
          </w:p>
        </w:tc>
        <w:tc>
          <w:tcPr>
            <w:tcW w:w="7296" w:type="dxa"/>
          </w:tcPr>
          <w:p>
            <w:pPr>
              <w:pStyle w:val="Compact"/>
              <w:spacing w:after="0"/>
              <w:jc w:val="left"/>
            </w:pPr>
            <w:r>
              <w:rPr>
                <w:rFonts w:ascii="Calibri" w:hAnsi="Calibri"/>
                <w:sz w:val="19"/>
              </w:rPr>
              <w:t xml:space="preserve">Include security requirements in the backlog, accept residual risk in writing, prioritize remediation</w:t>
            </w:r>
          </w:p>
        </w:tc>
      </w:tr>
      <w:tr>
        <w:trPr>
          <w:cantSplit/>
        </w:trPr>
        <w:tc>
          <w:tcPr>
            <w:tcW w:w="2304" w:type="dxa"/>
            <w:shd w:val="clear" w:color="auto" w:fill="F2F2F2"/>
          </w:tcPr>
          <w:p>
            <w:pPr>
              <w:pStyle w:val="Compact"/>
              <w:spacing w:after="0"/>
              <w:jc w:val="left"/>
            </w:pPr>
            <w:r>
              <w:rPr>
                <w:rFonts w:ascii="Calibri" w:hAnsi="Calibri"/>
                <w:b/>
                <w:sz w:val="19"/>
              </w:rPr>
              <w:t xml:space="preserve">DevOps / platform engineers</w:t>
            </w:r>
          </w:p>
        </w:tc>
        <w:tc>
          <w:tcPr>
            <w:tcW w:w="7296" w:type="dxa"/>
          </w:tcPr>
          <w:p>
            <w:pPr>
              <w:pStyle w:val="Compact"/>
              <w:spacing w:after="0"/>
              <w:jc w:val="left"/>
            </w:pPr>
            <w:r>
              <w:rPr>
                <w:rFonts w:ascii="Calibri" w:hAnsi="Calibri"/>
                <w:sz w:val="19"/>
              </w:rPr>
              <w:t xml:space="preserve">Secure pipelines, runners, infrastructure, secrets stores and base images</w:t>
            </w:r>
          </w:p>
        </w:tc>
      </w:tr>
      <w:tr>
        <w:trPr>
          <w:cantSplit/>
        </w:trPr>
        <w:tc>
          <w:tcPr>
            <w:tcW w:w="2304" w:type="dxa"/>
            <w:shd w:val="clear" w:color="auto" w:fill="F2F2F2"/>
          </w:tcPr>
          <w:p>
            <w:pPr>
              <w:pStyle w:val="Compact"/>
              <w:spacing w:after="0"/>
              <w:jc w:val="left"/>
            </w:pPr>
            <w:r>
              <w:rPr>
                <w:rFonts w:ascii="Calibri" w:hAnsi="Calibri"/>
                <w:b/>
                <w:sz w:val="19"/>
              </w:rPr>
              <w:t xml:space="preserve">QA / test engineers</w:t>
            </w:r>
          </w:p>
        </w:tc>
        <w:tc>
          <w:tcPr>
            <w:tcW w:w="7296" w:type="dxa"/>
          </w:tcPr>
          <w:p>
            <w:pPr>
              <w:pStyle w:val="Compact"/>
              <w:spacing w:after="0"/>
              <w:jc w:val="left"/>
            </w:pPr>
            <w:r>
              <w:rPr>
                <w:rFonts w:ascii="Calibri" w:hAnsi="Calibri"/>
                <w:sz w:val="19"/>
              </w:rPr>
              <w:t xml:space="preserve">Include security test cases, verify fixes, run abuse-case tests</w:t>
            </w:r>
          </w:p>
        </w:tc>
      </w:tr>
      <w:tr>
        <w:trPr>
          <w:cantSplit/>
        </w:trPr>
        <w:tc>
          <w:tcPr>
            <w:tcW w:w="2304" w:type="dxa"/>
            <w:shd w:val="clear" w:color="auto" w:fill="F2F2F2"/>
          </w:tcPr>
          <w:p>
            <w:pPr>
              <w:pStyle w:val="Compact"/>
              <w:spacing w:after="0"/>
              <w:jc w:val="left"/>
            </w:pPr>
            <w:r>
              <w:rPr>
                <w:rFonts w:ascii="Calibri" w:hAnsi="Calibri"/>
                <w:b/>
                <w:sz w:val="19"/>
              </w:rPr>
              <w:t xml:space="preserve">Engineering managers</w:t>
            </w:r>
          </w:p>
        </w:tc>
        <w:tc>
          <w:tcPr>
            <w:tcW w:w="7296" w:type="dxa"/>
          </w:tcPr>
          <w:p>
            <w:pPr>
              <w:pStyle w:val="Compact"/>
              <w:spacing w:after="0"/>
              <w:jc w:val="left"/>
            </w:pPr>
            <w:r>
              <w:rPr>
                <w:rFonts w:ascii="Calibri" w:hAnsi="Calibri"/>
                <w:sz w:val="19"/>
              </w:rPr>
              <w:t xml:space="preserve">Ensure capacity for security work, enforce training and review gates</w:t>
            </w:r>
          </w:p>
        </w:tc>
      </w:tr>
      <w:tr>
        <w:trPr>
          <w:cantSplit/>
        </w:trPr>
        <w:tc>
          <w:tcPr>
            <w:tcW w:w="2304" w:type="dxa"/>
            <w:shd w:val="clear" w:color="auto" w:fill="F2F2F2"/>
          </w:tcPr>
          <w:p>
            <w:pPr>
              <w:pStyle w:val="Compact"/>
              <w:spacing w:after="0"/>
              <w:jc w:val="left"/>
            </w:pPr>
            <w:r>
              <w:rPr>
                <w:rFonts w:ascii="Calibri" w:hAnsi="Calibri"/>
                <w:b/>
                <w:sz w:val="19"/>
              </w:rPr>
              <w:t xml:space="preserve">CISO / security leadership</w:t>
            </w:r>
          </w:p>
        </w:tc>
        <w:tc>
          <w:tcPr>
            <w:tcW w:w="7296" w:type="dxa"/>
          </w:tcPr>
          <w:p>
            <w:pPr>
              <w:pStyle w:val="Compact"/>
              <w:spacing w:after="0"/>
              <w:jc w:val="left"/>
            </w:pPr>
            <w:r>
              <w:rPr>
                <w:rFonts w:ascii="Calibri" w:hAnsi="Calibri"/>
                <w:sz w:val="19"/>
              </w:rPr>
              <w:t xml:space="preserve">Own the programme, approve exceptions, report metrics to senior management</w:t>
            </w:r>
          </w:p>
        </w:tc>
      </w:tr>
      <w:tr>
        <w:trPr>
          <w:cantSplit/>
        </w:trPr>
        <w:tc>
          <w:tcPr>
            <w:tcW w:w="2304" w:type="dxa"/>
            <w:shd w:val="clear" w:color="auto" w:fill="F2F2F2"/>
          </w:tcPr>
          <w:p>
            <w:pPr>
              <w:pStyle w:val="Compact"/>
              <w:spacing w:after="0"/>
              <w:jc w:val="left"/>
            </w:pPr>
            <w:r>
              <w:rPr>
                <w:rFonts w:ascii="Calibri" w:hAnsi="Calibri"/>
                <w:b/>
                <w:sz w:val="19"/>
              </w:rPr>
              <w:t xml:space="preserve">Incident response team</w:t>
            </w:r>
          </w:p>
        </w:tc>
        <w:tc>
          <w:tcPr>
            <w:tcW w:w="7296" w:type="dxa"/>
          </w:tcPr>
          <w:p>
            <w:pPr>
              <w:pStyle w:val="Compact"/>
              <w:spacing w:after="0"/>
              <w:jc w:val="left"/>
            </w:pPr>
            <w:r>
              <w:rPr>
                <w:rFonts w:ascii="Calibri" w:hAnsi="Calibri"/>
                <w:sz w:val="19"/>
              </w:rPr>
              <w:t xml:space="preserve">Lead response to application security incidents and feed lessons back (Section 19)</w:t>
            </w:r>
          </w:p>
        </w:tc>
      </w:tr>
    </w:tbl>
    <w:bookmarkEnd w:id="21"/>
    <w:bookmarkStart w:id="23" w:name="secure-sdlc-overview-and-risk-tiering"/>
    <w:p>
      <w:pPr>
        <w:pStyle w:val="Heading2"/>
      </w:pPr>
      <w:r>
        <w:t xml:space="preserve">3. Secure SDLC Overview and Risk Tiering</w:t>
      </w:r>
    </w:p>
    <w:p>
      <w:pPr>
        <w:pStyle w:val="FirstParagraph"/>
      </w:pPr>
      <w:r>
        <w:t xml:space="preserve">Security activities run in every phase of the lifecycle, not only before release.</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1920"/>
        <w:gridCol w:w="3840"/>
        <w:gridCol w:w="3840"/>
      </w:tblGrid>
      <w:tr>
        <w:trPr>
          <w:tblHeader w:val="true"/>
          <w:cantSplit/>
          <w:tblHeader/>
        </w:trPr>
        <w:tc>
          <w:tcPr>
            <w:tcW w:w="1920" w:type="dxa"/>
            <w:shd w:val="clear" w:color="auto" w:fill="1F3864"/>
          </w:tcPr>
          <w:p>
            <w:pPr>
              <w:pStyle w:val="Compact"/>
              <w:spacing w:after="0"/>
              <w:jc w:val="left"/>
            </w:pPr>
            <w:r>
              <w:rPr>
                <w:rFonts w:ascii="Calibri" w:hAnsi="Calibri"/>
                <w:b/>
                <w:color w:val="FFFFFF"/>
                <w:sz w:val="19"/>
              </w:rPr>
              <w:t xml:space="preserve">Phase</w:t>
            </w:r>
          </w:p>
        </w:tc>
        <w:tc>
          <w:tcPr>
            <w:tcW w:w="3840" w:type="dxa"/>
            <w:shd w:val="clear" w:color="auto" w:fill="1F3864"/>
          </w:tcPr>
          <w:p>
            <w:pPr>
              <w:pStyle w:val="Compact"/>
              <w:spacing w:after="0"/>
              <w:jc w:val="left"/>
            </w:pPr>
            <w:r>
              <w:rPr>
                <w:rFonts w:ascii="Calibri" w:hAnsi="Calibri"/>
                <w:b/>
                <w:color w:val="FFFFFF"/>
                <w:sz w:val="19"/>
              </w:rPr>
              <w:t xml:space="preserve">Required security activities</w:t>
            </w:r>
          </w:p>
        </w:tc>
        <w:tc>
          <w:tcPr>
            <w:tcW w:w="3840" w:type="dxa"/>
            <w:shd w:val="clear" w:color="auto" w:fill="1F3864"/>
          </w:tcPr>
          <w:p>
            <w:pPr>
              <w:pStyle w:val="Compact"/>
              <w:spacing w:after="0"/>
              <w:jc w:val="left"/>
            </w:pPr>
            <w:r>
              <w:rPr>
                <w:rFonts w:ascii="Calibri" w:hAnsi="Calibri"/>
                <w:b/>
                <w:color w:val="FFFFFF"/>
                <w:sz w:val="19"/>
              </w:rPr>
              <w:t xml:space="preserve">Primary output</w:t>
            </w:r>
          </w:p>
        </w:tc>
      </w:tr>
      <w:tr>
        <w:trPr>
          <w:cantSplit/>
        </w:trPr>
        <w:tc>
          <w:tcPr>
            <w:tcW w:w="1920" w:type="dxa"/>
            <w:shd w:val="clear" w:color="auto" w:fill="F2F2F2"/>
          </w:tcPr>
          <w:p>
            <w:pPr>
              <w:pStyle w:val="Compact"/>
              <w:spacing w:after="0"/>
              <w:jc w:val="left"/>
            </w:pPr>
            <w:r>
              <w:rPr>
                <w:rFonts w:ascii="Calibri" w:hAnsi="Calibri"/>
                <w:b/>
                <w:sz w:val="19"/>
              </w:rPr>
              <w:t xml:space="preserve">1. Plan and requirements</w:t>
            </w:r>
          </w:p>
        </w:tc>
        <w:tc>
          <w:tcPr>
            <w:tcW w:w="3840" w:type="dxa"/>
          </w:tcPr>
          <w:p>
            <w:pPr>
              <w:pStyle w:val="Compact"/>
              <w:spacing w:after="0"/>
              <w:jc w:val="left"/>
            </w:pPr>
            <w:r>
              <w:rPr>
                <w:rFonts w:ascii="Calibri" w:hAnsi="Calibri"/>
                <w:sz w:val="19"/>
              </w:rPr>
              <w:t xml:space="preserve">Classify data, define security and privacy requirements, write abuse cases</w:t>
            </w:r>
          </w:p>
        </w:tc>
        <w:tc>
          <w:tcPr>
            <w:tcW w:w="3840" w:type="dxa"/>
          </w:tcPr>
          <w:p>
            <w:pPr>
              <w:pStyle w:val="Compact"/>
              <w:spacing w:after="0"/>
              <w:jc w:val="left"/>
            </w:pPr>
            <w:r>
              <w:rPr>
                <w:rFonts w:ascii="Calibri" w:hAnsi="Calibri"/>
                <w:sz w:val="19"/>
              </w:rPr>
              <w:t xml:space="preserve">Security requirements in backlog</w:t>
            </w:r>
          </w:p>
        </w:tc>
      </w:tr>
      <w:tr>
        <w:trPr>
          <w:cantSplit/>
        </w:trPr>
        <w:tc>
          <w:tcPr>
            <w:tcW w:w="1920" w:type="dxa"/>
            <w:shd w:val="clear" w:color="auto" w:fill="F2F2F2"/>
          </w:tcPr>
          <w:p>
            <w:pPr>
              <w:pStyle w:val="Compact"/>
              <w:spacing w:after="0"/>
              <w:jc w:val="left"/>
            </w:pPr>
            <w:r>
              <w:rPr>
                <w:rFonts w:ascii="Calibri" w:hAnsi="Calibri"/>
                <w:b/>
                <w:sz w:val="19"/>
              </w:rPr>
              <w:t xml:space="preserve">2. Design</w:t>
            </w:r>
          </w:p>
        </w:tc>
        <w:tc>
          <w:tcPr>
            <w:tcW w:w="3840" w:type="dxa"/>
          </w:tcPr>
          <w:p>
            <w:pPr>
              <w:pStyle w:val="Compact"/>
              <w:spacing w:after="0"/>
              <w:jc w:val="left"/>
            </w:pPr>
            <w:r>
              <w:rPr>
                <w:rFonts w:ascii="Calibri" w:hAnsi="Calibri"/>
                <w:sz w:val="19"/>
              </w:rPr>
              <w:t xml:space="preserve">Threat model, secure architecture review, select approved components</w:t>
            </w:r>
          </w:p>
        </w:tc>
        <w:tc>
          <w:tcPr>
            <w:tcW w:w="3840" w:type="dxa"/>
          </w:tcPr>
          <w:p>
            <w:pPr>
              <w:pStyle w:val="Compact"/>
              <w:spacing w:after="0"/>
              <w:jc w:val="left"/>
            </w:pPr>
            <w:r>
              <w:rPr>
                <w:rFonts w:ascii="Calibri" w:hAnsi="Calibri"/>
                <w:sz w:val="19"/>
              </w:rPr>
              <w:t xml:space="preserve">Threat model, design decisions</w:t>
            </w:r>
          </w:p>
        </w:tc>
      </w:tr>
      <w:tr>
        <w:trPr>
          <w:cantSplit/>
        </w:trPr>
        <w:tc>
          <w:tcPr>
            <w:tcW w:w="1920" w:type="dxa"/>
            <w:shd w:val="clear" w:color="auto" w:fill="F2F2F2"/>
          </w:tcPr>
          <w:p>
            <w:pPr>
              <w:pStyle w:val="Compact"/>
              <w:spacing w:after="0"/>
              <w:jc w:val="left"/>
            </w:pPr>
            <w:r>
              <w:rPr>
                <w:rFonts w:ascii="Calibri" w:hAnsi="Calibri"/>
                <w:b/>
                <w:sz w:val="19"/>
              </w:rPr>
              <w:t xml:space="preserve">3. Build</w:t>
            </w:r>
          </w:p>
        </w:tc>
        <w:tc>
          <w:tcPr>
            <w:tcW w:w="3840" w:type="dxa"/>
          </w:tcPr>
          <w:p>
            <w:pPr>
              <w:pStyle w:val="Compact"/>
              <w:spacing w:after="0"/>
              <w:jc w:val="left"/>
            </w:pPr>
            <w:r>
              <w:rPr>
                <w:rFonts w:ascii="Calibri" w:hAnsi="Calibri"/>
                <w:sz w:val="19"/>
              </w:rPr>
              <w:t xml:space="preserve">Follow coding standards, IDE and pre-commit checks, secret scanning, peer review</w:t>
            </w:r>
          </w:p>
        </w:tc>
        <w:tc>
          <w:tcPr>
            <w:tcW w:w="3840" w:type="dxa"/>
          </w:tcPr>
          <w:p>
            <w:pPr>
              <w:pStyle w:val="Compact"/>
              <w:spacing w:after="0"/>
              <w:jc w:val="left"/>
            </w:pPr>
            <w:r>
              <w:rPr>
                <w:rFonts w:ascii="Calibri" w:hAnsi="Calibri"/>
                <w:sz w:val="19"/>
              </w:rPr>
              <w:t xml:space="preserve">Reviewed, scanned code</w:t>
            </w:r>
          </w:p>
        </w:tc>
      </w:tr>
      <w:tr>
        <w:trPr>
          <w:cantSplit/>
        </w:trPr>
        <w:tc>
          <w:tcPr>
            <w:tcW w:w="1920" w:type="dxa"/>
            <w:shd w:val="clear" w:color="auto" w:fill="F2F2F2"/>
          </w:tcPr>
          <w:p>
            <w:pPr>
              <w:pStyle w:val="Compact"/>
              <w:spacing w:after="0"/>
              <w:jc w:val="left"/>
            </w:pPr>
            <w:r>
              <w:rPr>
                <w:rFonts w:ascii="Calibri" w:hAnsi="Calibri"/>
                <w:b/>
                <w:sz w:val="19"/>
              </w:rPr>
              <w:t xml:space="preserve">4. Test</w:t>
            </w:r>
          </w:p>
        </w:tc>
        <w:tc>
          <w:tcPr>
            <w:tcW w:w="3840" w:type="dxa"/>
          </w:tcPr>
          <w:p>
            <w:pPr>
              <w:pStyle w:val="Compact"/>
              <w:spacing w:after="0"/>
              <w:jc w:val="left"/>
            </w:pPr>
            <w:r>
              <w:rPr>
                <w:rFonts w:ascii="Calibri" w:hAnsi="Calibri"/>
                <w:sz w:val="19"/>
              </w:rPr>
              <w:t xml:space="preserve">SAST, SCA, DAST, security test cases, fuzzing, penetration test (by tier)</w:t>
            </w:r>
          </w:p>
        </w:tc>
        <w:tc>
          <w:tcPr>
            <w:tcW w:w="3840" w:type="dxa"/>
          </w:tcPr>
          <w:p>
            <w:pPr>
              <w:pStyle w:val="Compact"/>
              <w:spacing w:after="0"/>
              <w:jc w:val="left"/>
            </w:pPr>
            <w:r>
              <w:rPr>
                <w:rFonts w:ascii="Calibri" w:hAnsi="Calibri"/>
                <w:sz w:val="19"/>
              </w:rPr>
              <w:t xml:space="preserve">Test reports, findings triaged</w:t>
            </w:r>
          </w:p>
        </w:tc>
      </w:tr>
      <w:tr>
        <w:trPr>
          <w:cantSplit/>
        </w:trPr>
        <w:tc>
          <w:tcPr>
            <w:tcW w:w="1920" w:type="dxa"/>
            <w:shd w:val="clear" w:color="auto" w:fill="F2F2F2"/>
          </w:tcPr>
          <w:p>
            <w:pPr>
              <w:pStyle w:val="Compact"/>
              <w:spacing w:after="0"/>
              <w:jc w:val="left"/>
            </w:pPr>
            <w:r>
              <w:rPr>
                <w:rFonts w:ascii="Calibri" w:hAnsi="Calibri"/>
                <w:b/>
                <w:sz w:val="19"/>
              </w:rPr>
              <w:t xml:space="preserve">5. Release</w:t>
            </w:r>
          </w:p>
        </w:tc>
        <w:tc>
          <w:tcPr>
            <w:tcW w:w="3840" w:type="dxa"/>
          </w:tcPr>
          <w:p>
            <w:pPr>
              <w:pStyle w:val="Compact"/>
              <w:spacing w:after="0"/>
              <w:jc w:val="left"/>
            </w:pPr>
            <w:r>
              <w:rPr>
                <w:rFonts w:ascii="Calibri" w:hAnsi="Calibri"/>
                <w:sz w:val="19"/>
              </w:rPr>
              <w:t xml:space="preserve">Pipeline gates, signed artifacts, SBOM, security sign-off</w:t>
            </w:r>
          </w:p>
        </w:tc>
        <w:tc>
          <w:tcPr>
            <w:tcW w:w="3840" w:type="dxa"/>
          </w:tcPr>
          <w:p>
            <w:pPr>
              <w:pStyle w:val="Compact"/>
              <w:spacing w:after="0"/>
              <w:jc w:val="left"/>
            </w:pPr>
            <w:r>
              <w:rPr>
                <w:rFonts w:ascii="Calibri" w:hAnsi="Calibri"/>
                <w:sz w:val="19"/>
              </w:rPr>
              <w:t xml:space="preserve">Approved release</w:t>
            </w:r>
          </w:p>
        </w:tc>
      </w:tr>
      <w:tr>
        <w:trPr>
          <w:cantSplit/>
        </w:trPr>
        <w:tc>
          <w:tcPr>
            <w:tcW w:w="1920" w:type="dxa"/>
            <w:shd w:val="clear" w:color="auto" w:fill="F2F2F2"/>
          </w:tcPr>
          <w:p>
            <w:pPr>
              <w:pStyle w:val="Compact"/>
              <w:spacing w:after="0"/>
              <w:jc w:val="left"/>
            </w:pPr>
            <w:r>
              <w:rPr>
                <w:rFonts w:ascii="Calibri" w:hAnsi="Calibri"/>
                <w:b/>
                <w:sz w:val="19"/>
              </w:rPr>
              <w:t xml:space="preserve">6. Operate</w:t>
            </w:r>
          </w:p>
        </w:tc>
        <w:tc>
          <w:tcPr>
            <w:tcW w:w="3840" w:type="dxa"/>
          </w:tcPr>
          <w:p>
            <w:pPr>
              <w:pStyle w:val="Compact"/>
              <w:spacing w:after="0"/>
              <w:jc w:val="left"/>
            </w:pPr>
            <w:r>
              <w:rPr>
                <w:rFonts w:ascii="Calibri" w:hAnsi="Calibri"/>
                <w:sz w:val="19"/>
              </w:rPr>
              <w:t xml:space="preserve">Monitoring, patching, vulnerability management, incident response</w:t>
            </w:r>
          </w:p>
        </w:tc>
        <w:tc>
          <w:tcPr>
            <w:tcW w:w="3840" w:type="dxa"/>
          </w:tcPr>
          <w:p>
            <w:pPr>
              <w:pStyle w:val="Compact"/>
              <w:spacing w:after="0"/>
              <w:jc w:val="left"/>
            </w:pPr>
            <w:r>
              <w:rPr>
                <w:rFonts w:ascii="Calibri" w:hAnsi="Calibri"/>
                <w:sz w:val="19"/>
              </w:rPr>
              <w:t xml:space="preserve">Metrics, patches, incident reports</w:t>
            </w:r>
          </w:p>
        </w:tc>
      </w:tr>
      <w:tr>
        <w:trPr>
          <w:cantSplit/>
        </w:trPr>
        <w:tc>
          <w:tcPr>
            <w:tcW w:w="1920" w:type="dxa"/>
            <w:shd w:val="clear" w:color="auto" w:fill="F2F2F2"/>
          </w:tcPr>
          <w:p>
            <w:pPr>
              <w:pStyle w:val="Compact"/>
              <w:spacing w:after="0"/>
              <w:jc w:val="left"/>
            </w:pPr>
            <w:r>
              <w:rPr>
                <w:rFonts w:ascii="Calibri" w:hAnsi="Calibri"/>
                <w:b/>
                <w:sz w:val="19"/>
              </w:rPr>
              <w:t xml:space="preserve">7. Retire</w:t>
            </w:r>
          </w:p>
        </w:tc>
        <w:tc>
          <w:tcPr>
            <w:tcW w:w="3840" w:type="dxa"/>
          </w:tcPr>
          <w:p>
            <w:pPr>
              <w:pStyle w:val="Compact"/>
              <w:spacing w:after="0"/>
              <w:jc w:val="left"/>
            </w:pPr>
            <w:r>
              <w:rPr>
                <w:rFonts w:ascii="Calibri" w:hAnsi="Calibri"/>
                <w:sz w:val="19"/>
              </w:rPr>
              <w:t xml:space="preserve">Data disposal, credential revocation, access removal</w:t>
            </w:r>
          </w:p>
        </w:tc>
        <w:tc>
          <w:tcPr>
            <w:tcW w:w="3840" w:type="dxa"/>
          </w:tcPr>
          <w:p>
            <w:pPr>
              <w:pStyle w:val="Compact"/>
              <w:spacing w:after="0"/>
              <w:jc w:val="left"/>
            </w:pPr>
            <w:r>
              <w:rPr>
                <w:rFonts w:ascii="Calibri" w:hAnsi="Calibri"/>
                <w:sz w:val="19"/>
              </w:rPr>
              <w:t xml:space="preserve">Decommission record</w:t>
            </w:r>
          </w:p>
        </w:tc>
      </w:tr>
    </w:tbl>
    <w:bookmarkStart w:id="22" w:name="application-risk-tiers"/>
    <w:p>
      <w:pPr>
        <w:pStyle w:val="Heading3"/>
      </w:pPr>
      <w:r>
        <w:t xml:space="preserve">Application risk tiers</w:t>
      </w:r>
    </w:p>
    <w:p>
      <w:pPr>
        <w:pStyle w:val="FirstParagraph"/>
      </w:pPr>
      <w:r>
        <w:t xml:space="preserve">Every application MUST be assigned a tier at inception and re-assessed at least annually or on major change.</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1920"/>
        <w:gridCol w:w="3840"/>
        <w:gridCol w:w="3840"/>
      </w:tblGrid>
      <w:tr>
        <w:trPr>
          <w:tblHeader w:val="true"/>
          <w:cantSplit/>
          <w:tblHeader/>
        </w:trPr>
        <w:tc>
          <w:tcPr>
            <w:tcW w:w="1920" w:type="dxa"/>
            <w:shd w:val="clear" w:color="auto" w:fill="1F3864"/>
          </w:tcPr>
          <w:p>
            <w:pPr>
              <w:pStyle w:val="Compact"/>
              <w:spacing w:after="0"/>
              <w:jc w:val="left"/>
            </w:pPr>
            <w:r>
              <w:rPr>
                <w:rFonts w:ascii="Calibri" w:hAnsi="Calibri"/>
                <w:b/>
                <w:color w:val="FFFFFF"/>
                <w:sz w:val="19"/>
              </w:rPr>
              <w:t xml:space="preserve">Tier</w:t>
            </w:r>
          </w:p>
        </w:tc>
        <w:tc>
          <w:tcPr>
            <w:tcW w:w="3840" w:type="dxa"/>
            <w:shd w:val="clear" w:color="auto" w:fill="1F3864"/>
          </w:tcPr>
          <w:p>
            <w:pPr>
              <w:pStyle w:val="Compact"/>
              <w:spacing w:after="0"/>
              <w:jc w:val="left"/>
            </w:pPr>
            <w:r>
              <w:rPr>
                <w:rFonts w:ascii="Calibri" w:hAnsi="Calibri"/>
                <w:b/>
                <w:color w:val="FFFFFF"/>
                <w:sz w:val="19"/>
              </w:rPr>
              <w:t xml:space="preserve">Typical profile</w:t>
            </w:r>
          </w:p>
        </w:tc>
        <w:tc>
          <w:tcPr>
            <w:tcW w:w="3840" w:type="dxa"/>
            <w:shd w:val="clear" w:color="auto" w:fill="1F3864"/>
          </w:tcPr>
          <w:p>
            <w:pPr>
              <w:pStyle w:val="Compact"/>
              <w:spacing w:after="0"/>
              <w:jc w:val="left"/>
            </w:pPr>
            <w:r>
              <w:rPr>
                <w:rFonts w:ascii="Calibri" w:hAnsi="Calibri"/>
                <w:b/>
                <w:color w:val="FFFFFF"/>
                <w:sz w:val="19"/>
              </w:rPr>
              <w:t xml:space="preserve">Minimum assurance</w:t>
            </w:r>
          </w:p>
        </w:tc>
      </w:tr>
      <w:tr>
        <w:trPr>
          <w:cantSplit/>
        </w:trPr>
        <w:tc>
          <w:tcPr>
            <w:tcW w:w="1920" w:type="dxa"/>
            <w:shd w:val="clear" w:color="auto" w:fill="F2F2F2"/>
          </w:tcPr>
          <w:p>
            <w:pPr>
              <w:pStyle w:val="Compact"/>
              <w:spacing w:after="0"/>
              <w:jc w:val="left"/>
            </w:pPr>
            <w:r>
              <w:rPr>
                <w:rFonts w:ascii="Calibri" w:hAnsi="Calibri"/>
                <w:b/>
                <w:sz w:val="19"/>
              </w:rPr>
              <w:t xml:space="preserve">Tier 1 (critical)</w:t>
            </w:r>
          </w:p>
        </w:tc>
        <w:tc>
          <w:tcPr>
            <w:tcW w:w="3840" w:type="dxa"/>
          </w:tcPr>
          <w:p>
            <w:pPr>
              <w:pStyle w:val="Compact"/>
              <w:spacing w:after="0"/>
              <w:jc w:val="left"/>
            </w:pPr>
            <w:r>
              <w:rPr>
                <w:rFonts w:ascii="Calibri" w:hAnsi="Calibri"/>
                <w:sz w:val="19"/>
              </w:rPr>
              <w:t xml:space="preserve">Internet-facing, handles payments, personal or regulated data, or core infrastructure</w:t>
            </w:r>
          </w:p>
        </w:tc>
        <w:tc>
          <w:tcPr>
            <w:tcW w:w="3840" w:type="dxa"/>
          </w:tcPr>
          <w:p>
            <w:pPr>
              <w:pStyle w:val="Compact"/>
              <w:spacing w:after="0"/>
              <w:jc w:val="left"/>
            </w:pPr>
            <w:r>
              <w:rPr>
                <w:rFonts w:ascii="Calibri" w:hAnsi="Calibri"/>
                <w:sz w:val="19"/>
              </w:rPr>
              <w:t xml:space="preserve">Full threat model, SAST, SCA, DAST, annual external penetration test, security sign-off</w:t>
            </w:r>
          </w:p>
        </w:tc>
      </w:tr>
      <w:tr>
        <w:trPr>
          <w:cantSplit/>
        </w:trPr>
        <w:tc>
          <w:tcPr>
            <w:tcW w:w="1920" w:type="dxa"/>
            <w:shd w:val="clear" w:color="auto" w:fill="F2F2F2"/>
          </w:tcPr>
          <w:p>
            <w:pPr>
              <w:pStyle w:val="Compact"/>
              <w:spacing w:after="0"/>
              <w:jc w:val="left"/>
            </w:pPr>
            <w:r>
              <w:rPr>
                <w:rFonts w:ascii="Calibri" w:hAnsi="Calibri"/>
                <w:b/>
                <w:sz w:val="19"/>
              </w:rPr>
              <w:t xml:space="preserve">Tier 2 (high)</w:t>
            </w:r>
          </w:p>
        </w:tc>
        <w:tc>
          <w:tcPr>
            <w:tcW w:w="3840" w:type="dxa"/>
          </w:tcPr>
          <w:p>
            <w:pPr>
              <w:pStyle w:val="Compact"/>
              <w:spacing w:after="0"/>
              <w:jc w:val="left"/>
            </w:pPr>
            <w:r>
              <w:rPr>
                <w:rFonts w:ascii="Calibri" w:hAnsi="Calibri"/>
                <w:sz w:val="19"/>
              </w:rPr>
              <w:t xml:space="preserve">Internal business systems with sensitive data, or external with limited data</w:t>
            </w:r>
          </w:p>
        </w:tc>
        <w:tc>
          <w:tcPr>
            <w:tcW w:w="3840" w:type="dxa"/>
          </w:tcPr>
          <w:p>
            <w:pPr>
              <w:pStyle w:val="Compact"/>
              <w:spacing w:after="0"/>
              <w:jc w:val="left"/>
            </w:pPr>
            <w:r>
              <w:rPr>
                <w:rFonts w:ascii="Calibri" w:hAnsi="Calibri"/>
                <w:sz w:val="19"/>
              </w:rPr>
              <w:t xml:space="preserve">Lightweight threat model, SAST, SCA, DAST, pen test every two years</w:t>
            </w:r>
          </w:p>
        </w:tc>
      </w:tr>
      <w:tr>
        <w:trPr>
          <w:cantSplit/>
        </w:trPr>
        <w:tc>
          <w:tcPr>
            <w:tcW w:w="1920" w:type="dxa"/>
            <w:shd w:val="clear" w:color="auto" w:fill="F2F2F2"/>
          </w:tcPr>
          <w:p>
            <w:pPr>
              <w:pStyle w:val="Compact"/>
              <w:spacing w:after="0"/>
              <w:jc w:val="left"/>
            </w:pPr>
            <w:r>
              <w:rPr>
                <w:rFonts w:ascii="Calibri" w:hAnsi="Calibri"/>
                <w:b/>
                <w:sz w:val="19"/>
              </w:rPr>
              <w:t xml:space="preserve">Tier 3 (moderate)</w:t>
            </w:r>
          </w:p>
        </w:tc>
        <w:tc>
          <w:tcPr>
            <w:tcW w:w="3840" w:type="dxa"/>
          </w:tcPr>
          <w:p>
            <w:pPr>
              <w:pStyle w:val="Compact"/>
              <w:spacing w:after="0"/>
              <w:jc w:val="left"/>
            </w:pPr>
            <w:r>
              <w:rPr>
                <w:rFonts w:ascii="Calibri" w:hAnsi="Calibri"/>
                <w:sz w:val="19"/>
              </w:rPr>
              <w:t xml:space="preserve">Internal tools, low-sensitivity data</w:t>
            </w:r>
          </w:p>
        </w:tc>
        <w:tc>
          <w:tcPr>
            <w:tcW w:w="3840" w:type="dxa"/>
          </w:tcPr>
          <w:p>
            <w:pPr>
              <w:pStyle w:val="Compact"/>
              <w:spacing w:after="0"/>
              <w:jc w:val="left"/>
            </w:pPr>
            <w:r>
              <w:rPr>
                <w:rFonts w:ascii="Calibri" w:hAnsi="Calibri"/>
                <w:sz w:val="19"/>
              </w:rPr>
              <w:t xml:space="preserve">SAST, SCA, secret scanning, peer review</w:t>
            </w:r>
          </w:p>
        </w:tc>
      </w:tr>
      <w:tr>
        <w:trPr>
          <w:cantSplit/>
        </w:trPr>
        <w:tc>
          <w:tcPr>
            <w:tcW w:w="1920" w:type="dxa"/>
            <w:shd w:val="clear" w:color="auto" w:fill="F2F2F2"/>
          </w:tcPr>
          <w:p>
            <w:pPr>
              <w:pStyle w:val="Compact"/>
              <w:spacing w:after="0"/>
              <w:jc w:val="left"/>
            </w:pPr>
            <w:r>
              <w:rPr>
                <w:rFonts w:ascii="Calibri" w:hAnsi="Calibri"/>
                <w:b/>
                <w:sz w:val="19"/>
              </w:rPr>
              <w:t xml:space="preserve">Tier 4 (low)</w:t>
            </w:r>
          </w:p>
        </w:tc>
        <w:tc>
          <w:tcPr>
            <w:tcW w:w="3840" w:type="dxa"/>
          </w:tcPr>
          <w:p>
            <w:pPr>
              <w:pStyle w:val="Compact"/>
              <w:spacing w:after="0"/>
              <w:jc w:val="left"/>
            </w:pPr>
            <w:r>
              <w:rPr>
                <w:rFonts w:ascii="Calibri" w:hAnsi="Calibri"/>
                <w:sz w:val="19"/>
              </w:rPr>
              <w:t xml:space="preserve">Prototypes, throwaway scripts with no production data</w:t>
            </w:r>
          </w:p>
        </w:tc>
        <w:tc>
          <w:tcPr>
            <w:tcW w:w="3840" w:type="dxa"/>
          </w:tcPr>
          <w:p>
            <w:pPr>
              <w:pStyle w:val="Compact"/>
              <w:spacing w:after="0"/>
              <w:jc w:val="left"/>
            </w:pPr>
            <w:r>
              <w:rPr>
                <w:rFonts w:ascii="Calibri" w:hAnsi="Calibri"/>
                <w:sz w:val="19"/>
              </w:rPr>
              <w:t xml:space="preserve">Secret scanning, dependency check; MUST NOT touch production data</w:t>
            </w:r>
          </w:p>
        </w:tc>
      </w:tr>
    </w:tbl>
    <w:bookmarkEnd w:id="22"/>
    <w:bookmarkEnd w:id="23"/>
    <w:bookmarkStart w:id="24" w:name="security-requirements-and-abuse-cases"/>
    <w:p>
      <w:pPr>
        <w:pStyle w:val="Heading2"/>
      </w:pPr>
      <w:r>
        <w:t xml:space="preserve">4. Security Requirements and Abuse Cases</w:t>
      </w:r>
    </w:p>
    <w:p>
      <w:pPr>
        <w:pStyle w:val="FirstParagraph"/>
      </w:pPr>
      <w:r>
        <w:t xml:space="preserve">Every feature MUST carry explicit security requirements before design starts, because requirements missed here are the most expensive to fix later.</w:t>
      </w:r>
    </w:p>
    <w:p>
      <w:pPr>
        <w:numPr>
          <w:ilvl w:val="0"/>
          <w:numId w:val="1002"/>
        </w:numPr>
        <w:pStyle w:val="Compact"/>
      </w:pPr>
      <w:r>
        <w:rPr>
          <w:bCs/>
          <w:b/>
        </w:rPr>
        <w:t xml:space="preserve">Classify the data.</w:t>
      </w:r>
      <w:r>
        <w:t xml:space="preserve"> </w:t>
      </w:r>
      <w:r>
        <w:t xml:space="preserve">Label what the feature stores, processes or transmits as Public, Internal, Confidential or Restricted, and apply the handling rules in Section 9.</w:t>
      </w:r>
    </w:p>
    <w:p>
      <w:pPr>
        <w:numPr>
          <w:ilvl w:val="0"/>
          <w:numId w:val="1002"/>
        </w:numPr>
        <w:pStyle w:val="Compact"/>
      </w:pPr>
      <w:r>
        <w:rPr>
          <w:bCs/>
          <w:b/>
        </w:rPr>
        <w:t xml:space="preserve">Identify compliance drivers.</w:t>
      </w:r>
      <w:r>
        <w:t xml:space="preserve"> </w:t>
      </w:r>
      <w:r>
        <w:t xml:space="preserve">Note applicable laws and standards (data protection law, PCI DSS, sector rules).</w:t>
      </w:r>
    </w:p>
    <w:p>
      <w:pPr>
        <w:numPr>
          <w:ilvl w:val="0"/>
          <w:numId w:val="1002"/>
        </w:numPr>
        <w:pStyle w:val="Compact"/>
      </w:pPr>
      <w:r>
        <w:rPr>
          <w:bCs/>
          <w:b/>
        </w:rPr>
        <w:t xml:space="preserve">Select a requirement baseline.</w:t>
      </w:r>
      <w:r>
        <w:t xml:space="preserve"> </w:t>
      </w:r>
      <w:r>
        <w:t xml:space="preserve">Use OWASP ASVS Level 1 for Tier 3 and 4, Level 2 for Tier 2, and Level 3 for Tier 1 systems handling the most sensitive functions.</w:t>
      </w:r>
    </w:p>
    <w:p>
      <w:pPr>
        <w:numPr>
          <w:ilvl w:val="0"/>
          <w:numId w:val="1002"/>
        </w:numPr>
        <w:pStyle w:val="Compact"/>
      </w:pPr>
      <w:r>
        <w:rPr>
          <w:bCs/>
          <w:b/>
        </w:rPr>
        <w:t xml:space="preserve">Write abuse cases.</w:t>
      </w:r>
      <w:r>
        <w:t xml:space="preserve"> </w:t>
      </w:r>
      <w:r>
        <w:t xml:space="preserve">For each user story, add the opposite story:</w:t>
      </w:r>
      <w:r>
        <w:t xml:space="preserve"> </w:t>
      </w:r>
      <w:r>
        <w:t xml:space="preserve">“</w:t>
      </w:r>
      <w:r>
        <w:t xml:space="preserve">As an attacker, I want to…</w:t>
      </w:r>
      <w:r>
        <w:t xml:space="preserve">”</w:t>
      </w:r>
      <w:r>
        <w:t xml:space="preserve">. Examples: enumerate other users’ orders, replay a password reset link, upload an executable as an avatar.</w:t>
      </w:r>
    </w:p>
    <w:p>
      <w:pPr>
        <w:numPr>
          <w:ilvl w:val="0"/>
          <w:numId w:val="1002"/>
        </w:numPr>
        <w:pStyle w:val="Compact"/>
      </w:pPr>
      <w:r>
        <w:rPr>
          <w:bCs/>
          <w:b/>
        </w:rPr>
        <w:t xml:space="preserve">Define acceptance criteria.</w:t>
      </w:r>
      <w:r>
        <w:t xml:space="preserve"> </w:t>
      </w:r>
      <w:r>
        <w:t xml:space="preserve">Each security requirement MUST be testable, for example</w:t>
      </w:r>
      <w:r>
        <w:t xml:space="preserve"> </w:t>
      </w:r>
      <w:r>
        <w:t xml:space="preserve">“</w:t>
      </w:r>
      <w:r>
        <w:t xml:space="preserve">an unauthenticated request to /api/orders returns 401</w:t>
      </w:r>
      <w:r>
        <w:t xml:space="preserve">”</w:t>
      </w:r>
      <w:r>
        <w:t xml:space="preserve"> </w:t>
      </w:r>
      <w:r>
        <w:t xml:space="preserve">rather than</w:t>
      </w:r>
      <w:r>
        <w:t xml:space="preserve"> </w:t>
      </w:r>
      <w:r>
        <w:t xml:space="preserve">“</w:t>
      </w:r>
      <w:r>
        <w:t xml:space="preserve">the API is secure</w:t>
      </w:r>
      <w:r>
        <w:t xml:space="preserve">”</w:t>
      </w:r>
      <w:r>
        <w:t xml:space="preserve">.</w:t>
      </w:r>
    </w:p>
    <w:p>
      <w:pPr>
        <w:numPr>
          <w:ilvl w:val="0"/>
          <w:numId w:val="1002"/>
        </w:numPr>
        <w:pStyle w:val="Compact"/>
      </w:pPr>
      <w:r>
        <w:rPr>
          <w:bCs/>
          <w:b/>
        </w:rPr>
        <w:t xml:space="preserve">Record decisions.</w:t>
      </w:r>
      <w:r>
        <w:t xml:space="preserve"> </w:t>
      </w:r>
      <w:r>
        <w:t xml:space="preserve">Track requirements in the same backlog as functional work; a story is not done until its security criteria pass.</w:t>
      </w:r>
    </w:p>
    <w:p>
      <w:pPr>
        <w:pStyle w:val="FirstParagraph"/>
      </w:pPr>
      <w:r>
        <w:rPr>
          <w:bCs/>
          <w:b/>
        </w:rPr>
        <w:t xml:space="preserve">Minimum requirements for any internet-facing feature:</w:t>
      </w:r>
      <w:r>
        <w:t xml:space="preserve"> </w:t>
      </w:r>
      <w:r>
        <w:t xml:space="preserve">authentication and authorization on every endpoint, server-side input validation, encryption in transit, audit logging of security events, rate limiting, and a defined data retention period.</w:t>
      </w:r>
    </w:p>
    <w:bookmarkEnd w:id="24"/>
    <w:bookmarkStart w:id="28" w:name="secure-design-and-threat-modeling"/>
    <w:p>
      <w:pPr>
        <w:pStyle w:val="Heading2"/>
      </w:pPr>
      <w:r>
        <w:t xml:space="preserve">5. Secure Design and Threat Modeling</w:t>
      </w:r>
    </w:p>
    <w:p>
      <w:pPr>
        <w:pStyle w:val="FirstParagraph"/>
      </w:pPr>
      <w:r>
        <w:t xml:space="preserve">Designs MUST be built on proven security principles and tested against a threat model before code is written.</w:t>
      </w:r>
    </w:p>
    <w:bookmarkStart w:id="25" w:name="design-principles"/>
    <w:p>
      <w:pPr>
        <w:pStyle w:val="Heading3"/>
      </w:pPr>
      <w:r>
        <w:t xml:space="preserve">Design principles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Principle</w:t>
            </w:r>
          </w:p>
        </w:tc>
        <w:tc>
          <w:tcPr>
            <w:tcW w:w="7296" w:type="dxa"/>
            <w:shd w:val="clear" w:color="auto" w:fill="1F3864"/>
          </w:tcPr>
          <w:p>
            <w:pPr>
              <w:pStyle w:val="Compact"/>
              <w:spacing w:after="0"/>
              <w:jc w:val="left"/>
            </w:pPr>
            <w:r>
              <w:rPr>
                <w:rFonts w:ascii="Calibri" w:hAnsi="Calibri"/>
                <w:b/>
                <w:color w:val="FFFFFF"/>
                <w:sz w:val="19"/>
              </w:rPr>
              <w:t xml:space="preserve">What it means in practice</w:t>
            </w:r>
          </w:p>
        </w:tc>
      </w:tr>
      <w:tr>
        <w:trPr>
          <w:cantSplit/>
        </w:trPr>
        <w:tc>
          <w:tcPr>
            <w:tcW w:w="2304" w:type="dxa"/>
            <w:shd w:val="clear" w:color="auto" w:fill="F2F2F2"/>
          </w:tcPr>
          <w:p>
            <w:pPr>
              <w:pStyle w:val="Compact"/>
              <w:spacing w:after="0"/>
              <w:jc w:val="left"/>
            </w:pPr>
            <w:r>
              <w:rPr>
                <w:rFonts w:ascii="Calibri" w:hAnsi="Calibri"/>
                <w:b/>
                <w:sz w:val="19"/>
              </w:rPr>
              <w:t xml:space="preserve">Least privilege</w:t>
            </w:r>
          </w:p>
        </w:tc>
        <w:tc>
          <w:tcPr>
            <w:tcW w:w="7296" w:type="dxa"/>
          </w:tcPr>
          <w:p>
            <w:pPr>
              <w:pStyle w:val="Compact"/>
              <w:spacing w:after="0"/>
              <w:jc w:val="left"/>
            </w:pPr>
            <w:r>
              <w:rPr>
                <w:rFonts w:ascii="Calibri" w:hAnsi="Calibri"/>
                <w:sz w:val="19"/>
              </w:rPr>
              <w:t xml:space="preserve">Every user, service and process gets only the access it needs, for only as long as it needs it</w:t>
            </w:r>
          </w:p>
        </w:tc>
      </w:tr>
      <w:tr>
        <w:trPr>
          <w:cantSplit/>
        </w:trPr>
        <w:tc>
          <w:tcPr>
            <w:tcW w:w="2304" w:type="dxa"/>
            <w:shd w:val="clear" w:color="auto" w:fill="F2F2F2"/>
          </w:tcPr>
          <w:p>
            <w:pPr>
              <w:pStyle w:val="Compact"/>
              <w:spacing w:after="0"/>
              <w:jc w:val="left"/>
            </w:pPr>
            <w:r>
              <w:rPr>
                <w:rFonts w:ascii="Calibri" w:hAnsi="Calibri"/>
                <w:b/>
                <w:sz w:val="19"/>
              </w:rPr>
              <w:t xml:space="preserve">Defense in depth</w:t>
            </w:r>
          </w:p>
        </w:tc>
        <w:tc>
          <w:tcPr>
            <w:tcW w:w="7296" w:type="dxa"/>
          </w:tcPr>
          <w:p>
            <w:pPr>
              <w:pStyle w:val="Compact"/>
              <w:spacing w:after="0"/>
              <w:jc w:val="left"/>
            </w:pPr>
            <w:r>
              <w:rPr>
                <w:rFonts w:ascii="Calibri" w:hAnsi="Calibri"/>
                <w:sz w:val="19"/>
              </w:rPr>
              <w:t xml:space="preserve">Layer controls so one failure does not expose the system</w:t>
            </w:r>
          </w:p>
        </w:tc>
      </w:tr>
      <w:tr>
        <w:trPr>
          <w:cantSplit/>
        </w:trPr>
        <w:tc>
          <w:tcPr>
            <w:tcW w:w="2304" w:type="dxa"/>
            <w:shd w:val="clear" w:color="auto" w:fill="F2F2F2"/>
          </w:tcPr>
          <w:p>
            <w:pPr>
              <w:pStyle w:val="Compact"/>
              <w:spacing w:after="0"/>
              <w:jc w:val="left"/>
            </w:pPr>
            <w:r>
              <w:rPr>
                <w:rFonts w:ascii="Calibri" w:hAnsi="Calibri"/>
                <w:b/>
                <w:sz w:val="19"/>
              </w:rPr>
              <w:t xml:space="preserve">Secure by default</w:t>
            </w:r>
          </w:p>
        </w:tc>
        <w:tc>
          <w:tcPr>
            <w:tcW w:w="7296" w:type="dxa"/>
          </w:tcPr>
          <w:p>
            <w:pPr>
              <w:pStyle w:val="Compact"/>
              <w:spacing w:after="0"/>
              <w:jc w:val="left"/>
            </w:pPr>
            <w:r>
              <w:rPr>
                <w:rFonts w:ascii="Calibri" w:hAnsi="Calibri"/>
                <w:sz w:val="19"/>
              </w:rPr>
              <w:t xml:space="preserve">Safe settings out of the box; insecure options require explicit opt-in</w:t>
            </w:r>
          </w:p>
        </w:tc>
      </w:tr>
      <w:tr>
        <w:trPr>
          <w:cantSplit/>
        </w:trPr>
        <w:tc>
          <w:tcPr>
            <w:tcW w:w="2304" w:type="dxa"/>
            <w:shd w:val="clear" w:color="auto" w:fill="F2F2F2"/>
          </w:tcPr>
          <w:p>
            <w:pPr>
              <w:pStyle w:val="Compact"/>
              <w:spacing w:after="0"/>
              <w:jc w:val="left"/>
            </w:pPr>
            <w:r>
              <w:rPr>
                <w:rFonts w:ascii="Calibri" w:hAnsi="Calibri"/>
                <w:b/>
                <w:sz w:val="19"/>
              </w:rPr>
              <w:t xml:space="preserve">Fail securely</w:t>
            </w:r>
          </w:p>
        </w:tc>
        <w:tc>
          <w:tcPr>
            <w:tcW w:w="7296" w:type="dxa"/>
          </w:tcPr>
          <w:p>
            <w:pPr>
              <w:pStyle w:val="Compact"/>
              <w:spacing w:after="0"/>
              <w:jc w:val="left"/>
            </w:pPr>
            <w:r>
              <w:rPr>
                <w:rFonts w:ascii="Calibri" w:hAnsi="Calibri"/>
                <w:sz w:val="19"/>
              </w:rPr>
              <w:t xml:space="preserve">On error, deny access and reveal nothing; never fail open</w:t>
            </w:r>
          </w:p>
        </w:tc>
      </w:tr>
      <w:tr>
        <w:trPr>
          <w:cantSplit/>
        </w:trPr>
        <w:tc>
          <w:tcPr>
            <w:tcW w:w="2304" w:type="dxa"/>
            <w:shd w:val="clear" w:color="auto" w:fill="F2F2F2"/>
          </w:tcPr>
          <w:p>
            <w:pPr>
              <w:pStyle w:val="Compact"/>
              <w:spacing w:after="0"/>
              <w:jc w:val="left"/>
            </w:pPr>
            <w:r>
              <w:rPr>
                <w:rFonts w:ascii="Calibri" w:hAnsi="Calibri"/>
                <w:b/>
                <w:sz w:val="19"/>
              </w:rPr>
              <w:t xml:space="preserve">Complete mediation</w:t>
            </w:r>
          </w:p>
        </w:tc>
        <w:tc>
          <w:tcPr>
            <w:tcW w:w="7296" w:type="dxa"/>
          </w:tcPr>
          <w:p>
            <w:pPr>
              <w:pStyle w:val="Compact"/>
              <w:spacing w:after="0"/>
              <w:jc w:val="left"/>
            </w:pPr>
            <w:r>
              <w:rPr>
                <w:rFonts w:ascii="Calibri" w:hAnsi="Calibri"/>
                <w:sz w:val="19"/>
              </w:rPr>
              <w:t xml:space="preserve">Check authorization on every request, server side</w:t>
            </w:r>
          </w:p>
        </w:tc>
      </w:tr>
      <w:tr>
        <w:trPr>
          <w:cantSplit/>
        </w:trPr>
        <w:tc>
          <w:tcPr>
            <w:tcW w:w="2304" w:type="dxa"/>
            <w:shd w:val="clear" w:color="auto" w:fill="F2F2F2"/>
          </w:tcPr>
          <w:p>
            <w:pPr>
              <w:pStyle w:val="Compact"/>
              <w:spacing w:after="0"/>
              <w:jc w:val="left"/>
            </w:pPr>
            <w:r>
              <w:rPr>
                <w:rFonts w:ascii="Calibri" w:hAnsi="Calibri"/>
                <w:b/>
                <w:sz w:val="19"/>
              </w:rPr>
              <w:t xml:space="preserve">Minimize attack surface</w:t>
            </w:r>
          </w:p>
        </w:tc>
        <w:tc>
          <w:tcPr>
            <w:tcW w:w="7296" w:type="dxa"/>
          </w:tcPr>
          <w:p>
            <w:pPr>
              <w:pStyle w:val="Compact"/>
              <w:spacing w:after="0"/>
              <w:jc w:val="left"/>
            </w:pPr>
            <w:r>
              <w:rPr>
                <w:rFonts w:ascii="Calibri" w:hAnsi="Calibri"/>
                <w:sz w:val="19"/>
              </w:rPr>
              <w:t xml:space="preserve">Remove unused features, endpoints, ports and dependencies</w:t>
            </w:r>
          </w:p>
        </w:tc>
      </w:tr>
      <w:tr>
        <w:trPr>
          <w:cantSplit/>
        </w:trPr>
        <w:tc>
          <w:tcPr>
            <w:tcW w:w="2304" w:type="dxa"/>
            <w:shd w:val="clear" w:color="auto" w:fill="F2F2F2"/>
          </w:tcPr>
          <w:p>
            <w:pPr>
              <w:pStyle w:val="Compact"/>
              <w:spacing w:after="0"/>
              <w:jc w:val="left"/>
            </w:pPr>
            <w:r>
              <w:rPr>
                <w:rFonts w:ascii="Calibri" w:hAnsi="Calibri"/>
                <w:b/>
                <w:sz w:val="19"/>
              </w:rPr>
              <w:t xml:space="preserve">Separation of duties</w:t>
            </w:r>
          </w:p>
        </w:tc>
        <w:tc>
          <w:tcPr>
            <w:tcW w:w="7296" w:type="dxa"/>
          </w:tcPr>
          <w:p>
            <w:pPr>
              <w:pStyle w:val="Compact"/>
              <w:spacing w:after="0"/>
              <w:jc w:val="left"/>
            </w:pPr>
            <w:r>
              <w:rPr>
                <w:rFonts w:ascii="Calibri" w:hAnsi="Calibri"/>
                <w:sz w:val="19"/>
              </w:rPr>
              <w:t xml:space="preserve">No single person or account can complete a high-risk action alone</w:t>
            </w:r>
          </w:p>
        </w:tc>
      </w:tr>
      <w:tr>
        <w:trPr>
          <w:cantSplit/>
        </w:trPr>
        <w:tc>
          <w:tcPr>
            <w:tcW w:w="2304" w:type="dxa"/>
            <w:shd w:val="clear" w:color="auto" w:fill="F2F2F2"/>
          </w:tcPr>
          <w:p>
            <w:pPr>
              <w:pStyle w:val="Compact"/>
              <w:spacing w:after="0"/>
              <w:jc w:val="left"/>
            </w:pPr>
            <w:r>
              <w:rPr>
                <w:rFonts w:ascii="Calibri" w:hAnsi="Calibri"/>
                <w:b/>
                <w:sz w:val="19"/>
              </w:rPr>
              <w:t xml:space="preserve">Zero trust</w:t>
            </w:r>
          </w:p>
        </w:tc>
        <w:tc>
          <w:tcPr>
            <w:tcW w:w="7296" w:type="dxa"/>
          </w:tcPr>
          <w:p>
            <w:pPr>
              <w:pStyle w:val="Compact"/>
              <w:spacing w:after="0"/>
              <w:jc w:val="left"/>
            </w:pPr>
            <w:r>
              <w:rPr>
                <w:rFonts w:ascii="Calibri" w:hAnsi="Calibri"/>
                <w:sz w:val="19"/>
              </w:rPr>
              <w:t xml:space="preserve">Do not trust a request because of its network location; verify identity and context</w:t>
            </w:r>
          </w:p>
        </w:tc>
      </w:tr>
      <w:tr>
        <w:trPr>
          <w:cantSplit/>
        </w:trPr>
        <w:tc>
          <w:tcPr>
            <w:tcW w:w="2304" w:type="dxa"/>
            <w:shd w:val="clear" w:color="auto" w:fill="F2F2F2"/>
          </w:tcPr>
          <w:p>
            <w:pPr>
              <w:pStyle w:val="Compact"/>
              <w:spacing w:after="0"/>
              <w:jc w:val="left"/>
            </w:pPr>
            <w:r>
              <w:rPr>
                <w:rFonts w:ascii="Calibri" w:hAnsi="Calibri"/>
                <w:b/>
                <w:sz w:val="19"/>
              </w:rPr>
              <w:t xml:space="preserve">Keep it simple</w:t>
            </w:r>
          </w:p>
        </w:tc>
        <w:tc>
          <w:tcPr>
            <w:tcW w:w="7296" w:type="dxa"/>
          </w:tcPr>
          <w:p>
            <w:pPr>
              <w:pStyle w:val="Compact"/>
              <w:spacing w:after="0"/>
              <w:jc w:val="left"/>
            </w:pPr>
            <w:r>
              <w:rPr>
                <w:rFonts w:ascii="Calibri" w:hAnsi="Calibri"/>
                <w:sz w:val="19"/>
              </w:rPr>
              <w:t xml:space="preserve">Prefer simple, well-understood designs; complexity hides flaws</w:t>
            </w:r>
          </w:p>
        </w:tc>
      </w:tr>
      <w:tr>
        <w:trPr>
          <w:cantSplit/>
        </w:trPr>
        <w:tc>
          <w:tcPr>
            <w:tcW w:w="2304" w:type="dxa"/>
            <w:shd w:val="clear" w:color="auto" w:fill="F2F2F2"/>
          </w:tcPr>
          <w:p>
            <w:pPr>
              <w:pStyle w:val="Compact"/>
              <w:spacing w:after="0"/>
              <w:jc w:val="left"/>
            </w:pPr>
            <w:r>
              <w:rPr>
                <w:rFonts w:ascii="Calibri" w:hAnsi="Calibri"/>
                <w:b/>
                <w:sz w:val="19"/>
              </w:rPr>
              <w:t xml:space="preserve">Use proven components</w:t>
            </w:r>
          </w:p>
        </w:tc>
        <w:tc>
          <w:tcPr>
            <w:tcW w:w="7296" w:type="dxa"/>
          </w:tcPr>
          <w:p>
            <w:pPr>
              <w:pStyle w:val="Compact"/>
              <w:spacing w:after="0"/>
              <w:jc w:val="left"/>
            </w:pPr>
            <w:r>
              <w:rPr>
                <w:rFonts w:ascii="Calibri" w:hAnsi="Calibri"/>
                <w:sz w:val="19"/>
              </w:rPr>
              <w:t xml:space="preserve">Use vetted libraries and frameworks; do not invent cryptography or authentication</w:t>
            </w:r>
          </w:p>
        </w:tc>
      </w:tr>
    </w:tbl>
    <w:bookmarkEnd w:id="25"/>
    <w:bookmarkStart w:id="26" w:name="threat-modeling-process"/>
    <w:p>
      <w:pPr>
        <w:pStyle w:val="Heading3"/>
      </w:pPr>
      <w:r>
        <w:t xml:space="preserve">Threat modeling process</w:t>
      </w:r>
    </w:p>
    <w:p>
      <w:pPr>
        <w:pStyle w:val="FirstParagraph"/>
      </w:pPr>
      <w:r>
        <w:t xml:space="preserve">Tier 1 and Tier 2 applications MUST have a threat model before build and whenever the design changes materially.</w:t>
      </w:r>
    </w:p>
    <w:p>
      <w:pPr>
        <w:numPr>
          <w:ilvl w:val="0"/>
          <w:numId w:val="1003"/>
        </w:numPr>
        <w:pStyle w:val="Compact"/>
      </w:pPr>
      <w:r>
        <w:rPr>
          <w:bCs/>
          <w:b/>
        </w:rPr>
        <w:t xml:space="preserve">Scope.</w:t>
      </w:r>
      <w:r>
        <w:t xml:space="preserve"> </w:t>
      </w:r>
      <w:r>
        <w:t xml:space="preserve">Draw a data flow diagram showing components, data stores, external actors and trust boundaries.</w:t>
      </w:r>
    </w:p>
    <w:p>
      <w:pPr>
        <w:numPr>
          <w:ilvl w:val="0"/>
          <w:numId w:val="1003"/>
        </w:numPr>
        <w:pStyle w:val="Compact"/>
      </w:pPr>
      <w:r>
        <w:rPr>
          <w:bCs/>
          <w:b/>
        </w:rPr>
        <w:t xml:space="preserve">Identify threats.</w:t>
      </w:r>
      <w:r>
        <w:t xml:space="preserve"> </w:t>
      </w:r>
      <w:r>
        <w:t xml:space="preserve">Walk each element and flow using STRIDE: Spoofing, Tampering, Repudiation, Information disclosure, Denial of service, Elevation of privilege.</w:t>
      </w:r>
    </w:p>
    <w:p>
      <w:pPr>
        <w:numPr>
          <w:ilvl w:val="0"/>
          <w:numId w:val="1003"/>
        </w:numPr>
        <w:pStyle w:val="Compact"/>
      </w:pPr>
      <w:r>
        <w:rPr>
          <w:bCs/>
          <w:b/>
        </w:rPr>
        <w:t xml:space="preserve">Rate risk.</w:t>
      </w:r>
      <w:r>
        <w:t xml:space="preserve"> </w:t>
      </w:r>
      <w:r>
        <w:t xml:space="preserve">Score likelihood and impact (for example with DREAD or a 3x3 matrix) and rank.</w:t>
      </w:r>
    </w:p>
    <w:p>
      <w:pPr>
        <w:numPr>
          <w:ilvl w:val="0"/>
          <w:numId w:val="1003"/>
        </w:numPr>
        <w:pStyle w:val="Compact"/>
      </w:pPr>
      <w:r>
        <w:rPr>
          <w:bCs/>
          <w:b/>
        </w:rPr>
        <w:t xml:space="preserve">Decide the response.</w:t>
      </w:r>
      <w:r>
        <w:t xml:space="preserve"> </w:t>
      </w:r>
      <w:r>
        <w:t xml:space="preserve">Mitigate, transfer, accept (with owner sign-off) or avoid; link each mitigation to a backlog item.</w:t>
      </w:r>
    </w:p>
    <w:p>
      <w:pPr>
        <w:numPr>
          <w:ilvl w:val="0"/>
          <w:numId w:val="1003"/>
        </w:numPr>
        <w:pStyle w:val="Compact"/>
      </w:pPr>
      <w:r>
        <w:rPr>
          <w:bCs/>
          <w:b/>
        </w:rPr>
        <w:t xml:space="preserve">Validate.</w:t>
      </w:r>
      <w:r>
        <w:t xml:space="preserve"> </w:t>
      </w:r>
      <w:r>
        <w:t xml:space="preserve">Confirm mitigations exist in the build and add tests for them.</w:t>
      </w:r>
    </w:p>
    <w:p>
      <w:pPr>
        <w:numPr>
          <w:ilvl w:val="0"/>
          <w:numId w:val="1003"/>
        </w:numPr>
        <w:pStyle w:val="Compact"/>
      </w:pPr>
      <w:r>
        <w:rPr>
          <w:bCs/>
          <w:b/>
        </w:rPr>
        <w:t xml:space="preserve">Keep it current.</w:t>
      </w:r>
      <w:r>
        <w:t xml:space="preserve"> </w:t>
      </w:r>
      <w:r>
        <w:t xml:space="preserve">Store the model with the code and review it at each major release.</w:t>
      </w:r>
    </w:p>
    <w:bookmarkEnd w:id="26"/>
    <w:bookmarkStart w:id="27" w:name="design-review-triggers"/>
    <w:p>
      <w:pPr>
        <w:pStyle w:val="Heading3"/>
      </w:pPr>
      <w:r>
        <w:t xml:space="preserve">Design review triggers</w:t>
      </w:r>
    </w:p>
    <w:p>
      <w:pPr>
        <w:pStyle w:val="FirstParagraph"/>
      </w:pPr>
      <w:r>
        <w:t xml:space="preserve">A security design review by AppSec is REQUIRED when a change introduces a new external interface, a new authentication or authorization mechanism, new handling of Restricted data, a new third-party integration, cryptographic design, or a change to a trust boundary.</w:t>
      </w:r>
    </w:p>
    <w:bookmarkEnd w:id="27"/>
    <w:bookmarkEnd w:id="28"/>
    <w:bookmarkStart w:id="31" w:name="secure-coding-standards"/>
    <w:p>
      <w:pPr>
        <w:pStyle w:val="Heading2"/>
      </w:pPr>
      <w:r>
        <w:t xml:space="preserve">6. Secure Coding Standards</w:t>
      </w:r>
    </w:p>
    <w:p>
      <w:pPr>
        <w:pStyle w:val="FirstParagraph"/>
      </w:pPr>
      <w:r>
        <w:t xml:space="preserve">These rules apply to every language; language-specific standards (for example CERT C, OWASP cheat sheets) add detail.</w:t>
      </w:r>
    </w:p>
    <w:bookmarkStart w:id="29" w:name="core-rules"/>
    <w:p>
      <w:pPr>
        <w:pStyle w:val="Heading3"/>
      </w:pPr>
      <w:r>
        <w:t xml:space="preserve">Core rules</w:t>
      </w:r>
    </w:p>
    <w:p>
      <w:pPr>
        <w:numPr>
          <w:ilvl w:val="0"/>
          <w:numId w:val="1004"/>
        </w:numPr>
        <w:pStyle w:val="Compact"/>
      </w:pPr>
      <w:r>
        <w:rPr>
          <w:bCs/>
          <w:b/>
        </w:rPr>
        <w:t xml:space="preserve">Validate all input</w:t>
      </w:r>
      <w:r>
        <w:t xml:space="preserve"> </w:t>
      </w:r>
      <w:r>
        <w:t xml:space="preserve">on the server, using allow-lists for type, length, range and format. Treat data from users, files, APIs, headers, cookies, environment variables and other services as untrusted.</w:t>
      </w:r>
    </w:p>
    <w:p>
      <w:pPr>
        <w:numPr>
          <w:ilvl w:val="0"/>
          <w:numId w:val="1004"/>
        </w:numPr>
        <w:pStyle w:val="Compact"/>
      </w:pPr>
      <w:r>
        <w:rPr>
          <w:bCs/>
          <w:b/>
        </w:rPr>
        <w:t xml:space="preserve">Encode output</w:t>
      </w:r>
      <w:r>
        <w:t xml:space="preserve"> </w:t>
      </w:r>
      <w:r>
        <w:t xml:space="preserve">for its context (HTML, attribute, JavaScript, URL, SQL, shell, LDAP). Prefer frameworks that auto-escape by default.</w:t>
      </w:r>
    </w:p>
    <w:p>
      <w:pPr>
        <w:numPr>
          <w:ilvl w:val="0"/>
          <w:numId w:val="1004"/>
        </w:numPr>
        <w:pStyle w:val="Compact"/>
      </w:pPr>
      <w:r>
        <w:rPr>
          <w:bCs/>
          <w:b/>
        </w:rPr>
        <w:t xml:space="preserve">Never build queries by string concatenation.</w:t>
      </w:r>
      <w:r>
        <w:t xml:space="preserve"> </w:t>
      </w:r>
      <w:r>
        <w:t xml:space="preserve">Use parameterized queries or safe ORM methods for SQL, NoSQL, LDAP and XPath. Avoid shelling out; if unavoidable, pass arguments as an array, never a concatenated string.</w:t>
      </w:r>
    </w:p>
    <w:p>
      <w:pPr>
        <w:numPr>
          <w:ilvl w:val="0"/>
          <w:numId w:val="1004"/>
        </w:numPr>
        <w:pStyle w:val="Compact"/>
      </w:pPr>
      <w:r>
        <w:rPr>
          <w:bCs/>
          <w:b/>
        </w:rPr>
        <w:t xml:space="preserve">Handle errors safely.</w:t>
      </w:r>
      <w:r>
        <w:t xml:space="preserve"> </w:t>
      </w:r>
      <w:r>
        <w:t xml:space="preserve">Show users generic messages; log details server side. No stack traces, SQL errors or paths in responses.</w:t>
      </w:r>
    </w:p>
    <w:p>
      <w:pPr>
        <w:numPr>
          <w:ilvl w:val="0"/>
          <w:numId w:val="1004"/>
        </w:numPr>
        <w:pStyle w:val="Compact"/>
      </w:pPr>
      <w:r>
        <w:rPr>
          <w:bCs/>
          <w:b/>
        </w:rPr>
        <w:t xml:space="preserve">Do not deserialize untrusted data</w:t>
      </w:r>
      <w:r>
        <w:t xml:space="preserve"> </w:t>
      </w:r>
      <w:r>
        <w:t xml:space="preserve">with native object deserializers (for example Java ObjectInputStream, Python pickle, PHP unserialize). Use data-only formats such as JSON with schema validation.</w:t>
      </w:r>
    </w:p>
    <w:p>
      <w:pPr>
        <w:numPr>
          <w:ilvl w:val="0"/>
          <w:numId w:val="1004"/>
        </w:numPr>
        <w:pStyle w:val="Compact"/>
      </w:pPr>
      <w:r>
        <w:rPr>
          <w:bCs/>
          <w:b/>
        </w:rPr>
        <w:t xml:space="preserve">Handle files safely.</w:t>
      </w:r>
      <w:r>
        <w:t xml:space="preserve"> </w:t>
      </w:r>
      <w:r>
        <w:t xml:space="preserve">Validate type by content, not extension; rename uploads; store outside the web root; scan for malware; block path traversal (</w:t>
      </w:r>
      <w:r>
        <w:rPr>
          <w:rStyle w:val="VerbatimChar"/>
        </w:rPr>
        <w:t xml:space="preserve">../</w:t>
      </w:r>
      <w:r>
        <w:t xml:space="preserve">).</w:t>
      </w:r>
    </w:p>
    <w:p>
      <w:pPr>
        <w:numPr>
          <w:ilvl w:val="0"/>
          <w:numId w:val="1004"/>
        </w:numPr>
        <w:pStyle w:val="Compact"/>
      </w:pPr>
      <w:r>
        <w:rPr>
          <w:bCs/>
          <w:b/>
        </w:rPr>
        <w:t xml:space="preserve">Prevent SSRF.</w:t>
      </w:r>
      <w:r>
        <w:t xml:space="preserve"> </w:t>
      </w:r>
      <w:r>
        <w:t xml:space="preserve">Validate and allow-list outbound URLs; block requests to internal address ranges and cloud metadata endpoints.</w:t>
      </w:r>
    </w:p>
    <w:p>
      <w:pPr>
        <w:numPr>
          <w:ilvl w:val="0"/>
          <w:numId w:val="1004"/>
        </w:numPr>
        <w:pStyle w:val="Compact"/>
      </w:pPr>
      <w:r>
        <w:rPr>
          <w:bCs/>
          <w:b/>
        </w:rPr>
        <w:t xml:space="preserve">Prevent race conditions.</w:t>
      </w:r>
      <w:r>
        <w:t xml:space="preserve"> </w:t>
      </w:r>
      <w:r>
        <w:t xml:space="preserve">Use atomic operations and locking for check-then-act logic such as balance updates and coupon redemption.</w:t>
      </w:r>
    </w:p>
    <w:p>
      <w:pPr>
        <w:numPr>
          <w:ilvl w:val="0"/>
          <w:numId w:val="1004"/>
        </w:numPr>
        <w:pStyle w:val="Compact"/>
      </w:pPr>
      <w:r>
        <w:rPr>
          <w:bCs/>
          <w:b/>
        </w:rPr>
        <w:t xml:space="preserve">Use memory-safe languages</w:t>
      </w:r>
      <w:r>
        <w:t xml:space="preserve"> </w:t>
      </w:r>
      <w:r>
        <w:t xml:space="preserve">for new code where practical. In C and C++, use bounds-checked APIs, enable compiler hardening (stack protectors, ASLR, DEP, FORTIFY_SOURCE) and run sanitizers in test.</w:t>
      </w:r>
    </w:p>
    <w:p>
      <w:pPr>
        <w:numPr>
          <w:ilvl w:val="0"/>
          <w:numId w:val="1004"/>
        </w:numPr>
        <w:pStyle w:val="Compact"/>
      </w:pPr>
      <w:r>
        <w:rPr>
          <w:bCs/>
          <w:b/>
        </w:rPr>
        <w:t xml:space="preserve">Avoid dangerous functions</w:t>
      </w:r>
      <w:r>
        <w:t xml:space="preserve"> </w:t>
      </w:r>
      <w:r>
        <w:t xml:space="preserve">such as</w:t>
      </w:r>
      <w:r>
        <w:t xml:space="preserve"> </w:t>
      </w:r>
      <w:r>
        <w:rPr>
          <w:rStyle w:val="VerbatimChar"/>
        </w:rPr>
        <w:t xml:space="preserve">eval</w:t>
      </w:r>
      <w:r>
        <w:t xml:space="preserve">,</w:t>
      </w:r>
      <w:r>
        <w:t xml:space="preserve"> </w:t>
      </w:r>
      <w:r>
        <w:rPr>
          <w:rStyle w:val="VerbatimChar"/>
        </w:rPr>
        <w:t xml:space="preserve">exec</w:t>
      </w:r>
      <w:r>
        <w:t xml:space="preserve">,</w:t>
      </w:r>
      <w:r>
        <w:t xml:space="preserve"> </w:t>
      </w:r>
      <w:r>
        <w:rPr>
          <w:rStyle w:val="VerbatimChar"/>
        </w:rPr>
        <w:t xml:space="preserve">system</w:t>
      </w:r>
      <w:r>
        <w:t xml:space="preserve">,</w:t>
      </w:r>
      <w:r>
        <w:t xml:space="preserve"> </w:t>
      </w:r>
      <w:r>
        <w:rPr>
          <w:rStyle w:val="VerbatimChar"/>
        </w:rPr>
        <w:t xml:space="preserve">innerHTML</w:t>
      </w:r>
      <w:r>
        <w:t xml:space="preserve"> </w:t>
      </w:r>
      <w:r>
        <w:t xml:space="preserve">with untrusted data, and unsafe regular expressions prone to catastrophic backtracking (ReDoS).</w:t>
      </w:r>
    </w:p>
    <w:p>
      <w:pPr>
        <w:numPr>
          <w:ilvl w:val="0"/>
          <w:numId w:val="1004"/>
        </w:numPr>
        <w:pStyle w:val="Compact"/>
      </w:pPr>
      <w:r>
        <w:rPr>
          <w:bCs/>
          <w:b/>
        </w:rPr>
        <w:t xml:space="preserve">Do not rely on client-side controls</w:t>
      </w:r>
      <w:r>
        <w:t xml:space="preserve"> </w:t>
      </w:r>
      <w:r>
        <w:t xml:space="preserve">for security; they are usability features only.</w:t>
      </w:r>
    </w:p>
    <w:p>
      <w:pPr>
        <w:numPr>
          <w:ilvl w:val="0"/>
          <w:numId w:val="1004"/>
        </w:numPr>
        <w:pStyle w:val="Compact"/>
      </w:pPr>
      <w:r>
        <w:rPr>
          <w:bCs/>
          <w:b/>
        </w:rPr>
        <w:t xml:space="preserve">Remove debug code</w:t>
      </w:r>
      <w:r>
        <w:t xml:space="preserve">, test accounts, backdoors and verbose comments before release.</w:t>
      </w:r>
    </w:p>
    <w:bookmarkEnd w:id="29"/>
    <w:bookmarkStart w:id="30" w:name="vulnerability-to-control-reference"/>
    <w:p>
      <w:pPr>
        <w:pStyle w:val="Heading3"/>
      </w:pPr>
      <w:r>
        <w:t xml:space="preserve">Vulnerability-to-control reference</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Risk (OWASP Top 10 theme)</w:t>
            </w:r>
          </w:p>
        </w:tc>
        <w:tc>
          <w:tcPr>
            <w:tcW w:w="7296" w:type="dxa"/>
            <w:shd w:val="clear" w:color="auto" w:fill="1F3864"/>
          </w:tcPr>
          <w:p>
            <w:pPr>
              <w:pStyle w:val="Compact"/>
              <w:spacing w:after="0"/>
              <w:jc w:val="left"/>
            </w:pPr>
            <w:r>
              <w:rPr>
                <w:rFonts w:ascii="Calibri" w:hAnsi="Calibri"/>
                <w:b/>
                <w:color w:val="FFFFFF"/>
                <w:sz w:val="19"/>
              </w:rPr>
              <w:t xml:space="preserve">Primary controls</w:t>
            </w:r>
          </w:p>
        </w:tc>
      </w:tr>
      <w:tr>
        <w:trPr>
          <w:cantSplit/>
        </w:trPr>
        <w:tc>
          <w:tcPr>
            <w:tcW w:w="2304" w:type="dxa"/>
            <w:shd w:val="clear" w:color="auto" w:fill="F2F2F2"/>
          </w:tcPr>
          <w:p>
            <w:pPr>
              <w:pStyle w:val="Compact"/>
              <w:spacing w:after="0"/>
              <w:jc w:val="left"/>
            </w:pPr>
            <w:r>
              <w:rPr>
                <w:rFonts w:ascii="Calibri" w:hAnsi="Calibri"/>
                <w:b/>
                <w:sz w:val="19"/>
              </w:rPr>
              <w:t xml:space="preserve">Broken access control</w:t>
            </w:r>
          </w:p>
        </w:tc>
        <w:tc>
          <w:tcPr>
            <w:tcW w:w="7296" w:type="dxa"/>
          </w:tcPr>
          <w:p>
            <w:pPr>
              <w:pStyle w:val="Compact"/>
              <w:spacing w:after="0"/>
              <w:jc w:val="left"/>
            </w:pPr>
            <w:r>
              <w:rPr>
                <w:rFonts w:ascii="Calibri" w:hAnsi="Calibri"/>
                <w:sz w:val="19"/>
              </w:rPr>
              <w:t xml:space="preserve">Deny by default, server-side authorization on every request, object-level checks, tests for IDOR</w:t>
            </w:r>
          </w:p>
        </w:tc>
      </w:tr>
      <w:tr>
        <w:trPr>
          <w:cantSplit/>
        </w:trPr>
        <w:tc>
          <w:tcPr>
            <w:tcW w:w="2304" w:type="dxa"/>
            <w:shd w:val="clear" w:color="auto" w:fill="F2F2F2"/>
          </w:tcPr>
          <w:p>
            <w:pPr>
              <w:pStyle w:val="Compact"/>
              <w:spacing w:after="0"/>
              <w:jc w:val="left"/>
            </w:pPr>
            <w:r>
              <w:rPr>
                <w:rFonts w:ascii="Calibri" w:hAnsi="Calibri"/>
                <w:b/>
                <w:sz w:val="19"/>
              </w:rPr>
              <w:t xml:space="preserve">Cryptographic failures</w:t>
            </w:r>
          </w:p>
        </w:tc>
        <w:tc>
          <w:tcPr>
            <w:tcW w:w="7296" w:type="dxa"/>
          </w:tcPr>
          <w:p>
            <w:pPr>
              <w:pStyle w:val="Compact"/>
              <w:spacing w:after="0"/>
              <w:jc w:val="left"/>
            </w:pPr>
            <w:r>
              <w:rPr>
                <w:rFonts w:ascii="Calibri" w:hAnsi="Calibri"/>
                <w:sz w:val="19"/>
              </w:rPr>
              <w:t xml:space="preserve">Approved algorithms, TLS everywhere, encrypt sensitive data at rest, no hard-coded keys</w:t>
            </w:r>
          </w:p>
        </w:tc>
      </w:tr>
      <w:tr>
        <w:trPr>
          <w:cantSplit/>
        </w:trPr>
        <w:tc>
          <w:tcPr>
            <w:tcW w:w="2304" w:type="dxa"/>
            <w:shd w:val="clear" w:color="auto" w:fill="F2F2F2"/>
          </w:tcPr>
          <w:p>
            <w:pPr>
              <w:pStyle w:val="Compact"/>
              <w:spacing w:after="0"/>
              <w:jc w:val="left"/>
            </w:pPr>
            <w:r>
              <w:rPr>
                <w:rFonts w:ascii="Calibri" w:hAnsi="Calibri"/>
                <w:b/>
                <w:sz w:val="19"/>
              </w:rPr>
              <w:t xml:space="preserve">Injection (SQL, OS command, XSS)</w:t>
            </w:r>
          </w:p>
        </w:tc>
        <w:tc>
          <w:tcPr>
            <w:tcW w:w="7296" w:type="dxa"/>
          </w:tcPr>
          <w:p>
            <w:pPr>
              <w:pStyle w:val="Compact"/>
              <w:spacing w:after="0"/>
              <w:jc w:val="left"/>
            </w:pPr>
            <w:r>
              <w:rPr>
                <w:rFonts w:ascii="Calibri" w:hAnsi="Calibri"/>
                <w:sz w:val="19"/>
              </w:rPr>
              <w:t xml:space="preserve">Parameterized queries, contextual output encoding, input validation, Content Security Policy</w:t>
            </w:r>
          </w:p>
        </w:tc>
      </w:tr>
      <w:tr>
        <w:trPr>
          <w:cantSplit/>
        </w:trPr>
        <w:tc>
          <w:tcPr>
            <w:tcW w:w="2304" w:type="dxa"/>
            <w:shd w:val="clear" w:color="auto" w:fill="F2F2F2"/>
          </w:tcPr>
          <w:p>
            <w:pPr>
              <w:pStyle w:val="Compact"/>
              <w:spacing w:after="0"/>
              <w:jc w:val="left"/>
            </w:pPr>
            <w:r>
              <w:rPr>
                <w:rFonts w:ascii="Calibri" w:hAnsi="Calibri"/>
                <w:b/>
                <w:sz w:val="19"/>
              </w:rPr>
              <w:t xml:space="preserve">Insecure design</w:t>
            </w:r>
          </w:p>
        </w:tc>
        <w:tc>
          <w:tcPr>
            <w:tcW w:w="7296" w:type="dxa"/>
          </w:tcPr>
          <w:p>
            <w:pPr>
              <w:pStyle w:val="Compact"/>
              <w:spacing w:after="0"/>
              <w:jc w:val="left"/>
            </w:pPr>
            <w:r>
              <w:rPr>
                <w:rFonts w:ascii="Calibri" w:hAnsi="Calibri"/>
                <w:sz w:val="19"/>
              </w:rPr>
              <w:t xml:space="preserve">Threat modeling, abuse cases, secure design patterns, reference architectures</w:t>
            </w:r>
          </w:p>
        </w:tc>
      </w:tr>
      <w:tr>
        <w:trPr>
          <w:cantSplit/>
        </w:trPr>
        <w:tc>
          <w:tcPr>
            <w:tcW w:w="2304" w:type="dxa"/>
            <w:shd w:val="clear" w:color="auto" w:fill="F2F2F2"/>
          </w:tcPr>
          <w:p>
            <w:pPr>
              <w:pStyle w:val="Compact"/>
              <w:spacing w:after="0"/>
              <w:jc w:val="left"/>
            </w:pPr>
            <w:r>
              <w:rPr>
                <w:rFonts w:ascii="Calibri" w:hAnsi="Calibri"/>
                <w:b/>
                <w:sz w:val="19"/>
              </w:rPr>
              <w:t xml:space="preserve">Security misconfiguration</w:t>
            </w:r>
          </w:p>
        </w:tc>
        <w:tc>
          <w:tcPr>
            <w:tcW w:w="7296" w:type="dxa"/>
          </w:tcPr>
          <w:p>
            <w:pPr>
              <w:pStyle w:val="Compact"/>
              <w:spacing w:after="0"/>
              <w:jc w:val="left"/>
            </w:pPr>
            <w:r>
              <w:rPr>
                <w:rFonts w:ascii="Calibri" w:hAnsi="Calibri"/>
                <w:sz w:val="19"/>
              </w:rPr>
              <w:t xml:space="preserve">Hardened baselines, no default credentials, minimal features, automated config checks</w:t>
            </w:r>
          </w:p>
        </w:tc>
      </w:tr>
      <w:tr>
        <w:trPr>
          <w:cantSplit/>
        </w:trPr>
        <w:tc>
          <w:tcPr>
            <w:tcW w:w="2304" w:type="dxa"/>
            <w:shd w:val="clear" w:color="auto" w:fill="F2F2F2"/>
          </w:tcPr>
          <w:p>
            <w:pPr>
              <w:pStyle w:val="Compact"/>
              <w:spacing w:after="0"/>
              <w:jc w:val="left"/>
            </w:pPr>
            <w:r>
              <w:rPr>
                <w:rFonts w:ascii="Calibri" w:hAnsi="Calibri"/>
                <w:b/>
                <w:sz w:val="19"/>
              </w:rPr>
              <w:t xml:space="preserve">Vulnerable and outdated components</w:t>
            </w:r>
          </w:p>
        </w:tc>
        <w:tc>
          <w:tcPr>
            <w:tcW w:w="7296" w:type="dxa"/>
          </w:tcPr>
          <w:p>
            <w:pPr>
              <w:pStyle w:val="Compact"/>
              <w:spacing w:after="0"/>
              <w:jc w:val="left"/>
            </w:pPr>
            <w:r>
              <w:rPr>
                <w:rFonts w:ascii="Calibri" w:hAnsi="Calibri"/>
                <w:sz w:val="19"/>
              </w:rPr>
              <w:t xml:space="preserve">SCA scanning, SBOM, patch SLAs, remove unused dependencies</w:t>
            </w:r>
          </w:p>
        </w:tc>
      </w:tr>
      <w:tr>
        <w:trPr>
          <w:cantSplit/>
        </w:trPr>
        <w:tc>
          <w:tcPr>
            <w:tcW w:w="2304" w:type="dxa"/>
            <w:shd w:val="clear" w:color="auto" w:fill="F2F2F2"/>
          </w:tcPr>
          <w:p>
            <w:pPr>
              <w:pStyle w:val="Compact"/>
              <w:spacing w:after="0"/>
              <w:jc w:val="left"/>
            </w:pPr>
            <w:r>
              <w:rPr>
                <w:rFonts w:ascii="Calibri" w:hAnsi="Calibri"/>
                <w:b/>
                <w:sz w:val="19"/>
              </w:rPr>
              <w:t xml:space="preserve">Authentication failures</w:t>
            </w:r>
          </w:p>
        </w:tc>
        <w:tc>
          <w:tcPr>
            <w:tcW w:w="7296" w:type="dxa"/>
          </w:tcPr>
          <w:p>
            <w:pPr>
              <w:pStyle w:val="Compact"/>
              <w:spacing w:after="0"/>
              <w:jc w:val="left"/>
            </w:pPr>
            <w:r>
              <w:rPr>
                <w:rFonts w:ascii="Calibri" w:hAnsi="Calibri"/>
                <w:sz w:val="19"/>
              </w:rPr>
              <w:t xml:space="preserve">MFA, strong password rules, rate limiting, secure session handling, no credential stuffing exposure</w:t>
            </w:r>
          </w:p>
        </w:tc>
      </w:tr>
      <w:tr>
        <w:trPr>
          <w:cantSplit/>
        </w:trPr>
        <w:tc>
          <w:tcPr>
            <w:tcW w:w="2304" w:type="dxa"/>
            <w:shd w:val="clear" w:color="auto" w:fill="F2F2F2"/>
          </w:tcPr>
          <w:p>
            <w:pPr>
              <w:pStyle w:val="Compact"/>
              <w:spacing w:after="0"/>
              <w:jc w:val="left"/>
            </w:pPr>
            <w:r>
              <w:rPr>
                <w:rFonts w:ascii="Calibri" w:hAnsi="Calibri"/>
                <w:b/>
                <w:sz w:val="19"/>
              </w:rPr>
              <w:t xml:space="preserve">Software and data integrity failures</w:t>
            </w:r>
          </w:p>
        </w:tc>
        <w:tc>
          <w:tcPr>
            <w:tcW w:w="7296" w:type="dxa"/>
          </w:tcPr>
          <w:p>
            <w:pPr>
              <w:pStyle w:val="Compact"/>
              <w:spacing w:after="0"/>
              <w:jc w:val="left"/>
            </w:pPr>
            <w:r>
              <w:rPr>
                <w:rFonts w:ascii="Calibri" w:hAnsi="Calibri"/>
                <w:sz w:val="19"/>
              </w:rPr>
              <w:t xml:space="preserve">Signed artifacts, verified updates, protected pipelines, no unsafe deserialization</w:t>
            </w:r>
          </w:p>
        </w:tc>
      </w:tr>
      <w:tr>
        <w:trPr>
          <w:cantSplit/>
        </w:trPr>
        <w:tc>
          <w:tcPr>
            <w:tcW w:w="2304" w:type="dxa"/>
            <w:shd w:val="clear" w:color="auto" w:fill="F2F2F2"/>
          </w:tcPr>
          <w:p>
            <w:pPr>
              <w:pStyle w:val="Compact"/>
              <w:spacing w:after="0"/>
              <w:jc w:val="left"/>
            </w:pPr>
            <w:r>
              <w:rPr>
                <w:rFonts w:ascii="Calibri" w:hAnsi="Calibri"/>
                <w:b/>
                <w:sz w:val="19"/>
              </w:rPr>
              <w:t xml:space="preserve">Logging and monitoring failures</w:t>
            </w:r>
          </w:p>
        </w:tc>
        <w:tc>
          <w:tcPr>
            <w:tcW w:w="7296" w:type="dxa"/>
          </w:tcPr>
          <w:p>
            <w:pPr>
              <w:pStyle w:val="Compact"/>
              <w:spacing w:after="0"/>
              <w:jc w:val="left"/>
            </w:pPr>
            <w:r>
              <w:rPr>
                <w:rFonts w:ascii="Calibri" w:hAnsi="Calibri"/>
                <w:sz w:val="19"/>
              </w:rPr>
              <w:t xml:space="preserve">Log security events, protect logs, alert on anomalies, test detection</w:t>
            </w:r>
          </w:p>
        </w:tc>
      </w:tr>
      <w:tr>
        <w:trPr>
          <w:cantSplit/>
        </w:trPr>
        <w:tc>
          <w:tcPr>
            <w:tcW w:w="2304" w:type="dxa"/>
            <w:shd w:val="clear" w:color="auto" w:fill="F2F2F2"/>
          </w:tcPr>
          <w:p>
            <w:pPr>
              <w:pStyle w:val="Compact"/>
              <w:spacing w:after="0"/>
              <w:jc w:val="left"/>
            </w:pPr>
            <w:r>
              <w:rPr>
                <w:rFonts w:ascii="Calibri" w:hAnsi="Calibri"/>
                <w:b/>
                <w:sz w:val="19"/>
              </w:rPr>
              <w:t xml:space="preserve">Server-side request forgery</w:t>
            </w:r>
          </w:p>
        </w:tc>
        <w:tc>
          <w:tcPr>
            <w:tcW w:w="7296" w:type="dxa"/>
          </w:tcPr>
          <w:p>
            <w:pPr>
              <w:pStyle w:val="Compact"/>
              <w:spacing w:after="0"/>
              <w:jc w:val="left"/>
            </w:pPr>
            <w:r>
              <w:rPr>
                <w:rFonts w:ascii="Calibri" w:hAnsi="Calibri"/>
                <w:sz w:val="19"/>
              </w:rPr>
              <w:t xml:space="preserve">URL allow-lists, network egress filtering, metadata service protection</w:t>
            </w:r>
          </w:p>
        </w:tc>
      </w:tr>
    </w:tbl>
    <w:bookmarkEnd w:id="30"/>
    <w:bookmarkEnd w:id="31"/>
    <w:bookmarkStart w:id="35" w:name="X60bf877b3fcd6263ec87c10d9db1564a7221c5c"/>
    <w:p>
      <w:pPr>
        <w:pStyle w:val="Heading2"/>
      </w:pPr>
      <w:r>
        <w:t xml:space="preserve">7. Authentication, Authorization and Session Management</w:t>
      </w:r>
    </w:p>
    <w:p>
      <w:pPr>
        <w:pStyle w:val="FirstParagraph"/>
      </w:pPr>
      <w:r>
        <w:t xml:space="preserve">Applications MUST use a central, proven identity mechanism and MUST NOT implement their own authentication scheme.</w:t>
      </w:r>
    </w:p>
    <w:bookmarkStart w:id="32" w:name="authentication"/>
    <w:p>
      <w:pPr>
        <w:pStyle w:val="Heading3"/>
      </w:pPr>
      <w:r>
        <w:t xml:space="preserve">Authentication</w:t>
      </w:r>
    </w:p>
    <w:p>
      <w:pPr>
        <w:numPr>
          <w:ilvl w:val="0"/>
          <w:numId w:val="1005"/>
        </w:numPr>
        <w:pStyle w:val="Compact"/>
      </w:pPr>
      <w:r>
        <w:t xml:space="preserve">Use the organization’s identity provider through OpenID Connect or SAML. For customer-facing apps, use a vetted identity service or framework.</w:t>
      </w:r>
    </w:p>
    <w:p>
      <w:pPr>
        <w:numPr>
          <w:ilvl w:val="0"/>
          <w:numId w:val="1005"/>
        </w:numPr>
        <w:pStyle w:val="Compact"/>
      </w:pPr>
      <w:r>
        <w:t xml:space="preserve">Enforce the organization’s Password Policy: minimum 12 characters (16 for privileged), a breached-password blocklist, no forced periodic expiry, and secure hashing with Argon2id, scrypt or bcrypt.</w:t>
      </w:r>
    </w:p>
    <w:p>
      <w:pPr>
        <w:numPr>
          <w:ilvl w:val="0"/>
          <w:numId w:val="1005"/>
        </w:numPr>
        <w:pStyle w:val="Compact"/>
      </w:pPr>
      <w:r>
        <w:t xml:space="preserve">Require MFA for administrators, remote access and sensitive actions; prefer phishing-resistant methods (FIDO2/WebAuthn, passkeys).</w:t>
      </w:r>
    </w:p>
    <w:p>
      <w:pPr>
        <w:numPr>
          <w:ilvl w:val="0"/>
          <w:numId w:val="1005"/>
        </w:numPr>
        <w:pStyle w:val="Compact"/>
      </w:pPr>
      <w:r>
        <w:t xml:space="preserve">Throttle and lock after repeated failures, and monitor for credential stuffing and password spraying.</w:t>
      </w:r>
    </w:p>
    <w:p>
      <w:pPr>
        <w:numPr>
          <w:ilvl w:val="0"/>
          <w:numId w:val="1005"/>
        </w:numPr>
        <w:pStyle w:val="Compact"/>
      </w:pPr>
      <w:r>
        <w:t xml:space="preserve">Return identical, generic responses for wrong username and wrong password; protect registration and reset flows from account enumeration.</w:t>
      </w:r>
    </w:p>
    <w:p>
      <w:pPr>
        <w:numPr>
          <w:ilvl w:val="0"/>
          <w:numId w:val="1005"/>
        </w:numPr>
        <w:pStyle w:val="Compact"/>
      </w:pPr>
      <w:r>
        <w:t xml:space="preserve">Password reset tokens MUST be random, single-use, expire within 60 minutes and be sent only to the registered channel.</w:t>
      </w:r>
    </w:p>
    <w:bookmarkEnd w:id="32"/>
    <w:bookmarkStart w:id="33" w:name="authorization"/>
    <w:p>
      <w:pPr>
        <w:pStyle w:val="Heading3"/>
      </w:pPr>
      <w:r>
        <w:t xml:space="preserve">Authorization</w:t>
      </w:r>
    </w:p>
    <w:p>
      <w:pPr>
        <w:numPr>
          <w:ilvl w:val="0"/>
          <w:numId w:val="1006"/>
        </w:numPr>
        <w:pStyle w:val="Compact"/>
      </w:pPr>
      <w:r>
        <w:t xml:space="preserve">Deny by default. Check permissions on the server for every request, function and object.</w:t>
      </w:r>
    </w:p>
    <w:p>
      <w:pPr>
        <w:numPr>
          <w:ilvl w:val="0"/>
          <w:numId w:val="1006"/>
        </w:numPr>
        <w:pStyle w:val="Compact"/>
      </w:pPr>
      <w:r>
        <w:t xml:space="preserve">Enforce object-level checks to stop insecure direct object reference (IDOR/BOLA): confirm the caller may access the specific record, not just the endpoint.</w:t>
      </w:r>
    </w:p>
    <w:p>
      <w:pPr>
        <w:numPr>
          <w:ilvl w:val="0"/>
          <w:numId w:val="1006"/>
        </w:numPr>
        <w:pStyle w:val="Compact"/>
      </w:pPr>
      <w:r>
        <w:t xml:space="preserve">Use role-based (RBAC) or attribute-based (ABAC) access control from a central policy, not scattered</w:t>
      </w:r>
      <w:r>
        <w:t xml:space="preserve"> </w:t>
      </w:r>
      <w:r>
        <w:rPr>
          <w:rStyle w:val="VerbatimChar"/>
        </w:rPr>
        <w:t xml:space="preserve">if</w:t>
      </w:r>
      <w:r>
        <w:t xml:space="preserve"> </w:t>
      </w:r>
      <w:r>
        <w:t xml:space="preserve">statements.</w:t>
      </w:r>
    </w:p>
    <w:p>
      <w:pPr>
        <w:numPr>
          <w:ilvl w:val="0"/>
          <w:numId w:val="1006"/>
        </w:numPr>
        <w:pStyle w:val="Compact"/>
      </w:pPr>
      <w:r>
        <w:t xml:space="preserve">Separate administrative functions, and require re-authentication or step-up MFA for high-risk actions.</w:t>
      </w:r>
    </w:p>
    <w:p>
      <w:pPr>
        <w:numPr>
          <w:ilvl w:val="0"/>
          <w:numId w:val="1006"/>
        </w:numPr>
        <w:pStyle w:val="Compact"/>
      </w:pPr>
      <w:r>
        <w:t xml:space="preserve">Test authorization with automated cases for each role, including horizontal and vertical privilege escalation.</w:t>
      </w:r>
    </w:p>
    <w:bookmarkEnd w:id="33"/>
    <w:bookmarkStart w:id="34" w:name="sessions-and-tokens"/>
    <w:p>
      <w:pPr>
        <w:pStyle w:val="Heading3"/>
      </w:pPr>
      <w:r>
        <w:t xml:space="preserve">Sessions and tokens</w:t>
      </w:r>
    </w:p>
    <w:p>
      <w:pPr>
        <w:numPr>
          <w:ilvl w:val="0"/>
          <w:numId w:val="1007"/>
        </w:numPr>
        <w:pStyle w:val="Compact"/>
      </w:pPr>
      <w:r>
        <w:t xml:space="preserve">Generate session IDs with a cryptographically secure random generator; regenerate on login and privilege change; invalidate on logout and timeout.</w:t>
      </w:r>
    </w:p>
    <w:p>
      <w:pPr>
        <w:numPr>
          <w:ilvl w:val="0"/>
          <w:numId w:val="1007"/>
        </w:numPr>
        <w:pStyle w:val="Compact"/>
      </w:pPr>
      <w:r>
        <w:t xml:space="preserve">Set cookies with</w:t>
      </w:r>
      <w:r>
        <w:t xml:space="preserve"> </w:t>
      </w:r>
      <w:r>
        <w:rPr>
          <w:rStyle w:val="VerbatimChar"/>
        </w:rPr>
        <w:t xml:space="preserve">Secure</w:t>
      </w:r>
      <w:r>
        <w:t xml:space="preserve">,</w:t>
      </w:r>
      <w:r>
        <w:t xml:space="preserve"> </w:t>
      </w:r>
      <w:r>
        <w:rPr>
          <w:rStyle w:val="VerbatimChar"/>
        </w:rPr>
        <w:t xml:space="preserve">HttpOnly</w:t>
      </w:r>
      <w:r>
        <w:t xml:space="preserve"> </w:t>
      </w:r>
      <w:r>
        <w:t xml:space="preserve">and</w:t>
      </w:r>
      <w:r>
        <w:t xml:space="preserve"> </w:t>
      </w:r>
      <w:r>
        <w:rPr>
          <w:rStyle w:val="VerbatimChar"/>
        </w:rPr>
        <w:t xml:space="preserve">SameSite=Lax</w:t>
      </w:r>
      <w:r>
        <w:t xml:space="preserve"> </w:t>
      </w:r>
      <w:r>
        <w:t xml:space="preserve">or</w:t>
      </w:r>
      <w:r>
        <w:t xml:space="preserve"> </w:t>
      </w:r>
      <w:r>
        <w:rPr>
          <w:rStyle w:val="VerbatimChar"/>
        </w:rPr>
        <w:t xml:space="preserve">Strict</w:t>
      </w:r>
      <w:r>
        <w:t xml:space="preserve">.</w:t>
      </w:r>
    </w:p>
    <w:p>
      <w:pPr>
        <w:numPr>
          <w:ilvl w:val="0"/>
          <w:numId w:val="1007"/>
        </w:numPr>
        <w:pStyle w:val="Compact"/>
      </w:pPr>
      <w:r>
        <w:t xml:space="preserve">Define idle timeout (15 to 30 minutes for sensitive apps) and absolute timeout.</w:t>
      </w:r>
    </w:p>
    <w:p>
      <w:pPr>
        <w:numPr>
          <w:ilvl w:val="0"/>
          <w:numId w:val="1007"/>
        </w:numPr>
        <w:pStyle w:val="Compact"/>
      </w:pPr>
      <w:r>
        <w:t xml:space="preserve">For OAuth 2.0, use the authorization code flow with PKCE; never the implicit flow. Validate</w:t>
      </w:r>
      <w:r>
        <w:t xml:space="preserve"> </w:t>
      </w:r>
      <w:r>
        <w:rPr>
          <w:rStyle w:val="VerbatimChar"/>
        </w:rPr>
        <w:t xml:space="preserve">state</w:t>
      </w:r>
      <w:r>
        <w:t xml:space="preserve">,</w:t>
      </w:r>
      <w:r>
        <w:t xml:space="preserve"> </w:t>
      </w:r>
      <w:r>
        <w:rPr>
          <w:rStyle w:val="VerbatimChar"/>
        </w:rPr>
        <w:t xml:space="preserve">nonce</w:t>
      </w:r>
      <w:r>
        <w:t xml:space="preserve">, audience, issuer, signature and expiry.</w:t>
      </w:r>
    </w:p>
    <w:p>
      <w:pPr>
        <w:numPr>
          <w:ilvl w:val="0"/>
          <w:numId w:val="1007"/>
        </w:numPr>
        <w:pStyle w:val="Compact"/>
      </w:pPr>
      <w:r>
        <w:t xml:space="preserve">JWTs MUST use strong signing algorithms (RS256, ES256 or EdDSA), reject</w:t>
      </w:r>
      <w:r>
        <w:t xml:space="preserve"> </w:t>
      </w:r>
      <w:r>
        <w:rPr>
          <w:rStyle w:val="VerbatimChar"/>
        </w:rPr>
        <w:t xml:space="preserve">alg: none</w:t>
      </w:r>
      <w:r>
        <w:t xml:space="preserve">, be short-lived (15 minutes or less for access tokens), and never carry secrets. Store refresh tokens securely and rotate them on use.</w:t>
      </w:r>
    </w:p>
    <w:p>
      <w:pPr>
        <w:numPr>
          <w:ilvl w:val="0"/>
          <w:numId w:val="1007"/>
        </w:numPr>
        <w:pStyle w:val="Compact"/>
      </w:pPr>
      <w:r>
        <w:t xml:space="preserve">Protect state-changing requests from CSRF with anti-forgery tokens or SameSite cookies plus origin checks.</w:t>
      </w:r>
    </w:p>
    <w:bookmarkEnd w:id="34"/>
    <w:bookmarkEnd w:id="35"/>
    <w:bookmarkStart w:id="39" w:name="cryptography-and-secrets-management"/>
    <w:p>
      <w:pPr>
        <w:pStyle w:val="Heading2"/>
      </w:pPr>
      <w:r>
        <w:t xml:space="preserve">8. Cryptography and Secrets Management</w:t>
      </w:r>
    </w:p>
    <w:p>
      <w:pPr>
        <w:pStyle w:val="FirstParagraph"/>
      </w:pPr>
      <w:r>
        <w:t xml:space="preserve">Only approved, standard cryptography may be used, and no secret may live in source code.</w:t>
      </w:r>
    </w:p>
    <w:bookmarkStart w:id="36" w:name="approved-algorithms"/>
    <w:p>
      <w:pPr>
        <w:pStyle w:val="Heading3"/>
      </w:pPr>
      <w:r>
        <w:t xml:space="preserve">Approved algorithms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1920"/>
        <w:gridCol w:w="3840"/>
        <w:gridCol w:w="3840"/>
      </w:tblGrid>
      <w:tr>
        <w:trPr>
          <w:tblHeader w:val="true"/>
          <w:cantSplit/>
          <w:tblHeader/>
        </w:trPr>
        <w:tc>
          <w:tcPr>
            <w:tcW w:w="1920" w:type="dxa"/>
            <w:shd w:val="clear" w:color="auto" w:fill="1F3864"/>
          </w:tcPr>
          <w:p>
            <w:pPr>
              <w:pStyle w:val="Compact"/>
              <w:spacing w:after="0"/>
              <w:jc w:val="left"/>
            </w:pPr>
            <w:r>
              <w:rPr>
                <w:rFonts w:ascii="Calibri" w:hAnsi="Calibri"/>
                <w:b/>
                <w:color w:val="FFFFFF"/>
                <w:sz w:val="19"/>
              </w:rPr>
              <w:t xml:space="preserve">Purpose</w:t>
            </w:r>
          </w:p>
        </w:tc>
        <w:tc>
          <w:tcPr>
            <w:tcW w:w="3840" w:type="dxa"/>
            <w:shd w:val="clear" w:color="auto" w:fill="1F3864"/>
          </w:tcPr>
          <w:p>
            <w:pPr>
              <w:pStyle w:val="Compact"/>
              <w:spacing w:after="0"/>
              <w:jc w:val="left"/>
            </w:pPr>
            <w:r>
              <w:rPr>
                <w:rFonts w:ascii="Calibri" w:hAnsi="Calibri"/>
                <w:b/>
                <w:color w:val="FFFFFF"/>
                <w:sz w:val="19"/>
              </w:rPr>
              <w:t xml:space="preserve">Approved</w:t>
            </w:r>
          </w:p>
        </w:tc>
        <w:tc>
          <w:tcPr>
            <w:tcW w:w="3840" w:type="dxa"/>
            <w:shd w:val="clear" w:color="auto" w:fill="1F3864"/>
          </w:tcPr>
          <w:p>
            <w:pPr>
              <w:pStyle w:val="Compact"/>
              <w:spacing w:after="0"/>
              <w:jc w:val="left"/>
            </w:pPr>
            <w:r>
              <w:rPr>
                <w:rFonts w:ascii="Calibri" w:hAnsi="Calibri"/>
                <w:b/>
                <w:color w:val="FFFFFF"/>
                <w:sz w:val="19"/>
              </w:rPr>
              <w:t xml:space="preserve">Prohibited</w:t>
            </w:r>
          </w:p>
        </w:tc>
      </w:tr>
      <w:tr>
        <w:trPr>
          <w:cantSplit/>
        </w:trPr>
        <w:tc>
          <w:tcPr>
            <w:tcW w:w="1920" w:type="dxa"/>
            <w:shd w:val="clear" w:color="auto" w:fill="F2F2F2"/>
          </w:tcPr>
          <w:p>
            <w:pPr>
              <w:pStyle w:val="Compact"/>
              <w:spacing w:after="0"/>
              <w:jc w:val="left"/>
            </w:pPr>
            <w:r>
              <w:rPr>
                <w:rFonts w:ascii="Calibri" w:hAnsi="Calibri"/>
                <w:b/>
                <w:sz w:val="19"/>
              </w:rPr>
              <w:t xml:space="preserve">Symmetric encryption</w:t>
            </w:r>
          </w:p>
        </w:tc>
        <w:tc>
          <w:tcPr>
            <w:tcW w:w="3840" w:type="dxa"/>
          </w:tcPr>
          <w:p>
            <w:pPr>
              <w:pStyle w:val="Compact"/>
              <w:spacing w:after="0"/>
              <w:jc w:val="left"/>
            </w:pPr>
            <w:r>
              <w:rPr>
                <w:rFonts w:ascii="Calibri" w:hAnsi="Calibri"/>
                <w:sz w:val="19"/>
              </w:rPr>
              <w:t xml:space="preserve">AES-128 or AES-256 in GCM mode; ChaCha20-Poly1305</w:t>
            </w:r>
          </w:p>
        </w:tc>
        <w:tc>
          <w:tcPr>
            <w:tcW w:w="3840" w:type="dxa"/>
          </w:tcPr>
          <w:p>
            <w:pPr>
              <w:pStyle w:val="Compact"/>
              <w:spacing w:after="0"/>
              <w:jc w:val="left"/>
            </w:pPr>
            <w:r>
              <w:rPr>
                <w:rFonts w:ascii="Calibri" w:hAnsi="Calibri"/>
                <w:sz w:val="19"/>
              </w:rPr>
              <w:t xml:space="preserve">DES, 3DES, RC4, ECB mode</w:t>
            </w:r>
          </w:p>
        </w:tc>
      </w:tr>
      <w:tr>
        <w:trPr>
          <w:cantSplit/>
        </w:trPr>
        <w:tc>
          <w:tcPr>
            <w:tcW w:w="1920" w:type="dxa"/>
            <w:shd w:val="clear" w:color="auto" w:fill="F2F2F2"/>
          </w:tcPr>
          <w:p>
            <w:pPr>
              <w:pStyle w:val="Compact"/>
              <w:spacing w:after="0"/>
              <w:jc w:val="left"/>
            </w:pPr>
            <w:r>
              <w:rPr>
                <w:rFonts w:ascii="Calibri" w:hAnsi="Calibri"/>
                <w:b/>
                <w:sz w:val="19"/>
              </w:rPr>
              <w:t xml:space="preserve">Hashing (integrity)</w:t>
            </w:r>
          </w:p>
        </w:tc>
        <w:tc>
          <w:tcPr>
            <w:tcW w:w="3840" w:type="dxa"/>
          </w:tcPr>
          <w:p>
            <w:pPr>
              <w:pStyle w:val="Compact"/>
              <w:spacing w:after="0"/>
              <w:jc w:val="left"/>
            </w:pPr>
            <w:r>
              <w:rPr>
                <w:rFonts w:ascii="Calibri" w:hAnsi="Calibri"/>
                <w:sz w:val="19"/>
              </w:rPr>
              <w:t xml:space="preserve">SHA-256, SHA-384, SHA-512, SHA-3</w:t>
            </w:r>
          </w:p>
        </w:tc>
        <w:tc>
          <w:tcPr>
            <w:tcW w:w="3840" w:type="dxa"/>
          </w:tcPr>
          <w:p>
            <w:pPr>
              <w:pStyle w:val="Compact"/>
              <w:spacing w:after="0"/>
              <w:jc w:val="left"/>
            </w:pPr>
            <w:r>
              <w:rPr>
                <w:rFonts w:ascii="Calibri" w:hAnsi="Calibri"/>
                <w:sz w:val="19"/>
              </w:rPr>
              <w:t xml:space="preserve">MD5, SHA-1</w:t>
            </w:r>
          </w:p>
        </w:tc>
      </w:tr>
      <w:tr>
        <w:trPr>
          <w:cantSplit/>
        </w:trPr>
        <w:tc>
          <w:tcPr>
            <w:tcW w:w="1920" w:type="dxa"/>
            <w:shd w:val="clear" w:color="auto" w:fill="F2F2F2"/>
          </w:tcPr>
          <w:p>
            <w:pPr>
              <w:pStyle w:val="Compact"/>
              <w:spacing w:after="0"/>
              <w:jc w:val="left"/>
            </w:pPr>
            <w:r>
              <w:rPr>
                <w:rFonts w:ascii="Calibri" w:hAnsi="Calibri"/>
                <w:b/>
                <w:sz w:val="19"/>
              </w:rPr>
              <w:t xml:space="preserve">Password hashing</w:t>
            </w:r>
          </w:p>
        </w:tc>
        <w:tc>
          <w:tcPr>
            <w:tcW w:w="3840" w:type="dxa"/>
          </w:tcPr>
          <w:p>
            <w:pPr>
              <w:pStyle w:val="Compact"/>
              <w:spacing w:after="0"/>
              <w:jc w:val="left"/>
            </w:pPr>
            <w:r>
              <w:rPr>
                <w:rFonts w:ascii="Calibri" w:hAnsi="Calibri"/>
                <w:sz w:val="19"/>
              </w:rPr>
              <w:t xml:space="preserve">Argon2id, scrypt, bcrypt, PBKDF2 (high iteration count)</w:t>
            </w:r>
          </w:p>
        </w:tc>
        <w:tc>
          <w:tcPr>
            <w:tcW w:w="3840" w:type="dxa"/>
          </w:tcPr>
          <w:p>
            <w:pPr>
              <w:pStyle w:val="Compact"/>
              <w:spacing w:after="0"/>
              <w:jc w:val="left"/>
            </w:pPr>
            <w:r>
              <w:rPr>
                <w:rFonts w:ascii="Calibri" w:hAnsi="Calibri"/>
                <w:sz w:val="19"/>
              </w:rPr>
              <w:t xml:space="preserve">Plain, unsalted or fast hashes</w:t>
            </w:r>
          </w:p>
        </w:tc>
      </w:tr>
      <w:tr>
        <w:trPr>
          <w:cantSplit/>
        </w:trPr>
        <w:tc>
          <w:tcPr>
            <w:tcW w:w="1920" w:type="dxa"/>
            <w:shd w:val="clear" w:color="auto" w:fill="F2F2F2"/>
          </w:tcPr>
          <w:p>
            <w:pPr>
              <w:pStyle w:val="Compact"/>
              <w:spacing w:after="0"/>
              <w:jc w:val="left"/>
            </w:pPr>
            <w:r>
              <w:rPr>
                <w:rFonts w:ascii="Calibri" w:hAnsi="Calibri"/>
                <w:b/>
                <w:sz w:val="19"/>
              </w:rPr>
              <w:t xml:space="preserve">Asymmetric / signatures</w:t>
            </w:r>
          </w:p>
        </w:tc>
        <w:tc>
          <w:tcPr>
            <w:tcW w:w="3840" w:type="dxa"/>
          </w:tcPr>
          <w:p>
            <w:pPr>
              <w:pStyle w:val="Compact"/>
              <w:spacing w:after="0"/>
              <w:jc w:val="left"/>
            </w:pPr>
            <w:r>
              <w:rPr>
                <w:rFonts w:ascii="Calibri" w:hAnsi="Calibri"/>
                <w:sz w:val="19"/>
              </w:rPr>
              <w:t xml:space="preserve">RSA 3072+ bits, ECDSA P-256 or higher, Ed25519</w:t>
            </w:r>
          </w:p>
        </w:tc>
        <w:tc>
          <w:tcPr>
            <w:tcW w:w="3840" w:type="dxa"/>
          </w:tcPr>
          <w:p>
            <w:pPr>
              <w:pStyle w:val="Compact"/>
              <w:spacing w:after="0"/>
              <w:jc w:val="left"/>
            </w:pPr>
            <w:r>
              <w:rPr>
                <w:rFonts w:ascii="Calibri" w:hAnsi="Calibri"/>
                <w:sz w:val="19"/>
              </w:rPr>
              <w:t xml:space="preserve">RSA below 2048 bits</w:t>
            </w:r>
          </w:p>
        </w:tc>
      </w:tr>
      <w:tr>
        <w:trPr>
          <w:cantSplit/>
        </w:trPr>
        <w:tc>
          <w:tcPr>
            <w:tcW w:w="1920" w:type="dxa"/>
            <w:shd w:val="clear" w:color="auto" w:fill="F2F2F2"/>
          </w:tcPr>
          <w:p>
            <w:pPr>
              <w:pStyle w:val="Compact"/>
              <w:spacing w:after="0"/>
              <w:jc w:val="left"/>
            </w:pPr>
            <w:r>
              <w:rPr>
                <w:rFonts w:ascii="Calibri" w:hAnsi="Calibri"/>
                <w:b/>
                <w:sz w:val="19"/>
              </w:rPr>
              <w:t xml:space="preserve">Key exchange</w:t>
            </w:r>
          </w:p>
        </w:tc>
        <w:tc>
          <w:tcPr>
            <w:tcW w:w="3840" w:type="dxa"/>
          </w:tcPr>
          <w:p>
            <w:pPr>
              <w:pStyle w:val="Compact"/>
              <w:spacing w:after="0"/>
              <w:jc w:val="left"/>
            </w:pPr>
            <w:r>
              <w:rPr>
                <w:rFonts w:ascii="Calibri" w:hAnsi="Calibri"/>
                <w:sz w:val="19"/>
              </w:rPr>
              <w:t xml:space="preserve">ECDHE, X25519</w:t>
            </w:r>
          </w:p>
        </w:tc>
        <w:tc>
          <w:tcPr>
            <w:tcW w:w="3840" w:type="dxa"/>
          </w:tcPr>
          <w:p>
            <w:pPr>
              <w:pStyle w:val="Compact"/>
              <w:spacing w:after="0"/>
              <w:jc w:val="left"/>
            </w:pPr>
            <w:r>
              <w:rPr>
                <w:rFonts w:ascii="Calibri" w:hAnsi="Calibri"/>
                <w:sz w:val="19"/>
              </w:rPr>
              <w:t xml:space="preserve">Static Diffie-Hellman below 2048 bits</w:t>
            </w:r>
          </w:p>
        </w:tc>
      </w:tr>
      <w:tr>
        <w:trPr>
          <w:cantSplit/>
        </w:trPr>
        <w:tc>
          <w:tcPr>
            <w:tcW w:w="1920" w:type="dxa"/>
            <w:shd w:val="clear" w:color="auto" w:fill="F2F2F2"/>
          </w:tcPr>
          <w:p>
            <w:pPr>
              <w:pStyle w:val="Compact"/>
              <w:spacing w:after="0"/>
              <w:jc w:val="left"/>
            </w:pPr>
            <w:r>
              <w:rPr>
                <w:rFonts w:ascii="Calibri" w:hAnsi="Calibri"/>
                <w:b/>
                <w:sz w:val="19"/>
              </w:rPr>
              <w:t xml:space="preserve">Transport</w:t>
            </w:r>
          </w:p>
        </w:tc>
        <w:tc>
          <w:tcPr>
            <w:tcW w:w="3840" w:type="dxa"/>
          </w:tcPr>
          <w:p>
            <w:pPr>
              <w:pStyle w:val="Compact"/>
              <w:spacing w:after="0"/>
              <w:jc w:val="left"/>
            </w:pPr>
            <w:r>
              <w:rPr>
                <w:rFonts w:ascii="Calibri" w:hAnsi="Calibri"/>
                <w:sz w:val="19"/>
              </w:rPr>
              <w:t xml:space="preserve">TLS 1.2 minimum, TLS 1.3 preferred</w:t>
            </w:r>
          </w:p>
        </w:tc>
        <w:tc>
          <w:tcPr>
            <w:tcW w:w="3840" w:type="dxa"/>
          </w:tcPr>
          <w:p>
            <w:pPr>
              <w:pStyle w:val="Compact"/>
              <w:spacing w:after="0"/>
              <w:jc w:val="left"/>
            </w:pPr>
            <w:r>
              <w:rPr>
                <w:rFonts w:ascii="Calibri" w:hAnsi="Calibri"/>
                <w:sz w:val="19"/>
              </w:rPr>
              <w:t xml:space="preserve">SSL, TLS 1.0 and 1.1</w:t>
            </w:r>
          </w:p>
        </w:tc>
      </w:tr>
      <w:tr>
        <w:trPr>
          <w:cantSplit/>
        </w:trPr>
        <w:tc>
          <w:tcPr>
            <w:tcW w:w="1920" w:type="dxa"/>
            <w:shd w:val="clear" w:color="auto" w:fill="F2F2F2"/>
          </w:tcPr>
          <w:p>
            <w:pPr>
              <w:pStyle w:val="Compact"/>
              <w:spacing w:after="0"/>
              <w:jc w:val="left"/>
            </w:pPr>
            <w:r>
              <w:rPr>
                <w:rFonts w:ascii="Calibri" w:hAnsi="Calibri"/>
                <w:b/>
                <w:sz w:val="19"/>
              </w:rPr>
              <w:t xml:space="preserve">Message authentication</w:t>
            </w:r>
          </w:p>
        </w:tc>
        <w:tc>
          <w:tcPr>
            <w:tcW w:w="3840" w:type="dxa"/>
          </w:tcPr>
          <w:p>
            <w:pPr>
              <w:pStyle w:val="Compact"/>
              <w:spacing w:after="0"/>
              <w:jc w:val="left"/>
            </w:pPr>
            <w:r>
              <w:rPr>
                <w:rFonts w:ascii="Calibri" w:hAnsi="Calibri"/>
                <w:sz w:val="19"/>
              </w:rPr>
              <w:t xml:space="preserve">HMAC-SHA-256 or stronger</w:t>
            </w:r>
          </w:p>
        </w:tc>
        <w:tc>
          <w:tcPr>
            <w:tcW w:w="3840" w:type="dxa"/>
          </w:tcPr>
          <w:p>
            <w:pPr>
              <w:pStyle w:val="Compact"/>
              <w:spacing w:after="0"/>
              <w:jc w:val="left"/>
            </w:pPr>
            <w:r>
              <w:rPr>
                <w:rFonts w:ascii="Calibri" w:hAnsi="Calibri"/>
                <w:sz w:val="19"/>
              </w:rPr>
              <w:t xml:space="preserve">Home-grown MACs</w:t>
            </w:r>
          </w:p>
        </w:tc>
      </w:tr>
      <w:tr>
        <w:trPr>
          <w:cantSplit/>
        </w:trPr>
        <w:tc>
          <w:tcPr>
            <w:tcW w:w="1920" w:type="dxa"/>
            <w:shd w:val="clear" w:color="auto" w:fill="F2F2F2"/>
          </w:tcPr>
          <w:p>
            <w:pPr>
              <w:pStyle w:val="Compact"/>
              <w:spacing w:after="0"/>
              <w:jc w:val="left"/>
            </w:pPr>
            <w:r>
              <w:rPr>
                <w:rFonts w:ascii="Calibri" w:hAnsi="Calibri"/>
                <w:b/>
                <w:sz w:val="19"/>
              </w:rPr>
              <w:t xml:space="preserve">Random numbers</w:t>
            </w:r>
          </w:p>
        </w:tc>
        <w:tc>
          <w:tcPr>
            <w:tcW w:w="3840" w:type="dxa"/>
          </w:tcPr>
          <w:p>
            <w:pPr>
              <w:pStyle w:val="Compact"/>
              <w:spacing w:after="0"/>
              <w:jc w:val="left"/>
            </w:pPr>
            <w:r>
              <w:rPr>
                <w:rFonts w:ascii="Calibri" w:hAnsi="Calibri"/>
                <w:sz w:val="19"/>
              </w:rPr>
              <w:t xml:space="preserve">OS CSPRNG (for example</w:t>
            </w:r>
            <w:r>
              <w:rPr>
                <w:rFonts w:ascii="Calibri" w:hAnsi="Calibri"/>
                <w:sz w:val="19"/>
              </w:rPr>
              <w:t xml:space="preserve"> </w:t>
            </w:r>
            <w:r>
              <w:rPr>
                <w:rStyle w:val="VerbatimChar"/>
                <w:rFonts w:ascii="Calibri" w:hAnsi="Calibri"/>
                <w:sz w:val="19"/>
              </w:rPr>
              <w:t xml:space="preserve">secrets</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SecureRandom</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crypto.randomBytes</w:t>
            </w:r>
            <w:r>
              <w:rPr>
                <w:rFonts w:ascii="Calibri" w:hAnsi="Calibri"/>
                <w:sz w:val="19"/>
              </w:rPr>
              <w:t xml:space="preserve">)</w:t>
            </w:r>
          </w:p>
        </w:tc>
        <w:tc>
          <w:tcPr>
            <w:tcW w:w="3840" w:type="dxa"/>
          </w:tcPr>
          <w:p>
            <w:pPr>
              <w:pStyle w:val="Compact"/>
              <w:spacing w:after="0"/>
              <w:jc w:val="left"/>
            </w:pPr>
            <w:r>
              <w:rPr>
                <w:rStyle w:val="VerbatimChar"/>
                <w:rFonts w:ascii="Calibri" w:hAnsi="Calibri"/>
                <w:sz w:val="19"/>
              </w:rPr>
              <w:t xml:space="preserve">rand()</w:t>
            </w:r>
            <w:r>
              <w:rPr>
                <w:rFonts w:ascii="Calibri" w:hAnsi="Calibri"/>
                <w:sz w:val="19"/>
              </w:rPr>
              <w:t xml:space="preserve">,</w:t>
            </w:r>
            <w:r>
              <w:rPr>
                <w:rFonts w:ascii="Calibri" w:hAnsi="Calibri"/>
                <w:sz w:val="19"/>
              </w:rPr>
              <w:t xml:space="preserve"> </w:t>
            </w:r>
            <w:r>
              <w:rPr>
                <w:rStyle w:val="VerbatimChar"/>
                <w:rFonts w:ascii="Calibri" w:hAnsi="Calibri"/>
                <w:sz w:val="19"/>
              </w:rPr>
              <w:t xml:space="preserve">Math.random()</w:t>
            </w:r>
            <w:r>
              <w:rPr>
                <w:rFonts w:ascii="Calibri" w:hAnsi="Calibri"/>
                <w:sz w:val="19"/>
              </w:rPr>
              <w:t xml:space="preserve"> </w:t>
            </w:r>
            <w:r>
              <w:rPr>
                <w:rFonts w:ascii="Calibri" w:hAnsi="Calibri"/>
                <w:sz w:val="19"/>
              </w:rPr>
              <w:t xml:space="preserve">for security use</w:t>
            </w:r>
          </w:p>
        </w:tc>
      </w:tr>
    </w:tbl>
    <w:bookmarkEnd w:id="36"/>
    <w:bookmarkStart w:id="37" w:name="rules"/>
    <w:p>
      <w:pPr>
        <w:pStyle w:val="Heading3"/>
      </w:pPr>
      <w:r>
        <w:t xml:space="preserve">Rules</w:t>
      </w:r>
    </w:p>
    <w:p>
      <w:pPr>
        <w:numPr>
          <w:ilvl w:val="0"/>
          <w:numId w:val="1008"/>
        </w:numPr>
        <w:pStyle w:val="Compact"/>
      </w:pPr>
      <w:r>
        <w:t xml:space="preserve">Use well-reviewed libraries (for example libsodium, platform crypto APIs). Never write your own algorithms or protocols.</w:t>
      </w:r>
    </w:p>
    <w:p>
      <w:pPr>
        <w:numPr>
          <w:ilvl w:val="0"/>
          <w:numId w:val="1008"/>
        </w:numPr>
        <w:pStyle w:val="Compact"/>
      </w:pPr>
      <w:r>
        <w:t xml:space="preserve">Use authenticated encryption, unique random nonces or IVs, and verify certificates and hostnames. Never disable certificate validation.</w:t>
      </w:r>
    </w:p>
    <w:p>
      <w:pPr>
        <w:numPr>
          <w:ilvl w:val="0"/>
          <w:numId w:val="1008"/>
        </w:numPr>
        <w:pStyle w:val="Compact"/>
      </w:pPr>
      <w:r>
        <w:t xml:space="preserve">Enable HSTS and use certificates from a trusted CA with automated renewal.</w:t>
      </w:r>
    </w:p>
    <w:p>
      <w:pPr>
        <w:numPr>
          <w:ilvl w:val="0"/>
          <w:numId w:val="1008"/>
        </w:numPr>
        <w:pStyle w:val="Compact"/>
      </w:pPr>
      <w:r>
        <w:t xml:space="preserve">Plan for crypto agility: keep algorithm choices configurable so they can change without a rewrite, including a path to post-quantum algorithms as standards (NIST FIPS 203, 204, 205) are adopted.</w:t>
      </w:r>
    </w:p>
    <w:bookmarkEnd w:id="37"/>
    <w:bookmarkStart w:id="38" w:name="key-and-secrets-lifecycle"/>
    <w:p>
      <w:pPr>
        <w:pStyle w:val="Heading3"/>
      </w:pPr>
      <w:r>
        <w:t xml:space="preserve">Key and secrets lifecycle</w:t>
      </w:r>
    </w:p>
    <w:p>
      <w:pPr>
        <w:numPr>
          <w:ilvl w:val="0"/>
          <w:numId w:val="1009"/>
        </w:numPr>
        <w:pStyle w:val="Compact"/>
      </w:pPr>
      <w:r>
        <w:t xml:space="preserve">Store keys and secrets in an approved vault or KMS (for example HashiCorp Vault, AWS KMS, Azure Key Vault, Google Cloud KMS); use HSMs for high-value root keys.</w:t>
      </w:r>
    </w:p>
    <w:p>
      <w:pPr>
        <w:numPr>
          <w:ilvl w:val="0"/>
          <w:numId w:val="1009"/>
        </w:numPr>
        <w:pStyle w:val="Compact"/>
      </w:pPr>
      <w:r>
        <w:t xml:space="preserve">Never place secrets in source code, container images, build logs, tickets, chat or client-side code.</w:t>
      </w:r>
    </w:p>
    <w:p>
      <w:pPr>
        <w:numPr>
          <w:ilvl w:val="0"/>
          <w:numId w:val="1009"/>
        </w:numPr>
        <w:pStyle w:val="Compact"/>
      </w:pPr>
      <w:r>
        <w:t xml:space="preserve">Give each environment its own secrets; production secrets MUST NOT be available in development.</w:t>
      </w:r>
    </w:p>
    <w:p>
      <w:pPr>
        <w:numPr>
          <w:ilvl w:val="0"/>
          <w:numId w:val="1009"/>
        </w:numPr>
        <w:pStyle w:val="Compact"/>
      </w:pPr>
      <w:r>
        <w:t xml:space="preserve">Prefer short-lived, dynamically issued credentials and workload identity over static keys.</w:t>
      </w:r>
    </w:p>
    <w:p>
      <w:pPr>
        <w:numPr>
          <w:ilvl w:val="0"/>
          <w:numId w:val="1009"/>
        </w:numPr>
        <w:pStyle w:val="Compact"/>
      </w:pPr>
      <w:r>
        <w:t xml:space="preserve">Rotate keys and secrets on a schedule (at least annually) and immediately after suspected exposure or staff departure.</w:t>
      </w:r>
    </w:p>
    <w:p>
      <w:pPr>
        <w:numPr>
          <w:ilvl w:val="0"/>
          <w:numId w:val="1009"/>
        </w:numPr>
        <w:pStyle w:val="Compact"/>
      </w:pPr>
      <w:r>
        <w:t xml:space="preserve">Separate duties: no single person holds all components of a master key.</w:t>
      </w:r>
    </w:p>
    <w:p>
      <w:pPr>
        <w:numPr>
          <w:ilvl w:val="0"/>
          <w:numId w:val="1009"/>
        </w:numPr>
        <w:pStyle w:val="Compact"/>
      </w:pPr>
      <w:r>
        <w:t xml:space="preserve">If a secret is committed, treat it as compromised: revoke and rotate it first, then clean history.</w:t>
      </w:r>
    </w:p>
    <w:bookmarkEnd w:id="38"/>
    <w:bookmarkEnd w:id="39"/>
    <w:bookmarkStart w:id="41" w:name="data-protection-and-privacy"/>
    <w:p>
      <w:pPr>
        <w:pStyle w:val="Heading2"/>
      </w:pPr>
      <w:r>
        <w:t xml:space="preserve">9. Data Protection and Privacy</w:t>
      </w:r>
    </w:p>
    <w:p>
      <w:pPr>
        <w:pStyle w:val="FirstParagraph"/>
      </w:pPr>
      <w:r>
        <w:t xml:space="preserve">Software MUST collect the least data it needs, protect it according to its classification, and delete it when it is no longer required.</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1920"/>
        <w:gridCol w:w="3840"/>
        <w:gridCol w:w="3840"/>
      </w:tblGrid>
      <w:tr>
        <w:trPr>
          <w:tblHeader w:val="true"/>
          <w:cantSplit/>
          <w:tblHeader/>
        </w:trPr>
        <w:tc>
          <w:tcPr>
            <w:tcW w:w="1920" w:type="dxa"/>
            <w:shd w:val="clear" w:color="auto" w:fill="1F3864"/>
          </w:tcPr>
          <w:p>
            <w:pPr>
              <w:pStyle w:val="Compact"/>
              <w:spacing w:after="0"/>
              <w:jc w:val="left"/>
            </w:pPr>
            <w:r>
              <w:rPr>
                <w:rFonts w:ascii="Calibri" w:hAnsi="Calibri"/>
                <w:b/>
                <w:color w:val="FFFFFF"/>
                <w:sz w:val="19"/>
              </w:rPr>
              <w:t xml:space="preserve">Classification</w:t>
            </w:r>
          </w:p>
        </w:tc>
        <w:tc>
          <w:tcPr>
            <w:tcW w:w="3840" w:type="dxa"/>
            <w:shd w:val="clear" w:color="auto" w:fill="1F3864"/>
          </w:tcPr>
          <w:p>
            <w:pPr>
              <w:pStyle w:val="Compact"/>
              <w:spacing w:after="0"/>
              <w:jc w:val="left"/>
            </w:pPr>
            <w:r>
              <w:rPr>
                <w:rFonts w:ascii="Calibri" w:hAnsi="Calibri"/>
                <w:b/>
                <w:color w:val="FFFFFF"/>
                <w:sz w:val="19"/>
              </w:rPr>
              <w:t xml:space="preserve">Examples</w:t>
            </w:r>
          </w:p>
        </w:tc>
        <w:tc>
          <w:tcPr>
            <w:tcW w:w="3840" w:type="dxa"/>
            <w:shd w:val="clear" w:color="auto" w:fill="1F3864"/>
          </w:tcPr>
          <w:p>
            <w:pPr>
              <w:pStyle w:val="Compact"/>
              <w:spacing w:after="0"/>
              <w:jc w:val="left"/>
            </w:pPr>
            <w:r>
              <w:rPr>
                <w:rFonts w:ascii="Calibri" w:hAnsi="Calibri"/>
                <w:b/>
                <w:color w:val="FFFFFF"/>
                <w:sz w:val="19"/>
              </w:rPr>
              <w:t xml:space="preserve">Minimum handling rules</w:t>
            </w:r>
          </w:p>
        </w:tc>
      </w:tr>
      <w:tr>
        <w:trPr>
          <w:cantSplit/>
        </w:trPr>
        <w:tc>
          <w:tcPr>
            <w:tcW w:w="1920" w:type="dxa"/>
            <w:shd w:val="clear" w:color="auto" w:fill="F2F2F2"/>
          </w:tcPr>
          <w:p>
            <w:pPr>
              <w:pStyle w:val="Compact"/>
              <w:spacing w:after="0"/>
              <w:jc w:val="left"/>
            </w:pPr>
            <w:r>
              <w:rPr>
                <w:rFonts w:ascii="Calibri" w:hAnsi="Calibri"/>
                <w:b/>
                <w:sz w:val="19"/>
              </w:rPr>
              <w:t xml:space="preserve">Public</w:t>
            </w:r>
          </w:p>
        </w:tc>
        <w:tc>
          <w:tcPr>
            <w:tcW w:w="3840" w:type="dxa"/>
          </w:tcPr>
          <w:p>
            <w:pPr>
              <w:pStyle w:val="Compact"/>
              <w:spacing w:after="0"/>
              <w:jc w:val="left"/>
            </w:pPr>
            <w:r>
              <w:rPr>
                <w:rFonts w:ascii="Calibri" w:hAnsi="Calibri"/>
                <w:sz w:val="19"/>
              </w:rPr>
              <w:t xml:space="preserve">Marketing content, published docs</w:t>
            </w:r>
          </w:p>
        </w:tc>
        <w:tc>
          <w:tcPr>
            <w:tcW w:w="3840" w:type="dxa"/>
          </w:tcPr>
          <w:p>
            <w:pPr>
              <w:pStyle w:val="Compact"/>
              <w:spacing w:after="0"/>
              <w:jc w:val="left"/>
            </w:pPr>
            <w:r>
              <w:rPr>
                <w:rFonts w:ascii="Calibri" w:hAnsi="Calibri"/>
                <w:sz w:val="19"/>
              </w:rPr>
              <w:t xml:space="preserve">Integrity controls; no confidentiality requirement</w:t>
            </w:r>
          </w:p>
        </w:tc>
      </w:tr>
      <w:tr>
        <w:trPr>
          <w:cantSplit/>
        </w:trPr>
        <w:tc>
          <w:tcPr>
            <w:tcW w:w="1920" w:type="dxa"/>
            <w:shd w:val="clear" w:color="auto" w:fill="F2F2F2"/>
          </w:tcPr>
          <w:p>
            <w:pPr>
              <w:pStyle w:val="Compact"/>
              <w:spacing w:after="0"/>
              <w:jc w:val="left"/>
            </w:pPr>
            <w:r>
              <w:rPr>
                <w:rFonts w:ascii="Calibri" w:hAnsi="Calibri"/>
                <w:b/>
                <w:sz w:val="19"/>
              </w:rPr>
              <w:t xml:space="preserve">Internal</w:t>
            </w:r>
          </w:p>
        </w:tc>
        <w:tc>
          <w:tcPr>
            <w:tcW w:w="3840" w:type="dxa"/>
          </w:tcPr>
          <w:p>
            <w:pPr>
              <w:pStyle w:val="Compact"/>
              <w:spacing w:after="0"/>
              <w:jc w:val="left"/>
            </w:pPr>
            <w:r>
              <w:rPr>
                <w:rFonts w:ascii="Calibri" w:hAnsi="Calibri"/>
                <w:sz w:val="19"/>
              </w:rPr>
              <w:t xml:space="preserve">Internal procedures, non-sensitive business data</w:t>
            </w:r>
          </w:p>
        </w:tc>
        <w:tc>
          <w:tcPr>
            <w:tcW w:w="3840" w:type="dxa"/>
          </w:tcPr>
          <w:p>
            <w:pPr>
              <w:pStyle w:val="Compact"/>
              <w:spacing w:after="0"/>
              <w:jc w:val="left"/>
            </w:pPr>
            <w:r>
              <w:rPr>
                <w:rFonts w:ascii="Calibri" w:hAnsi="Calibri"/>
                <w:sz w:val="19"/>
              </w:rPr>
              <w:t xml:space="preserve">Authenticated access; encrypt in transit</w:t>
            </w:r>
          </w:p>
        </w:tc>
      </w:tr>
      <w:tr>
        <w:trPr>
          <w:cantSplit/>
        </w:trPr>
        <w:tc>
          <w:tcPr>
            <w:tcW w:w="1920" w:type="dxa"/>
            <w:shd w:val="clear" w:color="auto" w:fill="F2F2F2"/>
          </w:tcPr>
          <w:p>
            <w:pPr>
              <w:pStyle w:val="Compact"/>
              <w:spacing w:after="0"/>
              <w:jc w:val="left"/>
            </w:pPr>
            <w:r>
              <w:rPr>
                <w:rFonts w:ascii="Calibri" w:hAnsi="Calibri"/>
                <w:b/>
                <w:sz w:val="19"/>
              </w:rPr>
              <w:t xml:space="preserve">Confidential</w:t>
            </w:r>
          </w:p>
        </w:tc>
        <w:tc>
          <w:tcPr>
            <w:tcW w:w="3840" w:type="dxa"/>
          </w:tcPr>
          <w:p>
            <w:pPr>
              <w:pStyle w:val="Compact"/>
              <w:spacing w:after="0"/>
              <w:jc w:val="left"/>
            </w:pPr>
            <w:r>
              <w:rPr>
                <w:rFonts w:ascii="Calibri" w:hAnsi="Calibri"/>
                <w:sz w:val="19"/>
              </w:rPr>
              <w:t xml:space="preserve">Customer records, personal data, source code, contracts</w:t>
            </w:r>
          </w:p>
        </w:tc>
        <w:tc>
          <w:tcPr>
            <w:tcW w:w="3840" w:type="dxa"/>
          </w:tcPr>
          <w:p>
            <w:pPr>
              <w:pStyle w:val="Compact"/>
              <w:spacing w:after="0"/>
              <w:jc w:val="left"/>
            </w:pPr>
            <w:r>
              <w:rPr>
                <w:rFonts w:ascii="Calibri" w:hAnsi="Calibri"/>
                <w:sz w:val="19"/>
              </w:rPr>
              <w:t xml:space="preserve">Role-based access; encrypt in transit and at rest; audit access</w:t>
            </w:r>
          </w:p>
        </w:tc>
      </w:tr>
      <w:tr>
        <w:trPr>
          <w:cantSplit/>
        </w:trPr>
        <w:tc>
          <w:tcPr>
            <w:tcW w:w="1920" w:type="dxa"/>
            <w:shd w:val="clear" w:color="auto" w:fill="F2F2F2"/>
          </w:tcPr>
          <w:p>
            <w:pPr>
              <w:pStyle w:val="Compact"/>
              <w:spacing w:after="0"/>
              <w:jc w:val="left"/>
            </w:pPr>
            <w:r>
              <w:rPr>
                <w:rFonts w:ascii="Calibri" w:hAnsi="Calibri"/>
                <w:b/>
                <w:sz w:val="19"/>
              </w:rPr>
              <w:t xml:space="preserve">Restricted</w:t>
            </w:r>
          </w:p>
        </w:tc>
        <w:tc>
          <w:tcPr>
            <w:tcW w:w="3840" w:type="dxa"/>
          </w:tcPr>
          <w:p>
            <w:pPr>
              <w:pStyle w:val="Compact"/>
              <w:spacing w:after="0"/>
              <w:jc w:val="left"/>
            </w:pPr>
            <w:r>
              <w:rPr>
                <w:rFonts w:ascii="Calibri" w:hAnsi="Calibri"/>
                <w:sz w:val="19"/>
              </w:rPr>
              <w:t xml:space="preserve">Payment card data, health data, credentials, encryption keys, government IDs</w:t>
            </w:r>
          </w:p>
        </w:tc>
        <w:tc>
          <w:tcPr>
            <w:tcW w:w="3840" w:type="dxa"/>
          </w:tcPr>
          <w:p>
            <w:pPr>
              <w:pStyle w:val="Compact"/>
              <w:spacing w:after="0"/>
              <w:jc w:val="left"/>
            </w:pPr>
            <w:r>
              <w:rPr>
                <w:rFonts w:ascii="Calibri" w:hAnsi="Calibri"/>
                <w:sz w:val="19"/>
              </w:rPr>
              <w:t xml:space="preserve">Strict need-to-know; field-level encryption or tokenization; MFA for access; full audit trail; no use in non-production</w:t>
            </w:r>
          </w:p>
        </w:tc>
      </w:tr>
    </w:tbl>
    <w:bookmarkStart w:id="40" w:name="rules-1"/>
    <w:p>
      <w:pPr>
        <w:pStyle w:val="Heading3"/>
      </w:pPr>
      <w:r>
        <w:t xml:space="preserve">Rules</w:t>
      </w:r>
    </w:p>
    <w:p>
      <w:pPr>
        <w:numPr>
          <w:ilvl w:val="0"/>
          <w:numId w:val="1010"/>
        </w:numPr>
        <w:pStyle w:val="Compact"/>
      </w:pPr>
      <w:r>
        <w:rPr>
          <w:bCs/>
          <w:b/>
        </w:rPr>
        <w:t xml:space="preserve">Minimize.</w:t>
      </w:r>
      <w:r>
        <w:t xml:space="preserve"> </w:t>
      </w:r>
      <w:r>
        <w:t xml:space="preserve">Collect only fields with a stated purpose; do not store what you can derive or do not need.</w:t>
      </w:r>
    </w:p>
    <w:p>
      <w:pPr>
        <w:numPr>
          <w:ilvl w:val="0"/>
          <w:numId w:val="1010"/>
        </w:numPr>
        <w:pStyle w:val="Compact"/>
      </w:pPr>
      <w:r>
        <w:rPr>
          <w:bCs/>
          <w:b/>
        </w:rPr>
        <w:t xml:space="preserve">Encrypt.</w:t>
      </w:r>
      <w:r>
        <w:t xml:space="preserve"> </w:t>
      </w:r>
      <w:r>
        <w:t xml:space="preserve">Use TLS 1.2+ for all data in transit, including internal service traffic. Encrypt Confidential and Restricted data at rest (disk, database, backups), and use field-level encryption for the most sensitive fields.</w:t>
      </w:r>
    </w:p>
    <w:p>
      <w:pPr>
        <w:numPr>
          <w:ilvl w:val="0"/>
          <w:numId w:val="1010"/>
        </w:numPr>
        <w:pStyle w:val="Compact"/>
      </w:pPr>
      <w:r>
        <w:rPr>
          <w:bCs/>
          <w:b/>
        </w:rPr>
        <w:t xml:space="preserve">Mask and tokenize.</w:t>
      </w:r>
      <w:r>
        <w:t xml:space="preserve"> </w:t>
      </w:r>
      <w:r>
        <w:t xml:space="preserve">Show only the minimum needed (for example last four digits). Tokenize payment data; never store CVV/CVC after authorization.</w:t>
      </w:r>
    </w:p>
    <w:p>
      <w:pPr>
        <w:numPr>
          <w:ilvl w:val="0"/>
          <w:numId w:val="1010"/>
        </w:numPr>
        <w:pStyle w:val="Compact"/>
      </w:pPr>
      <w:r>
        <w:rPr>
          <w:bCs/>
          <w:b/>
        </w:rPr>
        <w:t xml:space="preserve">Never use production data in test or development.</w:t>
      </w:r>
      <w:r>
        <w:t xml:space="preserve"> </w:t>
      </w:r>
      <w:r>
        <w:t xml:space="preserve">Use synthetic or irreversibly anonymized data. If production data must be used, it needs approval and the same controls as production.</w:t>
      </w:r>
    </w:p>
    <w:p>
      <w:pPr>
        <w:numPr>
          <w:ilvl w:val="0"/>
          <w:numId w:val="1010"/>
        </w:numPr>
        <w:pStyle w:val="Compact"/>
      </w:pPr>
      <w:r>
        <w:rPr>
          <w:bCs/>
          <w:b/>
        </w:rPr>
        <w:t xml:space="preserve">Set retention.</w:t>
      </w:r>
      <w:r>
        <w:t xml:space="preserve"> </w:t>
      </w:r>
      <w:r>
        <w:t xml:space="preserve">Define retention and deletion periods per data type, and implement automated deletion and the ability to honor data subject requests (access, correction, erasure).</w:t>
      </w:r>
    </w:p>
    <w:p>
      <w:pPr>
        <w:numPr>
          <w:ilvl w:val="0"/>
          <w:numId w:val="1010"/>
        </w:numPr>
        <w:pStyle w:val="Compact"/>
      </w:pPr>
      <w:r>
        <w:rPr>
          <w:bCs/>
          <w:b/>
        </w:rPr>
        <w:t xml:space="preserve">Privacy by design.</w:t>
      </w:r>
      <w:r>
        <w:t xml:space="preserve"> </w:t>
      </w:r>
      <w:r>
        <w:t xml:space="preserve">Run a privacy impact assessment (DPIA) for new processing of personal data, record the lawful basis, and obtain and record consent where required.</w:t>
      </w:r>
    </w:p>
    <w:p>
      <w:pPr>
        <w:numPr>
          <w:ilvl w:val="0"/>
          <w:numId w:val="1010"/>
        </w:numPr>
        <w:pStyle w:val="Compact"/>
      </w:pPr>
      <w:r>
        <w:rPr>
          <w:bCs/>
          <w:b/>
        </w:rPr>
        <w:t xml:space="preserve">Control transfers.</w:t>
      </w:r>
      <w:r>
        <w:t xml:space="preserve"> </w:t>
      </w:r>
      <w:r>
        <w:t xml:space="preserve">Check legal requirements for cross-border transfers and data residency before choosing hosting regions or vendors.</w:t>
      </w:r>
    </w:p>
    <w:p>
      <w:pPr>
        <w:numPr>
          <w:ilvl w:val="0"/>
          <w:numId w:val="1010"/>
        </w:numPr>
        <w:pStyle w:val="Compact"/>
      </w:pPr>
      <w:r>
        <w:rPr>
          <w:bCs/>
          <w:b/>
        </w:rPr>
        <w:t xml:space="preserve">Protect backups and logs.</w:t>
      </w:r>
      <w:r>
        <w:t xml:space="preserve"> </w:t>
      </w:r>
      <w:r>
        <w:t xml:space="preserve">They inherit the classification of the data they contain.</w:t>
      </w:r>
    </w:p>
    <w:p>
      <w:pPr>
        <w:numPr>
          <w:ilvl w:val="0"/>
          <w:numId w:val="1010"/>
        </w:numPr>
        <w:pStyle w:val="Compact"/>
      </w:pPr>
      <w:r>
        <w:rPr>
          <w:bCs/>
          <w:b/>
        </w:rPr>
        <w:t xml:space="preserve">Notify.</w:t>
      </w:r>
      <w:r>
        <w:t xml:space="preserve"> </w:t>
      </w:r>
      <w:r>
        <w:t xml:space="preserve">Know the breach notification obligations that apply (for example 72 hours under GDPR and the Kenya Data Protection Act) and make sure the incident process in Section 19 can meet them.</w:t>
      </w:r>
    </w:p>
    <w:bookmarkEnd w:id="40"/>
    <w:bookmarkEnd w:id="41"/>
    <w:bookmarkStart w:id="45" w:name="api-web-and-mobile-security"/>
    <w:p>
      <w:pPr>
        <w:pStyle w:val="Heading2"/>
      </w:pPr>
      <w:r>
        <w:t xml:space="preserve">10. API, Web and Mobile Security</w:t>
      </w:r>
    </w:p>
    <w:p>
      <w:pPr>
        <w:pStyle w:val="FirstParagraph"/>
      </w:pPr>
      <w:r>
        <w:t xml:space="preserve">Every exposed interface MUST authenticate callers, validate requests against a schema and limit abuse.</w:t>
      </w:r>
    </w:p>
    <w:bookmarkStart w:id="42" w:name="api-rules"/>
    <w:p>
      <w:pPr>
        <w:pStyle w:val="Heading3"/>
      </w:pPr>
      <w:r>
        <w:t xml:space="preserve">API rules</w:t>
      </w:r>
    </w:p>
    <w:p>
      <w:pPr>
        <w:numPr>
          <w:ilvl w:val="0"/>
          <w:numId w:val="1011"/>
        </w:numPr>
        <w:pStyle w:val="Compact"/>
      </w:pPr>
      <w:r>
        <w:t xml:space="preserve">Inventory all APIs, including shadow, deprecated and internal ones; retire what is unused.</w:t>
      </w:r>
    </w:p>
    <w:p>
      <w:pPr>
        <w:numPr>
          <w:ilvl w:val="0"/>
          <w:numId w:val="1011"/>
        </w:numPr>
        <w:pStyle w:val="Compact"/>
      </w:pPr>
      <w:r>
        <w:t xml:space="preserve">Authenticate every endpoint (OAuth 2.0 / OIDC, mTLS for service to service) and authorize at object and function level.</w:t>
      </w:r>
    </w:p>
    <w:p>
      <w:pPr>
        <w:numPr>
          <w:ilvl w:val="0"/>
          <w:numId w:val="1011"/>
        </w:numPr>
        <w:pStyle w:val="Compact"/>
      </w:pPr>
      <w:r>
        <w:t xml:space="preserve">Validate requests and responses against a schema (OpenAPI, JSON Schema); reject unknown fields to prevent mass assignment.</w:t>
      </w:r>
    </w:p>
    <w:p>
      <w:pPr>
        <w:numPr>
          <w:ilvl w:val="0"/>
          <w:numId w:val="1011"/>
        </w:numPr>
        <w:pStyle w:val="Compact"/>
      </w:pPr>
      <w:r>
        <w:t xml:space="preserve">Apply rate limits, quotas, payload size limits and timeouts per client; protect expensive operations such as search, export and login.</w:t>
      </w:r>
    </w:p>
    <w:p>
      <w:pPr>
        <w:numPr>
          <w:ilvl w:val="0"/>
          <w:numId w:val="1011"/>
        </w:numPr>
        <w:pStyle w:val="Compact"/>
      </w:pPr>
      <w:r>
        <w:t xml:space="preserve">Return only the fields the caller needs; avoid exposing internal IDs, stack details or whole database objects.</w:t>
      </w:r>
    </w:p>
    <w:p>
      <w:pPr>
        <w:numPr>
          <w:ilvl w:val="0"/>
          <w:numId w:val="1011"/>
        </w:numPr>
        <w:pStyle w:val="Compact"/>
      </w:pPr>
      <w:r>
        <w:t xml:space="preserve">Version APIs and publish a deprecation policy. Use an API gateway for central policy, logging and throttling.</w:t>
      </w:r>
    </w:p>
    <w:p>
      <w:pPr>
        <w:numPr>
          <w:ilvl w:val="0"/>
          <w:numId w:val="1011"/>
        </w:numPr>
        <w:pStyle w:val="Compact"/>
      </w:pPr>
      <w:r>
        <w:t xml:space="preserve">For GraphQL, limit query depth and complexity and disable introspection in production. For gRPC and WebSocket, apply the same authentication and validation rules.</w:t>
      </w:r>
    </w:p>
    <w:bookmarkEnd w:id="42"/>
    <w:bookmarkStart w:id="43" w:name="web-security-headers"/>
    <w:p>
      <w:pPr>
        <w:pStyle w:val="Heading3"/>
      </w:pPr>
      <w:r>
        <w:t xml:space="preserve">Web security headers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Header</w:t>
            </w:r>
          </w:p>
        </w:tc>
        <w:tc>
          <w:tcPr>
            <w:tcW w:w="7296" w:type="dxa"/>
            <w:shd w:val="clear" w:color="auto" w:fill="1F3864"/>
          </w:tcPr>
          <w:p>
            <w:pPr>
              <w:pStyle w:val="Compact"/>
              <w:spacing w:after="0"/>
              <w:jc w:val="left"/>
            </w:pPr>
            <w:r>
              <w:rPr>
                <w:rFonts w:ascii="Calibri" w:hAnsi="Calibri"/>
                <w:b/>
                <w:color w:val="FFFFFF"/>
                <w:sz w:val="19"/>
              </w:rPr>
              <w:t xml:space="preserve">Recommended value or purpose</w:t>
            </w:r>
          </w:p>
        </w:tc>
      </w:tr>
      <w:tr>
        <w:trPr>
          <w:cantSplit/>
        </w:trPr>
        <w:tc>
          <w:tcPr>
            <w:tcW w:w="2304" w:type="dxa"/>
            <w:shd w:val="clear" w:color="auto" w:fill="F2F2F2"/>
          </w:tcPr>
          <w:p>
            <w:pPr>
              <w:pStyle w:val="Compact"/>
              <w:spacing w:after="0"/>
              <w:jc w:val="left"/>
            </w:pPr>
            <w:r>
              <w:rPr>
                <w:rFonts w:ascii="Calibri" w:hAnsi="Calibri"/>
                <w:b/>
                <w:sz w:val="19"/>
              </w:rPr>
              <w:t xml:space="preserve">Strict-Transport-Security</w:t>
            </w:r>
          </w:p>
        </w:tc>
        <w:tc>
          <w:tcPr>
            <w:tcW w:w="7296" w:type="dxa"/>
          </w:tcPr>
          <w:p>
            <w:pPr>
              <w:pStyle w:val="Compact"/>
              <w:spacing w:after="0"/>
              <w:jc w:val="left"/>
            </w:pPr>
            <w:r>
              <w:rPr>
                <w:rStyle w:val="VerbatimChar"/>
                <w:rFonts w:ascii="Calibri" w:hAnsi="Calibri"/>
                <w:sz w:val="19"/>
              </w:rPr>
              <w:t xml:space="preserve">max-age=31536000; includeSubDomains</w:t>
            </w:r>
            <w:r>
              <w:rPr>
                <w:rFonts w:ascii="Calibri" w:hAnsi="Calibri"/>
                <w:sz w:val="19"/>
              </w:rPr>
              <w:t xml:space="preserve"> </w:t>
            </w:r>
            <w:r>
              <w:rPr>
                <w:rFonts w:ascii="Calibri" w:hAnsi="Calibri"/>
                <w:sz w:val="19"/>
              </w:rPr>
              <w:t xml:space="preserve">to force HTTPS</w:t>
            </w:r>
          </w:p>
        </w:tc>
      </w:tr>
      <w:tr>
        <w:trPr>
          <w:cantSplit/>
        </w:trPr>
        <w:tc>
          <w:tcPr>
            <w:tcW w:w="2304" w:type="dxa"/>
            <w:shd w:val="clear" w:color="auto" w:fill="F2F2F2"/>
          </w:tcPr>
          <w:p>
            <w:pPr>
              <w:pStyle w:val="Compact"/>
              <w:spacing w:after="0"/>
              <w:jc w:val="left"/>
            </w:pPr>
            <w:r>
              <w:rPr>
                <w:rFonts w:ascii="Calibri" w:hAnsi="Calibri"/>
                <w:b/>
                <w:sz w:val="19"/>
              </w:rPr>
              <w:t xml:space="preserve">Content-Security-Policy</w:t>
            </w:r>
          </w:p>
        </w:tc>
        <w:tc>
          <w:tcPr>
            <w:tcW w:w="7296" w:type="dxa"/>
          </w:tcPr>
          <w:p>
            <w:pPr>
              <w:pStyle w:val="Compact"/>
              <w:spacing w:after="0"/>
              <w:jc w:val="left"/>
            </w:pPr>
            <w:r>
              <w:rPr>
                <w:rFonts w:ascii="Calibri" w:hAnsi="Calibri"/>
                <w:sz w:val="19"/>
              </w:rPr>
              <w:t xml:space="preserve">Restrictive policy with no</w:t>
            </w:r>
            <w:r>
              <w:rPr>
                <w:rFonts w:ascii="Calibri" w:hAnsi="Calibri"/>
                <w:sz w:val="19"/>
              </w:rPr>
              <w:t xml:space="preserve"> </w:t>
            </w:r>
            <w:r>
              <w:rPr>
                <w:rStyle w:val="VerbatimChar"/>
                <w:rFonts w:ascii="Calibri" w:hAnsi="Calibri"/>
                <w:sz w:val="19"/>
              </w:rPr>
              <w:t xml:space="preserve">unsafe-inline</w:t>
            </w:r>
            <w:r>
              <w:rPr>
                <w:rFonts w:ascii="Calibri" w:hAnsi="Calibri"/>
                <w:sz w:val="19"/>
              </w:rPr>
              <w:t xml:space="preserve">; mitigates XSS</w:t>
            </w:r>
          </w:p>
        </w:tc>
      </w:tr>
      <w:tr>
        <w:trPr>
          <w:cantSplit/>
        </w:trPr>
        <w:tc>
          <w:tcPr>
            <w:tcW w:w="2304" w:type="dxa"/>
            <w:shd w:val="clear" w:color="auto" w:fill="F2F2F2"/>
          </w:tcPr>
          <w:p>
            <w:pPr>
              <w:pStyle w:val="Compact"/>
              <w:spacing w:after="0"/>
              <w:jc w:val="left"/>
            </w:pPr>
            <w:r>
              <w:rPr>
                <w:rFonts w:ascii="Calibri" w:hAnsi="Calibri"/>
                <w:b/>
                <w:sz w:val="19"/>
              </w:rPr>
              <w:t xml:space="preserve">X-Content-Type-Options</w:t>
            </w:r>
          </w:p>
        </w:tc>
        <w:tc>
          <w:tcPr>
            <w:tcW w:w="7296" w:type="dxa"/>
          </w:tcPr>
          <w:p>
            <w:pPr>
              <w:pStyle w:val="Compact"/>
              <w:spacing w:after="0"/>
              <w:jc w:val="left"/>
            </w:pPr>
            <w:r>
              <w:rPr>
                <w:rStyle w:val="VerbatimChar"/>
                <w:rFonts w:ascii="Calibri" w:hAnsi="Calibri"/>
                <w:sz w:val="19"/>
              </w:rPr>
              <w:t xml:space="preserve">nosniff</w:t>
            </w:r>
          </w:p>
        </w:tc>
      </w:tr>
      <w:tr>
        <w:trPr>
          <w:cantSplit/>
        </w:trPr>
        <w:tc>
          <w:tcPr>
            <w:tcW w:w="2304" w:type="dxa"/>
            <w:shd w:val="clear" w:color="auto" w:fill="F2F2F2"/>
          </w:tcPr>
          <w:p>
            <w:pPr>
              <w:pStyle w:val="Compact"/>
              <w:spacing w:after="0"/>
              <w:jc w:val="left"/>
            </w:pPr>
            <w:r>
              <w:rPr>
                <w:rFonts w:ascii="Calibri" w:hAnsi="Calibri"/>
                <w:b/>
                <w:sz w:val="19"/>
              </w:rPr>
              <w:t xml:space="preserve">X-Frame-Options or CSP frame-ancestors</w:t>
            </w:r>
          </w:p>
        </w:tc>
        <w:tc>
          <w:tcPr>
            <w:tcW w:w="7296" w:type="dxa"/>
          </w:tcPr>
          <w:p>
            <w:pPr>
              <w:pStyle w:val="Compact"/>
              <w:spacing w:after="0"/>
              <w:jc w:val="left"/>
            </w:pPr>
            <w:r>
              <w:rPr>
                <w:rStyle w:val="VerbatimChar"/>
                <w:rFonts w:ascii="Calibri" w:hAnsi="Calibri"/>
                <w:sz w:val="19"/>
              </w:rPr>
              <w:t xml:space="preserve">DENY</w:t>
            </w:r>
            <w:r>
              <w:rPr>
                <w:rFonts w:ascii="Calibri" w:hAnsi="Calibri"/>
                <w:sz w:val="19"/>
              </w:rPr>
              <w:t xml:space="preserve"> </w:t>
            </w:r>
            <w:r>
              <w:rPr>
                <w:rFonts w:ascii="Calibri" w:hAnsi="Calibri"/>
                <w:sz w:val="19"/>
              </w:rPr>
              <w:t xml:space="preserve">or specific origins to stop clickjacking</w:t>
            </w:r>
          </w:p>
        </w:tc>
      </w:tr>
      <w:tr>
        <w:trPr>
          <w:cantSplit/>
        </w:trPr>
        <w:tc>
          <w:tcPr>
            <w:tcW w:w="2304" w:type="dxa"/>
            <w:shd w:val="clear" w:color="auto" w:fill="F2F2F2"/>
          </w:tcPr>
          <w:p>
            <w:pPr>
              <w:pStyle w:val="Compact"/>
              <w:spacing w:after="0"/>
              <w:jc w:val="left"/>
            </w:pPr>
            <w:r>
              <w:rPr>
                <w:rFonts w:ascii="Calibri" w:hAnsi="Calibri"/>
                <w:b/>
                <w:sz w:val="19"/>
              </w:rPr>
              <w:t xml:space="preserve">Referrer-Policy</w:t>
            </w:r>
          </w:p>
        </w:tc>
        <w:tc>
          <w:tcPr>
            <w:tcW w:w="7296" w:type="dxa"/>
          </w:tcPr>
          <w:p>
            <w:pPr>
              <w:pStyle w:val="Compact"/>
              <w:spacing w:after="0"/>
              <w:jc w:val="left"/>
            </w:pPr>
            <w:r>
              <w:rPr>
                <w:rStyle w:val="VerbatimChar"/>
                <w:rFonts w:ascii="Calibri" w:hAnsi="Calibri"/>
                <w:sz w:val="19"/>
              </w:rPr>
              <w:t xml:space="preserve">strict-origin-when-cross-origin</w:t>
            </w:r>
            <w:r>
              <w:rPr>
                <w:rFonts w:ascii="Calibri" w:hAnsi="Calibri"/>
                <w:sz w:val="19"/>
              </w:rPr>
              <w:t xml:space="preserve"> </w:t>
            </w:r>
            <w:r>
              <w:rPr>
                <w:rFonts w:ascii="Calibri" w:hAnsi="Calibri"/>
                <w:sz w:val="19"/>
              </w:rPr>
              <w:t xml:space="preserve">or stricter</w:t>
            </w:r>
          </w:p>
        </w:tc>
      </w:tr>
      <w:tr>
        <w:trPr>
          <w:cantSplit/>
        </w:trPr>
        <w:tc>
          <w:tcPr>
            <w:tcW w:w="2304" w:type="dxa"/>
            <w:shd w:val="clear" w:color="auto" w:fill="F2F2F2"/>
          </w:tcPr>
          <w:p>
            <w:pPr>
              <w:pStyle w:val="Compact"/>
              <w:spacing w:after="0"/>
              <w:jc w:val="left"/>
            </w:pPr>
            <w:r>
              <w:rPr>
                <w:rFonts w:ascii="Calibri" w:hAnsi="Calibri"/>
                <w:b/>
                <w:sz w:val="19"/>
              </w:rPr>
              <w:t xml:space="preserve">Permissions-Policy</w:t>
            </w:r>
          </w:p>
        </w:tc>
        <w:tc>
          <w:tcPr>
            <w:tcW w:w="7296" w:type="dxa"/>
          </w:tcPr>
          <w:p>
            <w:pPr>
              <w:pStyle w:val="Compact"/>
              <w:spacing w:after="0"/>
              <w:jc w:val="left"/>
            </w:pPr>
            <w:r>
              <w:rPr>
                <w:rFonts w:ascii="Calibri" w:hAnsi="Calibri"/>
                <w:sz w:val="19"/>
              </w:rPr>
              <w:t xml:space="preserve">Disable unused browser features (camera, microphone, geolocation)</w:t>
            </w:r>
          </w:p>
        </w:tc>
      </w:tr>
      <w:tr>
        <w:trPr>
          <w:cantSplit/>
        </w:trPr>
        <w:tc>
          <w:tcPr>
            <w:tcW w:w="2304" w:type="dxa"/>
            <w:shd w:val="clear" w:color="auto" w:fill="F2F2F2"/>
          </w:tcPr>
          <w:p>
            <w:pPr>
              <w:pStyle w:val="Compact"/>
              <w:spacing w:after="0"/>
              <w:jc w:val="left"/>
            </w:pPr>
            <w:r>
              <w:rPr>
                <w:rFonts w:ascii="Calibri" w:hAnsi="Calibri"/>
                <w:b/>
                <w:sz w:val="19"/>
              </w:rPr>
              <w:t xml:space="preserve">Cache-Control</w:t>
            </w:r>
          </w:p>
        </w:tc>
        <w:tc>
          <w:tcPr>
            <w:tcW w:w="7296" w:type="dxa"/>
          </w:tcPr>
          <w:p>
            <w:pPr>
              <w:pStyle w:val="Compact"/>
              <w:spacing w:after="0"/>
              <w:jc w:val="left"/>
            </w:pPr>
            <w:r>
              <w:rPr>
                <w:rStyle w:val="VerbatimChar"/>
                <w:rFonts w:ascii="Calibri" w:hAnsi="Calibri"/>
                <w:sz w:val="19"/>
              </w:rPr>
              <w:t xml:space="preserve">no-store</w:t>
            </w:r>
            <w:r>
              <w:rPr>
                <w:rFonts w:ascii="Calibri" w:hAnsi="Calibri"/>
                <w:sz w:val="19"/>
              </w:rPr>
              <w:t xml:space="preserve"> </w:t>
            </w:r>
            <w:r>
              <w:rPr>
                <w:rFonts w:ascii="Calibri" w:hAnsi="Calibri"/>
                <w:sz w:val="19"/>
              </w:rPr>
              <w:t xml:space="preserve">on responses with sensitive data</w:t>
            </w:r>
          </w:p>
        </w:tc>
      </w:tr>
    </w:tbl>
    <w:p>
      <w:pPr>
        <w:pStyle w:val="BodyText"/>
      </w:pPr>
      <w:r>
        <w:t xml:space="preserve">CORS MUST use an explicit allow-list of origins; never reflect the</w:t>
      </w:r>
      <w:r>
        <w:t xml:space="preserve"> </w:t>
      </w:r>
      <w:r>
        <w:rPr>
          <w:rStyle w:val="VerbatimChar"/>
        </w:rPr>
        <w:t xml:space="preserve">Origin</w:t>
      </w:r>
      <w:r>
        <w:t xml:space="preserve"> </w:t>
      </w:r>
      <w:r>
        <w:t xml:space="preserve">header or combine a wildcard with credentials. Third-party scripts MUST use Subresource Integrity (SRI) where possible.</w:t>
      </w:r>
    </w:p>
    <w:bookmarkEnd w:id="43"/>
    <w:bookmarkStart w:id="44" w:name="mobile-rules"/>
    <w:p>
      <w:pPr>
        <w:pStyle w:val="Heading3"/>
      </w:pPr>
      <w:r>
        <w:t xml:space="preserve">Mobile rules</w:t>
      </w:r>
    </w:p>
    <w:p>
      <w:pPr>
        <w:numPr>
          <w:ilvl w:val="0"/>
          <w:numId w:val="1012"/>
        </w:numPr>
        <w:pStyle w:val="Compact"/>
      </w:pPr>
      <w:r>
        <w:t xml:space="preserve">Store no secrets or sensitive data in plain text on the device; use the platform keystore or keychain and encrypted storage.</w:t>
      </w:r>
    </w:p>
    <w:p>
      <w:pPr>
        <w:numPr>
          <w:ilvl w:val="0"/>
          <w:numId w:val="1012"/>
        </w:numPr>
        <w:pStyle w:val="Compact"/>
      </w:pPr>
      <w:r>
        <w:t xml:space="preserve">Use TLS with certificate validation; use certificate pinning for high-risk apps, with a recovery plan for rotation.</w:t>
      </w:r>
    </w:p>
    <w:p>
      <w:pPr>
        <w:numPr>
          <w:ilvl w:val="0"/>
          <w:numId w:val="1012"/>
        </w:numPr>
        <w:pStyle w:val="Compact"/>
      </w:pPr>
      <w:r>
        <w:t xml:space="preserve">Do not embed API keys that grant broad access; use per-user tokens obtained after authentication.</w:t>
      </w:r>
    </w:p>
    <w:p>
      <w:pPr>
        <w:numPr>
          <w:ilvl w:val="0"/>
          <w:numId w:val="1012"/>
        </w:numPr>
        <w:pStyle w:val="Compact"/>
      </w:pPr>
      <w:r>
        <w:t xml:space="preserve">Detect rooted or jailbroken devices for high-risk apps, and apply code obfuscation and tamper detection where the risk justifies it.</w:t>
      </w:r>
    </w:p>
    <w:p>
      <w:pPr>
        <w:numPr>
          <w:ilvl w:val="0"/>
          <w:numId w:val="1012"/>
        </w:numPr>
        <w:pStyle w:val="Compact"/>
      </w:pPr>
      <w:r>
        <w:t xml:space="preserve">Protect inter-app communication (deep links, intents, URL schemes) and clipboard exposure; exclude sensitive screens from screenshots and backups.</w:t>
      </w:r>
    </w:p>
    <w:p>
      <w:pPr>
        <w:numPr>
          <w:ilvl w:val="0"/>
          <w:numId w:val="1012"/>
        </w:numPr>
        <w:pStyle w:val="Compact"/>
      </w:pPr>
      <w:r>
        <w:t xml:space="preserve">Test against the OWASP MASVS and the Mobile Application Security Testing Guide.</w:t>
      </w:r>
    </w:p>
    <w:bookmarkEnd w:id="44"/>
    <w:bookmarkEnd w:id="45"/>
    <w:bookmarkStart w:id="46" w:name="X22767d69569adf8b72ae57547b528212ea1e8cb"/>
    <w:p>
      <w:pPr>
        <w:pStyle w:val="Heading2"/>
      </w:pPr>
      <w:r>
        <w:t xml:space="preserve">11. Dependency and Software Supply Chain Security</w:t>
      </w:r>
    </w:p>
    <w:p>
      <w:pPr>
        <w:pStyle w:val="FirstParagraph"/>
      </w:pPr>
      <w:r>
        <w:t xml:space="preserve">Every third-party component is code you ship, so it MUST be vetted, tracked and kept patched.</w:t>
      </w:r>
    </w:p>
    <w:p>
      <w:pPr>
        <w:numPr>
          <w:ilvl w:val="0"/>
          <w:numId w:val="1013"/>
        </w:numPr>
        <w:pStyle w:val="Compact"/>
      </w:pPr>
      <w:r>
        <w:rPr>
          <w:bCs/>
          <w:b/>
        </w:rPr>
        <w:t xml:space="preserve">Vet before adding.</w:t>
      </w:r>
      <w:r>
        <w:t xml:space="preserve"> </w:t>
      </w:r>
      <w:r>
        <w:t xml:space="preserve">Check maintenance activity, release cadence, known vulnerabilities, licence, popularity and ownership. Prefer fewer, well-maintained dependencies; remove unused ones.</w:t>
      </w:r>
    </w:p>
    <w:p>
      <w:pPr>
        <w:numPr>
          <w:ilvl w:val="0"/>
          <w:numId w:val="1013"/>
        </w:numPr>
        <w:pStyle w:val="Compact"/>
      </w:pPr>
      <w:r>
        <w:rPr>
          <w:bCs/>
          <w:b/>
        </w:rPr>
        <w:t xml:space="preserve">Use approved sources.</w:t>
      </w:r>
      <w:r>
        <w:t xml:space="preserve"> </w:t>
      </w:r>
      <w:r>
        <w:t xml:space="preserve">Pull packages through an internal proxy or artifact repository that scans and caches them. Do not install directly from unvetted URLs or personal forks.</w:t>
      </w:r>
    </w:p>
    <w:p>
      <w:pPr>
        <w:numPr>
          <w:ilvl w:val="0"/>
          <w:numId w:val="1013"/>
        </w:numPr>
        <w:pStyle w:val="Compact"/>
      </w:pPr>
      <w:r>
        <w:rPr>
          <w:bCs/>
          <w:b/>
        </w:rPr>
        <w:t xml:space="preserve">Defend against dependency attacks.</w:t>
      </w:r>
      <w:r>
        <w:t xml:space="preserve"> </w:t>
      </w:r>
      <w:r>
        <w:t xml:space="preserve">Guard against typosquatting, dependency confusion (use scoped or namespaced internal packages and registry rules) and malicious install scripts. Review new transitive dependencies and unexpected version jumps.</w:t>
      </w:r>
    </w:p>
    <w:p>
      <w:pPr>
        <w:numPr>
          <w:ilvl w:val="0"/>
          <w:numId w:val="1013"/>
        </w:numPr>
        <w:pStyle w:val="Compact"/>
      </w:pPr>
      <w:r>
        <w:rPr>
          <w:bCs/>
          <w:b/>
        </w:rPr>
        <w:t xml:space="preserve">Pin and lock.</w:t>
      </w:r>
      <w:r>
        <w:t xml:space="preserve"> </w:t>
      </w:r>
      <w:r>
        <w:t xml:space="preserve">Commit lockfiles, pin versions and verify integrity hashes. Update deliberately through reviewed pull requests, using automated tools such as Dependabot or Renovate.</w:t>
      </w:r>
    </w:p>
    <w:p>
      <w:pPr>
        <w:numPr>
          <w:ilvl w:val="0"/>
          <w:numId w:val="1013"/>
        </w:numPr>
        <w:pStyle w:val="Compact"/>
      </w:pPr>
      <w:r>
        <w:rPr>
          <w:bCs/>
          <w:b/>
        </w:rPr>
        <w:t xml:space="preserve">Scan continuously.</w:t>
      </w:r>
      <w:r>
        <w:t xml:space="preserve"> </w:t>
      </w:r>
      <w:r>
        <w:t xml:space="preserve">Run software composition analysis (SCA) in every build and on a schedule for deployed software, since new vulnerabilities appear after release.</w:t>
      </w:r>
    </w:p>
    <w:p>
      <w:pPr>
        <w:numPr>
          <w:ilvl w:val="0"/>
          <w:numId w:val="1013"/>
        </w:numPr>
        <w:pStyle w:val="Compact"/>
      </w:pPr>
      <w:r>
        <w:rPr>
          <w:bCs/>
          <w:b/>
        </w:rPr>
        <w:t xml:space="preserve">Produce an SBOM.</w:t>
      </w:r>
      <w:r>
        <w:t xml:space="preserve"> </w:t>
      </w:r>
      <w:r>
        <w:t xml:space="preserve">Generate a software bill of materials (SPDX or CycloneDX) for every release and store it with the artifact, so affected systems can be found quickly when a new vulnerability is disclosed.</w:t>
      </w:r>
    </w:p>
    <w:p>
      <w:pPr>
        <w:numPr>
          <w:ilvl w:val="0"/>
          <w:numId w:val="1013"/>
        </w:numPr>
        <w:pStyle w:val="Compact"/>
      </w:pPr>
      <w:r>
        <w:rPr>
          <w:bCs/>
          <w:b/>
        </w:rPr>
        <w:t xml:space="preserve">Check exploitability.</w:t>
      </w:r>
      <w:r>
        <w:t xml:space="preserve"> </w:t>
      </w:r>
      <w:r>
        <w:t xml:space="preserve">Prioritize using severity, EPSS, CISA KEV listing and whether the vulnerable code is reachable, not CVSS alone. Record when a finding is not exploitable (for example with a VEX statement).</w:t>
      </w:r>
    </w:p>
    <w:p>
      <w:pPr>
        <w:numPr>
          <w:ilvl w:val="0"/>
          <w:numId w:val="1013"/>
        </w:numPr>
        <w:pStyle w:val="Compact"/>
      </w:pPr>
      <w:r>
        <w:rPr>
          <w:bCs/>
          <w:b/>
        </w:rPr>
        <w:t xml:space="preserve">Verify provenance.</w:t>
      </w:r>
      <w:r>
        <w:t xml:space="preserve"> </w:t>
      </w:r>
      <w:r>
        <w:t xml:space="preserve">Sign build artifacts and containers (for example Sigstore/cosign), aim for SLSA Build Level 2 or higher for Tier 1 systems, and verify signatures at deploy time.</w:t>
      </w:r>
    </w:p>
    <w:p>
      <w:pPr>
        <w:numPr>
          <w:ilvl w:val="0"/>
          <w:numId w:val="1013"/>
        </w:numPr>
        <w:pStyle w:val="Compact"/>
      </w:pPr>
      <w:r>
        <w:rPr>
          <w:bCs/>
          <w:b/>
        </w:rPr>
        <w:t xml:space="preserve">Manage licences.</w:t>
      </w:r>
      <w:r>
        <w:t xml:space="preserve"> </w:t>
      </w:r>
      <w:r>
        <w:t xml:space="preserve">Check licences against an approved list to avoid legal and copyleft obligations.</w:t>
      </w:r>
    </w:p>
    <w:p>
      <w:pPr>
        <w:numPr>
          <w:ilvl w:val="0"/>
          <w:numId w:val="1013"/>
        </w:numPr>
        <w:pStyle w:val="Compact"/>
      </w:pPr>
      <w:r>
        <w:rPr>
          <w:bCs/>
          <w:b/>
        </w:rPr>
        <w:t xml:space="preserve">Handle models and data as dependencies.</w:t>
      </w:r>
      <w:r>
        <w:t xml:space="preserve"> </w:t>
      </w:r>
      <w:r>
        <w:t xml:space="preserve">Pre-trained models, datasets and plugins MUST come from trusted sources, be scanned, and prefer safe formats (for example safetensors) over pickle-based files. A recent example is deserialization flaws in model-loading code, which show why untrusted model files must never be loaded without review.</w:t>
      </w:r>
    </w:p>
    <w:p>
      <w:pPr>
        <w:numPr>
          <w:ilvl w:val="0"/>
          <w:numId w:val="1013"/>
        </w:numPr>
        <w:pStyle w:val="Compact"/>
      </w:pPr>
      <w:r>
        <w:rPr>
          <w:bCs/>
          <w:b/>
        </w:rPr>
        <w:t xml:space="preserve">Plan for end of life.</w:t>
      </w:r>
      <w:r>
        <w:t xml:space="preserve"> </w:t>
      </w:r>
      <w:r>
        <w:t xml:space="preserve">Track component end-of-support dates and replace unsupported versions before they lose patches.</w:t>
      </w:r>
    </w:p>
    <w:bookmarkEnd w:id="46"/>
    <w:bookmarkStart w:id="49" w:name="source-control-and-code-review"/>
    <w:p>
      <w:pPr>
        <w:pStyle w:val="Heading2"/>
      </w:pPr>
      <w:r>
        <w:t xml:space="preserve">12. Source Control and Code Review</w:t>
      </w:r>
    </w:p>
    <w:p>
      <w:pPr>
        <w:pStyle w:val="FirstParagraph"/>
      </w:pPr>
      <w:r>
        <w:t xml:space="preserve">No code reaches a protected branch without a second person’s review and passing automated checks.</w:t>
      </w:r>
    </w:p>
    <w:bookmarkStart w:id="47" w:name="source-control"/>
    <w:p>
      <w:pPr>
        <w:pStyle w:val="Heading3"/>
      </w:pPr>
      <w:r>
        <w:t xml:space="preserve">Source control</w:t>
      </w:r>
    </w:p>
    <w:p>
      <w:pPr>
        <w:numPr>
          <w:ilvl w:val="0"/>
          <w:numId w:val="1014"/>
        </w:numPr>
        <w:pStyle w:val="Compact"/>
      </w:pPr>
      <w:r>
        <w:t xml:space="preserve">Host all code in the approved central repository platform with SSO and MFA enforced.</w:t>
      </w:r>
    </w:p>
    <w:p>
      <w:pPr>
        <w:numPr>
          <w:ilvl w:val="0"/>
          <w:numId w:val="1014"/>
        </w:numPr>
        <w:pStyle w:val="Compact"/>
      </w:pPr>
      <w:r>
        <w:t xml:space="preserve">Protect main and release branches: no direct pushes, no force pushes, required reviews, required status checks, and linear or signed history.</w:t>
      </w:r>
    </w:p>
    <w:p>
      <w:pPr>
        <w:numPr>
          <w:ilvl w:val="0"/>
          <w:numId w:val="1014"/>
        </w:numPr>
        <w:pStyle w:val="Compact"/>
      </w:pPr>
      <w:r>
        <w:t xml:space="preserve">Require signed commits (GPG, SSH or Sigstore) for Tier 1 repositories.</w:t>
      </w:r>
    </w:p>
    <w:p>
      <w:pPr>
        <w:numPr>
          <w:ilvl w:val="0"/>
          <w:numId w:val="1014"/>
        </w:numPr>
        <w:pStyle w:val="Compact"/>
      </w:pPr>
      <w:r>
        <w:t xml:space="preserve">Grant least-privilege repository access, review it quarterly, and remove access on role change or departure.</w:t>
      </w:r>
    </w:p>
    <w:p>
      <w:pPr>
        <w:numPr>
          <w:ilvl w:val="0"/>
          <w:numId w:val="1014"/>
        </w:numPr>
        <w:pStyle w:val="Compact"/>
      </w:pPr>
      <w:r>
        <w:t xml:space="preserve">Enable secret scanning with push protection and a pre-commit hook; block commits containing credentials, keys or tokens.</w:t>
      </w:r>
    </w:p>
    <w:p>
      <w:pPr>
        <w:numPr>
          <w:ilvl w:val="0"/>
          <w:numId w:val="1014"/>
        </w:numPr>
        <w:pStyle w:val="Compact"/>
      </w:pPr>
      <w:r>
        <w:t xml:space="preserve">Keep sensitive configuration, backups and test data out of repositories. Use a</w:t>
      </w:r>
      <w:r>
        <w:t xml:space="preserve"> </w:t>
      </w:r>
      <w:r>
        <w:rPr>
          <w:rStyle w:val="VerbatimChar"/>
        </w:rPr>
        <w:t xml:space="preserve">.gitignore</w:t>
      </w:r>
      <w:r>
        <w:t xml:space="preserve"> </w:t>
      </w:r>
      <w:r>
        <w:t xml:space="preserve">and review it.</w:t>
      </w:r>
    </w:p>
    <w:p>
      <w:pPr>
        <w:numPr>
          <w:ilvl w:val="0"/>
          <w:numId w:val="1014"/>
        </w:numPr>
        <w:pStyle w:val="Compact"/>
      </w:pPr>
      <w:r>
        <w:t xml:space="preserve">Use CODEOWNERS so security-sensitive paths (authentication, crypto, pipeline definitions) require approval from designated reviewers.</w:t>
      </w:r>
    </w:p>
    <w:bookmarkEnd w:id="47"/>
    <w:bookmarkStart w:id="48" w:name="code-review"/>
    <w:p>
      <w:pPr>
        <w:pStyle w:val="Heading3"/>
      </w:pPr>
      <w:r>
        <w:t xml:space="preserve">Code review</w:t>
      </w:r>
    </w:p>
    <w:p>
      <w:pPr>
        <w:numPr>
          <w:ilvl w:val="0"/>
          <w:numId w:val="1015"/>
        </w:numPr>
        <w:pStyle w:val="Compact"/>
      </w:pPr>
      <w:r>
        <w:t xml:space="preserve">Every change MUST be reviewed by at least one qualified person other than the author; Tier 1 changes to security-sensitive code need two reviewers, one from the security champion group.</w:t>
      </w:r>
    </w:p>
    <w:p>
      <w:pPr>
        <w:numPr>
          <w:ilvl w:val="0"/>
          <w:numId w:val="1015"/>
        </w:numPr>
        <w:pStyle w:val="Compact"/>
      </w:pPr>
      <w:r>
        <w:t xml:space="preserve">Keep changes small enough to review properly; large changes SHOULD be split.</w:t>
      </w:r>
    </w:p>
    <w:p>
      <w:pPr>
        <w:numPr>
          <w:ilvl w:val="0"/>
          <w:numId w:val="1015"/>
        </w:numPr>
        <w:pStyle w:val="Compact"/>
      </w:pPr>
      <w:r>
        <w:t xml:space="preserve">Authors MUST NOT approve their own changes or bypass required checks.</w:t>
      </w:r>
    </w:p>
    <w:p>
      <w:pPr>
        <w:pStyle w:val="FirstParagraph"/>
      </w:pPr>
      <w:r>
        <w:rPr>
          <w:bCs/>
          <w:b/>
        </w:rPr>
        <w:t xml:space="preserve">Security review checklist for reviewers</w:t>
      </w:r>
    </w:p>
    <w:p>
      <w:pPr>
        <w:numPr>
          <w:ilvl w:val="0"/>
          <w:numId w:val="1016"/>
        </w:numPr>
        <w:pStyle w:val="Compact"/>
      </w:pPr>
      <w:r>
        <w:t xml:space="preserve">Is all input validated and all output encoded for its context?</w:t>
      </w:r>
    </w:p>
    <w:p>
      <w:pPr>
        <w:numPr>
          <w:ilvl w:val="0"/>
          <w:numId w:val="1016"/>
        </w:numPr>
        <w:pStyle w:val="Compact"/>
      </w:pPr>
      <w:r>
        <w:t xml:space="preserve">Are authentication and authorization checked on the server for every path, including object-level access?</w:t>
      </w:r>
    </w:p>
    <w:p>
      <w:pPr>
        <w:numPr>
          <w:ilvl w:val="0"/>
          <w:numId w:val="1016"/>
        </w:numPr>
        <w:pStyle w:val="Compact"/>
      </w:pPr>
      <w:r>
        <w:t xml:space="preserve">Are queries parameterized and commands free of user-controlled strings?</w:t>
      </w:r>
    </w:p>
    <w:p>
      <w:pPr>
        <w:numPr>
          <w:ilvl w:val="0"/>
          <w:numId w:val="1016"/>
        </w:numPr>
        <w:pStyle w:val="Compact"/>
      </w:pPr>
      <w:r>
        <w:t xml:space="preserve">Are secrets, tokens or personal data exposed in code, logs or error messages?</w:t>
      </w:r>
    </w:p>
    <w:p>
      <w:pPr>
        <w:numPr>
          <w:ilvl w:val="0"/>
          <w:numId w:val="1016"/>
        </w:numPr>
        <w:pStyle w:val="Compact"/>
      </w:pPr>
      <w:r>
        <w:t xml:space="preserve">Is cryptography done with approved libraries and algorithms?</w:t>
      </w:r>
    </w:p>
    <w:p>
      <w:pPr>
        <w:numPr>
          <w:ilvl w:val="0"/>
          <w:numId w:val="1016"/>
        </w:numPr>
        <w:pStyle w:val="Compact"/>
      </w:pPr>
      <w:r>
        <w:t xml:space="preserve">Are new dependencies justified, vetted and pinned?</w:t>
      </w:r>
    </w:p>
    <w:p>
      <w:pPr>
        <w:numPr>
          <w:ilvl w:val="0"/>
          <w:numId w:val="1016"/>
        </w:numPr>
        <w:pStyle w:val="Compact"/>
      </w:pPr>
      <w:r>
        <w:t xml:space="preserve">Are errors handled so they fail closed without leaking detail?</w:t>
      </w:r>
    </w:p>
    <w:p>
      <w:pPr>
        <w:numPr>
          <w:ilvl w:val="0"/>
          <w:numId w:val="1016"/>
        </w:numPr>
        <w:pStyle w:val="Compact"/>
      </w:pPr>
      <w:r>
        <w:t xml:space="preserve">Do tests cover the security-relevant behavior, including negative cases?</w:t>
      </w:r>
    </w:p>
    <w:p>
      <w:pPr>
        <w:numPr>
          <w:ilvl w:val="0"/>
          <w:numId w:val="1016"/>
        </w:numPr>
        <w:pStyle w:val="Compact"/>
      </w:pPr>
      <w:r>
        <w:t xml:space="preserve">Are changes to pipelines, infrastructure code or permissions reviewed for privilege creep?</w:t>
      </w:r>
    </w:p>
    <w:bookmarkEnd w:id="48"/>
    <w:bookmarkEnd w:id="49"/>
    <w:bookmarkStart w:id="51" w:name="security-testing"/>
    <w:p>
      <w:pPr>
        <w:pStyle w:val="Heading2"/>
      </w:pPr>
      <w:r>
        <w:t xml:space="preserve">13. Security Testing</w:t>
      </w:r>
    </w:p>
    <w:p>
      <w:pPr>
        <w:pStyle w:val="FirstParagraph"/>
      </w:pPr>
      <w:r>
        <w:t xml:space="preserve">Testing MUST combine automated scanning in every build with deeper manual testing scaled to risk tier.</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1920"/>
        <w:gridCol w:w="2560"/>
        <w:gridCol w:w="2560"/>
        <w:gridCol w:w="2560"/>
      </w:tblGrid>
      <w:tr>
        <w:trPr>
          <w:tblHeader w:val="true"/>
          <w:cantSplit/>
          <w:tblHeader/>
        </w:trPr>
        <w:tc>
          <w:tcPr>
            <w:tcW w:w="1920" w:type="dxa"/>
            <w:shd w:val="clear" w:color="auto" w:fill="1F3864"/>
          </w:tcPr>
          <w:p>
            <w:pPr>
              <w:pStyle w:val="Compact"/>
              <w:spacing w:after="0"/>
              <w:jc w:val="left"/>
            </w:pPr>
            <w:r>
              <w:rPr>
                <w:rFonts w:ascii="Calibri" w:hAnsi="Calibri"/>
                <w:b/>
                <w:color w:val="FFFFFF"/>
                <w:sz w:val="19"/>
              </w:rPr>
              <w:t xml:space="preserve">Test type</w:t>
            </w:r>
          </w:p>
        </w:tc>
        <w:tc>
          <w:tcPr>
            <w:tcW w:w="2560" w:type="dxa"/>
            <w:shd w:val="clear" w:color="auto" w:fill="1F3864"/>
          </w:tcPr>
          <w:p>
            <w:pPr>
              <w:pStyle w:val="Compact"/>
              <w:spacing w:after="0"/>
              <w:jc w:val="left"/>
            </w:pPr>
            <w:r>
              <w:rPr>
                <w:rFonts w:ascii="Calibri" w:hAnsi="Calibri"/>
                <w:b/>
                <w:color w:val="FFFFFF"/>
                <w:sz w:val="19"/>
              </w:rPr>
              <w:t xml:space="preserve">What it finds</w:t>
            </w:r>
          </w:p>
        </w:tc>
        <w:tc>
          <w:tcPr>
            <w:tcW w:w="2560" w:type="dxa"/>
            <w:shd w:val="clear" w:color="auto" w:fill="1F3864"/>
          </w:tcPr>
          <w:p>
            <w:pPr>
              <w:pStyle w:val="Compact"/>
              <w:spacing w:after="0"/>
              <w:jc w:val="left"/>
            </w:pPr>
            <w:r>
              <w:rPr>
                <w:rFonts w:ascii="Calibri" w:hAnsi="Calibri"/>
                <w:b/>
                <w:color w:val="FFFFFF"/>
                <w:sz w:val="19"/>
              </w:rPr>
              <w:t xml:space="preserve">When it runs</w:t>
            </w:r>
          </w:p>
        </w:tc>
        <w:tc>
          <w:tcPr>
            <w:tcW w:w="2560" w:type="dxa"/>
            <w:shd w:val="clear" w:color="auto" w:fill="1F3864"/>
          </w:tcPr>
          <w:p>
            <w:pPr>
              <w:pStyle w:val="Compact"/>
              <w:spacing w:after="0"/>
              <w:jc w:val="left"/>
            </w:pPr>
            <w:r>
              <w:rPr>
                <w:rFonts w:ascii="Calibri" w:hAnsi="Calibri"/>
                <w:b/>
                <w:color w:val="FFFFFF"/>
                <w:sz w:val="19"/>
              </w:rPr>
              <w:t xml:space="preserve">Gate</w:t>
            </w:r>
          </w:p>
        </w:tc>
      </w:tr>
      <w:tr>
        <w:trPr>
          <w:cantSplit/>
        </w:trPr>
        <w:tc>
          <w:tcPr>
            <w:tcW w:w="1920" w:type="dxa"/>
            <w:shd w:val="clear" w:color="auto" w:fill="F2F2F2"/>
          </w:tcPr>
          <w:p>
            <w:pPr>
              <w:pStyle w:val="Compact"/>
              <w:spacing w:after="0"/>
              <w:jc w:val="left"/>
            </w:pPr>
            <w:r>
              <w:rPr>
                <w:rFonts w:ascii="Calibri" w:hAnsi="Calibri"/>
                <w:b/>
                <w:sz w:val="19"/>
              </w:rPr>
              <w:t xml:space="preserve">Secret scanning</w:t>
            </w:r>
          </w:p>
        </w:tc>
        <w:tc>
          <w:tcPr>
            <w:tcW w:w="2560" w:type="dxa"/>
          </w:tcPr>
          <w:p>
            <w:pPr>
              <w:pStyle w:val="Compact"/>
              <w:spacing w:after="0"/>
              <w:jc w:val="left"/>
            </w:pPr>
            <w:r>
              <w:rPr>
                <w:rFonts w:ascii="Calibri" w:hAnsi="Calibri"/>
                <w:sz w:val="19"/>
              </w:rPr>
              <w:t xml:space="preserve">Committed credentials, keys, tokens</w:t>
            </w:r>
          </w:p>
        </w:tc>
        <w:tc>
          <w:tcPr>
            <w:tcW w:w="2560" w:type="dxa"/>
          </w:tcPr>
          <w:p>
            <w:pPr>
              <w:pStyle w:val="Compact"/>
              <w:spacing w:after="0"/>
              <w:jc w:val="left"/>
            </w:pPr>
            <w:r>
              <w:rPr>
                <w:rFonts w:ascii="Calibri" w:hAnsi="Calibri"/>
                <w:sz w:val="19"/>
              </w:rPr>
              <w:t xml:space="preserve">Pre-commit, on push, scheduled over history</w:t>
            </w:r>
          </w:p>
        </w:tc>
        <w:tc>
          <w:tcPr>
            <w:tcW w:w="2560" w:type="dxa"/>
          </w:tcPr>
          <w:p>
            <w:pPr>
              <w:pStyle w:val="Compact"/>
              <w:spacing w:after="0"/>
              <w:jc w:val="left"/>
            </w:pPr>
            <w:r>
              <w:rPr>
                <w:rFonts w:ascii="Calibri" w:hAnsi="Calibri"/>
                <w:sz w:val="19"/>
              </w:rPr>
              <w:t xml:space="preserve">Block on any verified secret</w:t>
            </w:r>
          </w:p>
        </w:tc>
      </w:tr>
      <w:tr>
        <w:trPr>
          <w:cantSplit/>
        </w:trPr>
        <w:tc>
          <w:tcPr>
            <w:tcW w:w="1920" w:type="dxa"/>
            <w:shd w:val="clear" w:color="auto" w:fill="F2F2F2"/>
          </w:tcPr>
          <w:p>
            <w:pPr>
              <w:pStyle w:val="Compact"/>
              <w:spacing w:after="0"/>
              <w:jc w:val="left"/>
            </w:pPr>
            <w:r>
              <w:rPr>
                <w:rFonts w:ascii="Calibri" w:hAnsi="Calibri"/>
                <w:b/>
                <w:sz w:val="19"/>
              </w:rPr>
              <w:t xml:space="preserve">SAST (static analysis)</w:t>
            </w:r>
          </w:p>
        </w:tc>
        <w:tc>
          <w:tcPr>
            <w:tcW w:w="2560" w:type="dxa"/>
          </w:tcPr>
          <w:p>
            <w:pPr>
              <w:pStyle w:val="Compact"/>
              <w:spacing w:after="0"/>
              <w:jc w:val="left"/>
            </w:pPr>
            <w:r>
              <w:rPr>
                <w:rFonts w:ascii="Calibri" w:hAnsi="Calibri"/>
                <w:sz w:val="19"/>
              </w:rPr>
              <w:t xml:space="preserve">Insecure code patterns, injection, weak crypto</w:t>
            </w:r>
          </w:p>
        </w:tc>
        <w:tc>
          <w:tcPr>
            <w:tcW w:w="2560" w:type="dxa"/>
          </w:tcPr>
          <w:p>
            <w:pPr>
              <w:pStyle w:val="Compact"/>
              <w:spacing w:after="0"/>
              <w:jc w:val="left"/>
            </w:pPr>
            <w:r>
              <w:rPr>
                <w:rFonts w:ascii="Calibri" w:hAnsi="Calibri"/>
                <w:sz w:val="19"/>
              </w:rPr>
              <w:t xml:space="preserve">Every pull request and nightly</w:t>
            </w:r>
          </w:p>
        </w:tc>
        <w:tc>
          <w:tcPr>
            <w:tcW w:w="2560" w:type="dxa"/>
          </w:tcPr>
          <w:p>
            <w:pPr>
              <w:pStyle w:val="Compact"/>
              <w:spacing w:after="0"/>
              <w:jc w:val="left"/>
            </w:pPr>
            <w:r>
              <w:rPr>
                <w:rFonts w:ascii="Calibri" w:hAnsi="Calibri"/>
                <w:sz w:val="19"/>
              </w:rPr>
              <w:t xml:space="preserve">Block on new Critical or High findings</w:t>
            </w:r>
          </w:p>
        </w:tc>
      </w:tr>
      <w:tr>
        <w:trPr>
          <w:cantSplit/>
        </w:trPr>
        <w:tc>
          <w:tcPr>
            <w:tcW w:w="1920" w:type="dxa"/>
            <w:shd w:val="clear" w:color="auto" w:fill="F2F2F2"/>
          </w:tcPr>
          <w:p>
            <w:pPr>
              <w:pStyle w:val="Compact"/>
              <w:spacing w:after="0"/>
              <w:jc w:val="left"/>
            </w:pPr>
            <w:r>
              <w:rPr>
                <w:rFonts w:ascii="Calibri" w:hAnsi="Calibri"/>
                <w:b/>
                <w:sz w:val="19"/>
              </w:rPr>
              <w:t xml:space="preserve">SCA (dependency scanning)</w:t>
            </w:r>
          </w:p>
        </w:tc>
        <w:tc>
          <w:tcPr>
            <w:tcW w:w="2560" w:type="dxa"/>
          </w:tcPr>
          <w:p>
            <w:pPr>
              <w:pStyle w:val="Compact"/>
              <w:spacing w:after="0"/>
              <w:jc w:val="left"/>
            </w:pPr>
            <w:r>
              <w:rPr>
                <w:rFonts w:ascii="Calibri" w:hAnsi="Calibri"/>
                <w:sz w:val="19"/>
              </w:rPr>
              <w:t xml:space="preserve">Known vulnerable components, licence issues</w:t>
            </w:r>
          </w:p>
        </w:tc>
        <w:tc>
          <w:tcPr>
            <w:tcW w:w="2560" w:type="dxa"/>
          </w:tcPr>
          <w:p>
            <w:pPr>
              <w:pStyle w:val="Compact"/>
              <w:spacing w:after="0"/>
              <w:jc w:val="left"/>
            </w:pPr>
            <w:r>
              <w:rPr>
                <w:rFonts w:ascii="Calibri" w:hAnsi="Calibri"/>
                <w:sz w:val="19"/>
              </w:rPr>
              <w:t xml:space="preserve">Every build and daily on deployed releases</w:t>
            </w:r>
          </w:p>
        </w:tc>
        <w:tc>
          <w:tcPr>
            <w:tcW w:w="2560" w:type="dxa"/>
          </w:tcPr>
          <w:p>
            <w:pPr>
              <w:pStyle w:val="Compact"/>
              <w:spacing w:after="0"/>
              <w:jc w:val="left"/>
            </w:pPr>
            <w:r>
              <w:rPr>
                <w:rFonts w:ascii="Calibri" w:hAnsi="Calibri"/>
                <w:sz w:val="19"/>
              </w:rPr>
              <w:t xml:space="preserve">Block on Critical, or High with a known exploit</w:t>
            </w:r>
          </w:p>
        </w:tc>
      </w:tr>
      <w:tr>
        <w:trPr>
          <w:cantSplit/>
        </w:trPr>
        <w:tc>
          <w:tcPr>
            <w:tcW w:w="1920" w:type="dxa"/>
            <w:shd w:val="clear" w:color="auto" w:fill="F2F2F2"/>
          </w:tcPr>
          <w:p>
            <w:pPr>
              <w:pStyle w:val="Compact"/>
              <w:spacing w:after="0"/>
              <w:jc w:val="left"/>
            </w:pPr>
            <w:r>
              <w:rPr>
                <w:rFonts w:ascii="Calibri" w:hAnsi="Calibri"/>
                <w:b/>
                <w:sz w:val="19"/>
              </w:rPr>
              <w:t xml:space="preserve">IaC and container scanning</w:t>
            </w:r>
          </w:p>
        </w:tc>
        <w:tc>
          <w:tcPr>
            <w:tcW w:w="2560" w:type="dxa"/>
          </w:tcPr>
          <w:p>
            <w:pPr>
              <w:pStyle w:val="Compact"/>
              <w:spacing w:after="0"/>
              <w:jc w:val="left"/>
            </w:pPr>
            <w:r>
              <w:rPr>
                <w:rFonts w:ascii="Calibri" w:hAnsi="Calibri"/>
                <w:sz w:val="19"/>
              </w:rPr>
              <w:t xml:space="preserve">Misconfigurations, vulnerable base images</w:t>
            </w:r>
          </w:p>
        </w:tc>
        <w:tc>
          <w:tcPr>
            <w:tcW w:w="2560" w:type="dxa"/>
          </w:tcPr>
          <w:p>
            <w:pPr>
              <w:pStyle w:val="Compact"/>
              <w:spacing w:after="0"/>
              <w:jc w:val="left"/>
            </w:pPr>
            <w:r>
              <w:rPr>
                <w:rFonts w:ascii="Calibri" w:hAnsi="Calibri"/>
                <w:sz w:val="19"/>
              </w:rPr>
              <w:t xml:space="preserve">Every pipeline run</w:t>
            </w:r>
          </w:p>
        </w:tc>
        <w:tc>
          <w:tcPr>
            <w:tcW w:w="2560" w:type="dxa"/>
          </w:tcPr>
          <w:p>
            <w:pPr>
              <w:pStyle w:val="Compact"/>
              <w:spacing w:after="0"/>
              <w:jc w:val="left"/>
            </w:pPr>
            <w:r>
              <w:rPr>
                <w:rFonts w:ascii="Calibri" w:hAnsi="Calibri"/>
                <w:sz w:val="19"/>
              </w:rPr>
              <w:t xml:space="preserve">Block on Critical or High</w:t>
            </w:r>
          </w:p>
        </w:tc>
      </w:tr>
      <w:tr>
        <w:trPr>
          <w:cantSplit/>
        </w:trPr>
        <w:tc>
          <w:tcPr>
            <w:tcW w:w="1920" w:type="dxa"/>
            <w:shd w:val="clear" w:color="auto" w:fill="F2F2F2"/>
          </w:tcPr>
          <w:p>
            <w:pPr>
              <w:pStyle w:val="Compact"/>
              <w:spacing w:after="0"/>
              <w:jc w:val="left"/>
            </w:pPr>
            <w:r>
              <w:rPr>
                <w:rFonts w:ascii="Calibri" w:hAnsi="Calibri"/>
                <w:b/>
                <w:sz w:val="19"/>
              </w:rPr>
              <w:t xml:space="preserve">DAST (dynamic testing)</w:t>
            </w:r>
          </w:p>
        </w:tc>
        <w:tc>
          <w:tcPr>
            <w:tcW w:w="2560" w:type="dxa"/>
          </w:tcPr>
          <w:p>
            <w:pPr>
              <w:pStyle w:val="Compact"/>
              <w:spacing w:after="0"/>
              <w:jc w:val="left"/>
            </w:pPr>
            <w:r>
              <w:rPr>
                <w:rFonts w:ascii="Calibri" w:hAnsi="Calibri"/>
                <w:sz w:val="19"/>
              </w:rPr>
              <w:t xml:space="preserve">Runtime flaws: XSS, injection, misconfiguration, auth issues</w:t>
            </w:r>
          </w:p>
        </w:tc>
        <w:tc>
          <w:tcPr>
            <w:tcW w:w="2560" w:type="dxa"/>
          </w:tcPr>
          <w:p>
            <w:pPr>
              <w:pStyle w:val="Compact"/>
              <w:spacing w:after="0"/>
              <w:jc w:val="left"/>
            </w:pPr>
            <w:r>
              <w:rPr>
                <w:rFonts w:ascii="Calibri" w:hAnsi="Calibri"/>
                <w:sz w:val="19"/>
              </w:rPr>
              <w:t xml:space="preserve">Against staging, on each release candidate and weekly</w:t>
            </w:r>
          </w:p>
        </w:tc>
        <w:tc>
          <w:tcPr>
            <w:tcW w:w="2560" w:type="dxa"/>
          </w:tcPr>
          <w:p>
            <w:pPr>
              <w:pStyle w:val="Compact"/>
              <w:spacing w:after="0"/>
              <w:jc w:val="left"/>
            </w:pPr>
            <w:r>
              <w:rPr>
                <w:rFonts w:ascii="Calibri" w:hAnsi="Calibri"/>
                <w:sz w:val="19"/>
              </w:rPr>
              <w:t xml:space="preserve">Block release on Critical or High</w:t>
            </w:r>
          </w:p>
        </w:tc>
      </w:tr>
      <w:tr>
        <w:trPr>
          <w:cantSplit/>
        </w:trPr>
        <w:tc>
          <w:tcPr>
            <w:tcW w:w="1920" w:type="dxa"/>
            <w:shd w:val="clear" w:color="auto" w:fill="F2F2F2"/>
          </w:tcPr>
          <w:p>
            <w:pPr>
              <w:pStyle w:val="Compact"/>
              <w:spacing w:after="0"/>
              <w:jc w:val="left"/>
            </w:pPr>
            <w:r>
              <w:rPr>
                <w:rFonts w:ascii="Calibri" w:hAnsi="Calibri"/>
                <w:b/>
                <w:sz w:val="19"/>
              </w:rPr>
              <w:t xml:space="preserve">IAST / RASP</w:t>
            </w:r>
          </w:p>
        </w:tc>
        <w:tc>
          <w:tcPr>
            <w:tcW w:w="2560" w:type="dxa"/>
          </w:tcPr>
          <w:p>
            <w:pPr>
              <w:pStyle w:val="Compact"/>
              <w:spacing w:after="0"/>
              <w:jc w:val="left"/>
            </w:pPr>
            <w:r>
              <w:rPr>
                <w:rFonts w:ascii="Calibri" w:hAnsi="Calibri"/>
                <w:sz w:val="19"/>
              </w:rPr>
              <w:t xml:space="preserve">Flaws observed during functional tests; runtime protection</w:t>
            </w:r>
          </w:p>
        </w:tc>
        <w:tc>
          <w:tcPr>
            <w:tcW w:w="2560" w:type="dxa"/>
          </w:tcPr>
          <w:p>
            <w:pPr>
              <w:pStyle w:val="Compact"/>
              <w:spacing w:after="0"/>
              <w:jc w:val="left"/>
            </w:pPr>
            <w:r>
              <w:rPr>
                <w:rFonts w:ascii="Calibri" w:hAnsi="Calibri"/>
                <w:sz w:val="19"/>
              </w:rPr>
              <w:t xml:space="preserve">In test environments (optional in production)</w:t>
            </w:r>
          </w:p>
        </w:tc>
        <w:tc>
          <w:tcPr>
            <w:tcW w:w="2560" w:type="dxa"/>
          </w:tcPr>
          <w:p>
            <w:pPr>
              <w:pStyle w:val="Compact"/>
              <w:spacing w:after="0"/>
              <w:jc w:val="left"/>
            </w:pPr>
            <w:r>
              <w:rPr>
                <w:rFonts w:ascii="Calibri" w:hAnsi="Calibri"/>
                <w:sz w:val="19"/>
              </w:rPr>
              <w:t xml:space="preserve">Report; block per tier</w:t>
            </w:r>
          </w:p>
        </w:tc>
      </w:tr>
      <w:tr>
        <w:trPr>
          <w:cantSplit/>
        </w:trPr>
        <w:tc>
          <w:tcPr>
            <w:tcW w:w="1920" w:type="dxa"/>
            <w:shd w:val="clear" w:color="auto" w:fill="F2F2F2"/>
          </w:tcPr>
          <w:p>
            <w:pPr>
              <w:pStyle w:val="Compact"/>
              <w:spacing w:after="0"/>
              <w:jc w:val="left"/>
            </w:pPr>
            <w:r>
              <w:rPr>
                <w:rFonts w:ascii="Calibri" w:hAnsi="Calibri"/>
                <w:b/>
                <w:sz w:val="19"/>
              </w:rPr>
              <w:t xml:space="preserve">API security testing</w:t>
            </w:r>
          </w:p>
        </w:tc>
        <w:tc>
          <w:tcPr>
            <w:tcW w:w="2560" w:type="dxa"/>
          </w:tcPr>
          <w:p>
            <w:pPr>
              <w:pStyle w:val="Compact"/>
              <w:spacing w:after="0"/>
              <w:jc w:val="left"/>
            </w:pPr>
            <w:r>
              <w:rPr>
                <w:rFonts w:ascii="Calibri" w:hAnsi="Calibri"/>
                <w:sz w:val="19"/>
              </w:rPr>
              <w:t xml:space="preserve">Broken object and function authorization, mass assignment</w:t>
            </w:r>
          </w:p>
        </w:tc>
        <w:tc>
          <w:tcPr>
            <w:tcW w:w="2560" w:type="dxa"/>
          </w:tcPr>
          <w:p>
            <w:pPr>
              <w:pStyle w:val="Compact"/>
              <w:spacing w:after="0"/>
              <w:jc w:val="left"/>
            </w:pPr>
            <w:r>
              <w:rPr>
                <w:rFonts w:ascii="Calibri" w:hAnsi="Calibri"/>
                <w:sz w:val="19"/>
              </w:rPr>
              <w:t xml:space="preserve">Release candidate</w:t>
            </w:r>
          </w:p>
        </w:tc>
        <w:tc>
          <w:tcPr>
            <w:tcW w:w="2560" w:type="dxa"/>
          </w:tcPr>
          <w:p>
            <w:pPr>
              <w:pStyle w:val="Compact"/>
              <w:spacing w:after="0"/>
              <w:jc w:val="left"/>
            </w:pPr>
            <w:r>
              <w:rPr>
                <w:rFonts w:ascii="Calibri" w:hAnsi="Calibri"/>
                <w:sz w:val="19"/>
              </w:rPr>
              <w:t xml:space="preserve">Block on Critical or High</w:t>
            </w:r>
          </w:p>
        </w:tc>
      </w:tr>
      <w:tr>
        <w:trPr>
          <w:cantSplit/>
        </w:trPr>
        <w:tc>
          <w:tcPr>
            <w:tcW w:w="1920" w:type="dxa"/>
            <w:shd w:val="clear" w:color="auto" w:fill="F2F2F2"/>
          </w:tcPr>
          <w:p>
            <w:pPr>
              <w:pStyle w:val="Compact"/>
              <w:spacing w:after="0"/>
              <w:jc w:val="left"/>
            </w:pPr>
            <w:r>
              <w:rPr>
                <w:rFonts w:ascii="Calibri" w:hAnsi="Calibri"/>
                <w:b/>
                <w:sz w:val="19"/>
              </w:rPr>
              <w:t xml:space="preserve">Fuzzing</w:t>
            </w:r>
          </w:p>
        </w:tc>
        <w:tc>
          <w:tcPr>
            <w:tcW w:w="2560" w:type="dxa"/>
          </w:tcPr>
          <w:p>
            <w:pPr>
              <w:pStyle w:val="Compact"/>
              <w:spacing w:after="0"/>
              <w:jc w:val="left"/>
            </w:pPr>
            <w:r>
              <w:rPr>
                <w:rFonts w:ascii="Calibri" w:hAnsi="Calibri"/>
                <w:sz w:val="19"/>
              </w:rPr>
              <w:t xml:space="preserve">Crashes, memory errors, parser bugs</w:t>
            </w:r>
          </w:p>
        </w:tc>
        <w:tc>
          <w:tcPr>
            <w:tcW w:w="2560" w:type="dxa"/>
          </w:tcPr>
          <w:p>
            <w:pPr>
              <w:pStyle w:val="Compact"/>
              <w:spacing w:after="0"/>
              <w:jc w:val="left"/>
            </w:pPr>
            <w:r>
              <w:rPr>
                <w:rFonts w:ascii="Calibri" w:hAnsi="Calibri"/>
                <w:sz w:val="19"/>
              </w:rPr>
              <w:t xml:space="preserve">Continuous for parsers, protocols, native code</w:t>
            </w:r>
          </w:p>
        </w:tc>
        <w:tc>
          <w:tcPr>
            <w:tcW w:w="2560" w:type="dxa"/>
          </w:tcPr>
          <w:p>
            <w:pPr>
              <w:pStyle w:val="Compact"/>
              <w:spacing w:after="0"/>
              <w:jc w:val="left"/>
            </w:pPr>
            <w:r>
              <w:rPr>
                <w:rFonts w:ascii="Calibri" w:hAnsi="Calibri"/>
                <w:sz w:val="19"/>
              </w:rPr>
              <w:t xml:space="preserve">Triage all crashes</w:t>
            </w:r>
          </w:p>
        </w:tc>
      </w:tr>
      <w:tr>
        <w:trPr>
          <w:cantSplit/>
        </w:trPr>
        <w:tc>
          <w:tcPr>
            <w:tcW w:w="1920" w:type="dxa"/>
            <w:shd w:val="clear" w:color="auto" w:fill="F2F2F2"/>
          </w:tcPr>
          <w:p>
            <w:pPr>
              <w:pStyle w:val="Compact"/>
              <w:spacing w:after="0"/>
              <w:jc w:val="left"/>
            </w:pPr>
            <w:r>
              <w:rPr>
                <w:rFonts w:ascii="Calibri" w:hAnsi="Calibri"/>
                <w:b/>
                <w:sz w:val="19"/>
              </w:rPr>
              <w:t xml:space="preserve">Unit and abuse-case tests</w:t>
            </w:r>
          </w:p>
        </w:tc>
        <w:tc>
          <w:tcPr>
            <w:tcW w:w="2560" w:type="dxa"/>
          </w:tcPr>
          <w:p>
            <w:pPr>
              <w:pStyle w:val="Compact"/>
              <w:spacing w:after="0"/>
              <w:jc w:val="left"/>
            </w:pPr>
            <w:r>
              <w:rPr>
                <w:rFonts w:ascii="Calibri" w:hAnsi="Calibri"/>
                <w:sz w:val="19"/>
              </w:rPr>
              <w:t xml:space="preserve">Regression of security requirements</w:t>
            </w:r>
          </w:p>
        </w:tc>
        <w:tc>
          <w:tcPr>
            <w:tcW w:w="2560" w:type="dxa"/>
          </w:tcPr>
          <w:p>
            <w:pPr>
              <w:pStyle w:val="Compact"/>
              <w:spacing w:after="0"/>
              <w:jc w:val="left"/>
            </w:pPr>
            <w:r>
              <w:rPr>
                <w:rFonts w:ascii="Calibri" w:hAnsi="Calibri"/>
                <w:sz w:val="19"/>
              </w:rPr>
              <w:t xml:space="preserve">Every build</w:t>
            </w:r>
          </w:p>
        </w:tc>
        <w:tc>
          <w:tcPr>
            <w:tcW w:w="2560" w:type="dxa"/>
          </w:tcPr>
          <w:p>
            <w:pPr>
              <w:pStyle w:val="Compact"/>
              <w:spacing w:after="0"/>
              <w:jc w:val="left"/>
            </w:pPr>
            <w:r>
              <w:rPr>
                <w:rFonts w:ascii="Calibri" w:hAnsi="Calibri"/>
                <w:sz w:val="19"/>
              </w:rPr>
              <w:t xml:space="preserve">Failing test blocks merge</w:t>
            </w:r>
          </w:p>
        </w:tc>
      </w:tr>
      <w:tr>
        <w:trPr>
          <w:cantSplit/>
        </w:trPr>
        <w:tc>
          <w:tcPr>
            <w:tcW w:w="1920" w:type="dxa"/>
            <w:shd w:val="clear" w:color="auto" w:fill="F2F2F2"/>
          </w:tcPr>
          <w:p>
            <w:pPr>
              <w:pStyle w:val="Compact"/>
              <w:spacing w:after="0"/>
              <w:jc w:val="left"/>
            </w:pPr>
            <w:r>
              <w:rPr>
                <w:rFonts w:ascii="Calibri" w:hAnsi="Calibri"/>
                <w:b/>
                <w:sz w:val="19"/>
              </w:rPr>
              <w:t xml:space="preserve">Penetration test</w:t>
            </w:r>
          </w:p>
        </w:tc>
        <w:tc>
          <w:tcPr>
            <w:tcW w:w="2560" w:type="dxa"/>
          </w:tcPr>
          <w:p>
            <w:pPr>
              <w:pStyle w:val="Compact"/>
              <w:spacing w:after="0"/>
              <w:jc w:val="left"/>
            </w:pPr>
            <w:r>
              <w:rPr>
                <w:rFonts w:ascii="Calibri" w:hAnsi="Calibri"/>
                <w:sz w:val="19"/>
              </w:rPr>
              <w:t xml:space="preserve">Chained, business-logic and design flaws</w:t>
            </w:r>
          </w:p>
        </w:tc>
        <w:tc>
          <w:tcPr>
            <w:tcW w:w="2560" w:type="dxa"/>
          </w:tcPr>
          <w:p>
            <w:pPr>
              <w:pStyle w:val="Compact"/>
              <w:spacing w:after="0"/>
              <w:jc w:val="left"/>
            </w:pPr>
            <w:r>
              <w:rPr>
                <w:rFonts w:ascii="Calibri" w:hAnsi="Calibri"/>
                <w:sz w:val="19"/>
              </w:rPr>
              <w:t xml:space="preserve">Tier 1 annually and after major change; Tier 2 every two years</w:t>
            </w:r>
          </w:p>
        </w:tc>
        <w:tc>
          <w:tcPr>
            <w:tcW w:w="2560" w:type="dxa"/>
          </w:tcPr>
          <w:p>
            <w:pPr>
              <w:pStyle w:val="Compact"/>
              <w:spacing w:after="0"/>
              <w:jc w:val="left"/>
            </w:pPr>
            <w:r>
              <w:rPr>
                <w:rFonts w:ascii="Calibri" w:hAnsi="Calibri"/>
                <w:sz w:val="19"/>
              </w:rPr>
              <w:t xml:space="preserve">Critical and High fixed before go-live</w:t>
            </w:r>
          </w:p>
        </w:tc>
      </w:tr>
      <w:tr>
        <w:trPr>
          <w:cantSplit/>
        </w:trPr>
        <w:tc>
          <w:tcPr>
            <w:tcW w:w="1920" w:type="dxa"/>
            <w:shd w:val="clear" w:color="auto" w:fill="F2F2F2"/>
          </w:tcPr>
          <w:p>
            <w:pPr>
              <w:pStyle w:val="Compact"/>
              <w:spacing w:after="0"/>
              <w:jc w:val="left"/>
            </w:pPr>
            <w:r>
              <w:rPr>
                <w:rFonts w:ascii="Calibri" w:hAnsi="Calibri"/>
                <w:b/>
                <w:sz w:val="19"/>
              </w:rPr>
              <w:t xml:space="preserve">Red team / bug bounty</w:t>
            </w:r>
          </w:p>
        </w:tc>
        <w:tc>
          <w:tcPr>
            <w:tcW w:w="2560" w:type="dxa"/>
          </w:tcPr>
          <w:p>
            <w:pPr>
              <w:pStyle w:val="Compact"/>
              <w:spacing w:after="0"/>
              <w:jc w:val="left"/>
            </w:pPr>
            <w:r>
              <w:rPr>
                <w:rFonts w:ascii="Calibri" w:hAnsi="Calibri"/>
                <w:sz w:val="19"/>
              </w:rPr>
              <w:t xml:space="preserve">Real-world attack paths</w:t>
            </w:r>
          </w:p>
        </w:tc>
        <w:tc>
          <w:tcPr>
            <w:tcW w:w="2560" w:type="dxa"/>
          </w:tcPr>
          <w:p>
            <w:pPr>
              <w:pStyle w:val="Compact"/>
              <w:spacing w:after="0"/>
              <w:jc w:val="left"/>
            </w:pPr>
            <w:r>
              <w:rPr>
                <w:rFonts w:ascii="Calibri" w:hAnsi="Calibri"/>
                <w:sz w:val="19"/>
              </w:rPr>
              <w:t xml:space="preserve">Tier 1, periodically</w:t>
            </w:r>
          </w:p>
        </w:tc>
        <w:tc>
          <w:tcPr>
            <w:tcW w:w="2560" w:type="dxa"/>
          </w:tcPr>
          <w:p>
            <w:pPr>
              <w:pStyle w:val="Compact"/>
              <w:spacing w:after="0"/>
              <w:jc w:val="left"/>
            </w:pPr>
            <w:r>
              <w:rPr>
                <w:rFonts w:ascii="Calibri" w:hAnsi="Calibri"/>
                <w:sz w:val="19"/>
              </w:rPr>
              <w:t xml:space="preserve">Findings enter vulnerability management</w:t>
            </w:r>
          </w:p>
        </w:tc>
      </w:tr>
    </w:tbl>
    <w:bookmarkStart w:id="50" w:name="testing-rules"/>
    <w:p>
      <w:pPr>
        <w:pStyle w:val="Heading3"/>
      </w:pPr>
      <w:r>
        <w:t xml:space="preserve">Testing rules</w:t>
      </w:r>
    </w:p>
    <w:p>
      <w:pPr>
        <w:numPr>
          <w:ilvl w:val="0"/>
          <w:numId w:val="1017"/>
        </w:numPr>
        <w:pStyle w:val="Compact"/>
      </w:pPr>
      <w:r>
        <w:t xml:space="preserve">Tools MUST be tuned to cut false positives; a noisy scanner gets ignored. Suppressions need a reason, an owner and an expiry date.</w:t>
      </w:r>
    </w:p>
    <w:p>
      <w:pPr>
        <w:numPr>
          <w:ilvl w:val="0"/>
          <w:numId w:val="1017"/>
        </w:numPr>
        <w:pStyle w:val="Compact"/>
      </w:pPr>
      <w:r>
        <w:t xml:space="preserve">Findings MUST be tracked in the central issue tracker with severity, owner and due date (Section 17).</w:t>
      </w:r>
    </w:p>
    <w:p>
      <w:pPr>
        <w:numPr>
          <w:ilvl w:val="0"/>
          <w:numId w:val="1017"/>
        </w:numPr>
        <w:pStyle w:val="Compact"/>
      </w:pPr>
      <w:r>
        <w:t xml:space="preserve">Penetration tests MUST be done by qualified testers independent of the build team, against a production-like environment, with rules of engagement agreed beforehand. Never test production data without approval.</w:t>
      </w:r>
    </w:p>
    <w:p>
      <w:pPr>
        <w:numPr>
          <w:ilvl w:val="0"/>
          <w:numId w:val="1017"/>
        </w:numPr>
        <w:pStyle w:val="Compact"/>
      </w:pPr>
      <w:r>
        <w:t xml:space="preserve">Write security tests for every fixed vulnerability so it cannot return.</w:t>
      </w:r>
    </w:p>
    <w:p>
      <w:pPr>
        <w:numPr>
          <w:ilvl w:val="0"/>
          <w:numId w:val="1017"/>
        </w:numPr>
        <w:pStyle w:val="Compact"/>
      </w:pPr>
      <w:r>
        <w:t xml:space="preserve">Test coverage SHOULD include negative and boundary cases, role-based access matrices, and business-logic abuse (for example skipping steps in a workflow or replaying requests).</w:t>
      </w:r>
    </w:p>
    <w:bookmarkEnd w:id="50"/>
    <w:bookmarkEnd w:id="51"/>
    <w:bookmarkStart w:id="54" w:name="cicd-pipeline-security"/>
    <w:p>
      <w:pPr>
        <w:pStyle w:val="Heading2"/>
      </w:pPr>
      <w:r>
        <w:t xml:space="preserve">14. CI/CD Pipeline Security</w:t>
      </w:r>
    </w:p>
    <w:p>
      <w:pPr>
        <w:pStyle w:val="FirstParagraph"/>
      </w:pPr>
      <w:r>
        <w:t xml:space="preserve">The pipeline is a privileged production system and MUST be protected as one, because whoever controls it controls what ships.</w:t>
      </w:r>
    </w:p>
    <w:bookmarkStart w:id="52" w:name="security-gates-in-the-pipeline"/>
    <w:p>
      <w:pPr>
        <w:pStyle w:val="Heading3"/>
      </w:pPr>
      <w:r>
        <w:t xml:space="preserve">Security gates in the pipeline</w:t>
      </w:r>
    </w:p>
    <w:p>
      <w:pPr>
        <w:numPr>
          <w:ilvl w:val="0"/>
          <w:numId w:val="1018"/>
        </w:numPr>
        <w:pStyle w:val="Compact"/>
      </w:pPr>
      <w:r>
        <w:rPr>
          <w:bCs/>
          <w:b/>
        </w:rPr>
        <w:t xml:space="preserve">Commit:</w:t>
      </w:r>
      <w:r>
        <w:t xml:space="preserve"> </w:t>
      </w:r>
      <w:r>
        <w:t xml:space="preserve">pre-commit secret scan, linting and formatting.</w:t>
      </w:r>
    </w:p>
    <w:p>
      <w:pPr>
        <w:numPr>
          <w:ilvl w:val="0"/>
          <w:numId w:val="1018"/>
        </w:numPr>
        <w:pStyle w:val="Compact"/>
      </w:pPr>
      <w:r>
        <w:rPr>
          <w:bCs/>
          <w:b/>
        </w:rPr>
        <w:t xml:space="preserve">Pull request:</w:t>
      </w:r>
      <w:r>
        <w:t xml:space="preserve"> </w:t>
      </w:r>
      <w:r>
        <w:t xml:space="preserve">SAST, SCA, secret scan, unit and security tests, required review.</w:t>
      </w:r>
    </w:p>
    <w:p>
      <w:pPr>
        <w:numPr>
          <w:ilvl w:val="0"/>
          <w:numId w:val="1018"/>
        </w:numPr>
        <w:pStyle w:val="Compact"/>
      </w:pPr>
      <w:r>
        <w:rPr>
          <w:bCs/>
          <w:b/>
        </w:rPr>
        <w:t xml:space="preserve">Build:</w:t>
      </w:r>
      <w:r>
        <w:t xml:space="preserve"> </w:t>
      </w:r>
      <w:r>
        <w:t xml:space="preserve">reproducible build in an ephemeral, isolated runner; generate SBOM; sign the artifact.</w:t>
      </w:r>
    </w:p>
    <w:p>
      <w:pPr>
        <w:numPr>
          <w:ilvl w:val="0"/>
          <w:numId w:val="1018"/>
        </w:numPr>
        <w:pStyle w:val="Compact"/>
      </w:pPr>
      <w:r>
        <w:rPr>
          <w:bCs/>
          <w:b/>
        </w:rPr>
        <w:t xml:space="preserve">Package:</w:t>
      </w:r>
      <w:r>
        <w:t xml:space="preserve"> </w:t>
      </w:r>
      <w:r>
        <w:t xml:space="preserve">scan container image and IaC; verify base image provenance.</w:t>
      </w:r>
    </w:p>
    <w:p>
      <w:pPr>
        <w:numPr>
          <w:ilvl w:val="0"/>
          <w:numId w:val="1018"/>
        </w:numPr>
        <w:pStyle w:val="Compact"/>
      </w:pPr>
      <w:r>
        <w:rPr>
          <w:bCs/>
          <w:b/>
        </w:rPr>
        <w:t xml:space="preserve">Staging deploy:</w:t>
      </w:r>
      <w:r>
        <w:t xml:space="preserve"> </w:t>
      </w:r>
      <w:r>
        <w:t xml:space="preserve">DAST and API tests against the running release candidate.</w:t>
      </w:r>
    </w:p>
    <w:p>
      <w:pPr>
        <w:numPr>
          <w:ilvl w:val="0"/>
          <w:numId w:val="1018"/>
        </w:numPr>
        <w:pStyle w:val="Compact"/>
      </w:pPr>
      <w:r>
        <w:rPr>
          <w:bCs/>
          <w:b/>
        </w:rPr>
        <w:t xml:space="preserve">Approval:</w:t>
      </w:r>
      <w:r>
        <w:t xml:space="preserve"> </w:t>
      </w:r>
      <w:r>
        <w:t xml:space="preserve">automated policy check, plus manual security sign-off for Tier 1.</w:t>
      </w:r>
    </w:p>
    <w:p>
      <w:pPr>
        <w:numPr>
          <w:ilvl w:val="0"/>
          <w:numId w:val="1018"/>
        </w:numPr>
        <w:pStyle w:val="Compact"/>
      </w:pPr>
      <w:r>
        <w:rPr>
          <w:bCs/>
          <w:b/>
        </w:rPr>
        <w:t xml:space="preserve">Production deploy:</w:t>
      </w:r>
      <w:r>
        <w:t xml:space="preserve"> </w:t>
      </w:r>
      <w:r>
        <w:t xml:space="preserve">verify signature and provenance, deploy with a tested rollback path.</w:t>
      </w:r>
    </w:p>
    <w:bookmarkEnd w:id="52"/>
    <w:bookmarkStart w:id="53" w:name="pipeline-hardening-rules"/>
    <w:p>
      <w:pPr>
        <w:pStyle w:val="Heading3"/>
      </w:pPr>
      <w:r>
        <w:t xml:space="preserve">Pipeline hardening rules</w:t>
      </w:r>
    </w:p>
    <w:p>
      <w:pPr>
        <w:numPr>
          <w:ilvl w:val="0"/>
          <w:numId w:val="1019"/>
        </w:numPr>
        <w:pStyle w:val="Compact"/>
      </w:pPr>
      <w:r>
        <w:rPr>
          <w:bCs/>
          <w:b/>
        </w:rPr>
        <w:t xml:space="preserve">Define pipelines as code</w:t>
      </w:r>
      <w:r>
        <w:t xml:space="preserve">, stored in version control, with changes to pipeline files requiring review from designated owners.</w:t>
      </w:r>
    </w:p>
    <w:p>
      <w:pPr>
        <w:numPr>
          <w:ilvl w:val="0"/>
          <w:numId w:val="1019"/>
        </w:numPr>
        <w:pStyle w:val="Compact"/>
      </w:pPr>
      <w:r>
        <w:rPr>
          <w:bCs/>
          <w:b/>
        </w:rPr>
        <w:t xml:space="preserve">Use ephemeral, least-privilege runners.</w:t>
      </w:r>
      <w:r>
        <w:t xml:space="preserve"> </w:t>
      </w:r>
      <w:r>
        <w:t xml:space="preserve">Fresh runners per job, no shared state between jobs, no long-lived credentials, and separate runners for untrusted code (pull requests from forks) and production deployment.</w:t>
      </w:r>
    </w:p>
    <w:p>
      <w:pPr>
        <w:numPr>
          <w:ilvl w:val="0"/>
          <w:numId w:val="1019"/>
        </w:numPr>
        <w:pStyle w:val="Compact"/>
      </w:pPr>
      <w:r>
        <w:rPr>
          <w:bCs/>
          <w:b/>
        </w:rPr>
        <w:t xml:space="preserve">Use short-lived credentials</w:t>
      </w:r>
      <w:r>
        <w:t xml:space="preserve"> </w:t>
      </w:r>
      <w:r>
        <w:t xml:space="preserve">through OIDC federation or workload identity instead of stored cloud keys. Scope each job’s token to the minimum permissions.</w:t>
      </w:r>
    </w:p>
    <w:p>
      <w:pPr>
        <w:numPr>
          <w:ilvl w:val="0"/>
          <w:numId w:val="1019"/>
        </w:numPr>
        <w:pStyle w:val="Compact"/>
      </w:pPr>
      <w:r>
        <w:rPr>
          <w:bCs/>
          <w:b/>
        </w:rPr>
        <w:t xml:space="preserve">Protect environments.</w:t>
      </w:r>
      <w:r>
        <w:t xml:space="preserve"> </w:t>
      </w:r>
      <w:r>
        <w:t xml:space="preserve">Production deploys require protected branches, required approvals and restricted deployer identities. No developer deploys to production from a laptop.</w:t>
      </w:r>
    </w:p>
    <w:p>
      <w:pPr>
        <w:numPr>
          <w:ilvl w:val="0"/>
          <w:numId w:val="1019"/>
        </w:numPr>
        <w:pStyle w:val="Compact"/>
      </w:pPr>
      <w:r>
        <w:rPr>
          <w:bCs/>
          <w:b/>
        </w:rPr>
        <w:t xml:space="preserve">Pin third-party actions and plugins</w:t>
      </w:r>
      <w:r>
        <w:t xml:space="preserve"> </w:t>
      </w:r>
      <w:r>
        <w:t xml:space="preserve">by full commit hash or digest, and review them before use.</w:t>
      </w:r>
    </w:p>
    <w:p>
      <w:pPr>
        <w:numPr>
          <w:ilvl w:val="0"/>
          <w:numId w:val="1019"/>
        </w:numPr>
        <w:pStyle w:val="Compact"/>
      </w:pPr>
      <w:r>
        <w:rPr>
          <w:bCs/>
          <w:b/>
        </w:rPr>
        <w:t xml:space="preserve">Protect secrets.</w:t>
      </w:r>
      <w:r>
        <w:t xml:space="preserve"> </w:t>
      </w:r>
      <w:r>
        <w:t xml:space="preserve">Inject them at runtime from the vault, mask them in logs, and never expose them to pull request builds from forks.</w:t>
      </w:r>
    </w:p>
    <w:p>
      <w:pPr>
        <w:numPr>
          <w:ilvl w:val="0"/>
          <w:numId w:val="1019"/>
        </w:numPr>
        <w:pStyle w:val="Compact"/>
      </w:pPr>
      <w:r>
        <w:rPr>
          <w:bCs/>
          <w:b/>
        </w:rPr>
        <w:t xml:space="preserve">Make builds tamper-evident.</w:t>
      </w:r>
      <w:r>
        <w:t xml:space="preserve"> </w:t>
      </w:r>
      <w:r>
        <w:t xml:space="preserve">Keep build logs and provenance attestations immutable, and verify artifact signatures before deployment.</w:t>
      </w:r>
    </w:p>
    <w:p>
      <w:pPr>
        <w:numPr>
          <w:ilvl w:val="0"/>
          <w:numId w:val="1019"/>
        </w:numPr>
        <w:pStyle w:val="Compact"/>
      </w:pPr>
      <w:r>
        <w:rPr>
          <w:bCs/>
          <w:b/>
        </w:rPr>
        <w:t xml:space="preserve">Fail closed.</w:t>
      </w:r>
      <w:r>
        <w:t xml:space="preserve"> </w:t>
      </w:r>
      <w:r>
        <w:t xml:space="preserve">If a security gate cannot run or errors, the pipeline stops. Bypassing a gate needs a logged, time-limited exception (Section 23).</w:t>
      </w:r>
    </w:p>
    <w:p>
      <w:pPr>
        <w:numPr>
          <w:ilvl w:val="0"/>
          <w:numId w:val="1019"/>
        </w:numPr>
        <w:pStyle w:val="Compact"/>
      </w:pPr>
      <w:r>
        <w:rPr>
          <w:bCs/>
          <w:b/>
        </w:rPr>
        <w:t xml:space="preserve">Monitor the pipeline.</w:t>
      </w:r>
      <w:r>
        <w:t xml:space="preserve"> </w:t>
      </w:r>
      <w:r>
        <w:t xml:space="preserve">Audit changes to pipeline definitions, runner configuration and secrets, and alert on unusual deployments.</w:t>
      </w:r>
    </w:p>
    <w:bookmarkEnd w:id="53"/>
    <w:bookmarkEnd w:id="54"/>
    <w:bookmarkStart w:id="59" w:name="X45807c440a8acca4af78ad0c088ce64ebcbbfea"/>
    <w:p>
      <w:pPr>
        <w:pStyle w:val="Heading2"/>
      </w:pPr>
      <w:r>
        <w:t xml:space="preserve">15. Infrastructure, Cloud and Container Security</w:t>
      </w:r>
    </w:p>
    <w:p>
      <w:pPr>
        <w:pStyle w:val="FirstParagraph"/>
      </w:pPr>
      <w:r>
        <w:t xml:space="preserve">Infrastructure MUST be defined as code, hardened to a baseline and scanned continuously, so that environments are repeatable and drift is visible.</w:t>
      </w:r>
    </w:p>
    <w:bookmarkStart w:id="55" w:name="infrastructure-as-code"/>
    <w:p>
      <w:pPr>
        <w:pStyle w:val="Heading3"/>
      </w:pPr>
      <w:r>
        <w:t xml:space="preserve">Infrastructure as code</w:t>
      </w:r>
    </w:p>
    <w:p>
      <w:pPr>
        <w:numPr>
          <w:ilvl w:val="0"/>
          <w:numId w:val="1020"/>
        </w:numPr>
        <w:pStyle w:val="Compact"/>
      </w:pPr>
      <w:r>
        <w:t xml:space="preserve">Define all environments in code (Terraform, CloudFormation, Bicep, Pulumi, Ansible) and review changes like application code.</w:t>
      </w:r>
    </w:p>
    <w:p>
      <w:pPr>
        <w:numPr>
          <w:ilvl w:val="0"/>
          <w:numId w:val="1020"/>
        </w:numPr>
        <w:pStyle w:val="Compact"/>
      </w:pPr>
      <w:r>
        <w:t xml:space="preserve">Scan IaC for misconfigurations before apply (for example public storage, open security groups, unencrypted volumes).</w:t>
      </w:r>
    </w:p>
    <w:p>
      <w:pPr>
        <w:numPr>
          <w:ilvl w:val="0"/>
          <w:numId w:val="1020"/>
        </w:numPr>
        <w:pStyle w:val="Compact"/>
      </w:pPr>
      <w:r>
        <w:t xml:space="preserve">Prohibit manual changes in production; detect and correct drift.</w:t>
      </w:r>
    </w:p>
    <w:p>
      <w:pPr>
        <w:numPr>
          <w:ilvl w:val="0"/>
          <w:numId w:val="1020"/>
        </w:numPr>
        <w:pStyle w:val="Compact"/>
      </w:pPr>
      <w:r>
        <w:t xml:space="preserve">Keep state files encrypted, access-controlled and free of plain-text secrets.</w:t>
      </w:r>
    </w:p>
    <w:bookmarkEnd w:id="55"/>
    <w:bookmarkStart w:id="56" w:name="cloud"/>
    <w:p>
      <w:pPr>
        <w:pStyle w:val="Heading3"/>
      </w:pPr>
      <w:r>
        <w:t xml:space="preserve">Cloud</w:t>
      </w:r>
    </w:p>
    <w:p>
      <w:pPr>
        <w:numPr>
          <w:ilvl w:val="0"/>
          <w:numId w:val="1021"/>
        </w:numPr>
        <w:pStyle w:val="Compact"/>
      </w:pPr>
      <w:r>
        <w:t xml:space="preserve">Enforce least-privilege IAM: no shared accounts, no wildcard permissions, MFA for human users, roles for workloads, regular access reviews.</w:t>
      </w:r>
    </w:p>
    <w:p>
      <w:pPr>
        <w:numPr>
          <w:ilvl w:val="0"/>
          <w:numId w:val="1021"/>
        </w:numPr>
        <w:pStyle w:val="Compact"/>
      </w:pPr>
      <w:r>
        <w:t xml:space="preserve">Separate accounts or subscriptions for development, test and production; restrict who can cross them.</w:t>
      </w:r>
    </w:p>
    <w:p>
      <w:pPr>
        <w:numPr>
          <w:ilvl w:val="0"/>
          <w:numId w:val="1021"/>
        </w:numPr>
        <w:pStyle w:val="Compact"/>
      </w:pPr>
      <w:r>
        <w:t xml:space="preserve">Block public exposure by default for storage buckets, databases and management ports; require review for any internet-facing resource.</w:t>
      </w:r>
    </w:p>
    <w:p>
      <w:pPr>
        <w:numPr>
          <w:ilvl w:val="0"/>
          <w:numId w:val="1021"/>
        </w:numPr>
        <w:pStyle w:val="Compact"/>
      </w:pPr>
      <w:r>
        <w:t xml:space="preserve">Enable audit logging (for example CloudTrail, Azure Activity Log, Cloud Audit Logs) and central monitoring in every account.</w:t>
      </w:r>
    </w:p>
    <w:p>
      <w:pPr>
        <w:numPr>
          <w:ilvl w:val="0"/>
          <w:numId w:val="1021"/>
        </w:numPr>
        <w:pStyle w:val="Compact"/>
      </w:pPr>
      <w:r>
        <w:t xml:space="preserve">Use cloud security posture management (CSPM) to check against CIS Benchmarks.</w:t>
      </w:r>
    </w:p>
    <w:p>
      <w:pPr>
        <w:numPr>
          <w:ilvl w:val="0"/>
          <w:numId w:val="1021"/>
        </w:numPr>
        <w:pStyle w:val="Compact"/>
      </w:pPr>
      <w:r>
        <w:t xml:space="preserve">Protect the instance metadata service (for example require IMDSv2) to limit SSRF impact.</w:t>
      </w:r>
    </w:p>
    <w:p>
      <w:pPr>
        <w:numPr>
          <w:ilvl w:val="0"/>
          <w:numId w:val="1021"/>
        </w:numPr>
        <w:pStyle w:val="Compact"/>
      </w:pPr>
      <w:r>
        <w:t xml:space="preserve">Segment networks, deny by default, and use private endpoints for internal services. Put a WAF and DDoS protection in front of public applications.</w:t>
      </w:r>
    </w:p>
    <w:bookmarkEnd w:id="56"/>
    <w:bookmarkStart w:id="57" w:name="containers-and-kubernetes"/>
    <w:p>
      <w:pPr>
        <w:pStyle w:val="Heading3"/>
      </w:pPr>
      <w:r>
        <w:t xml:space="preserve">Containers and Kubernetes</w:t>
      </w:r>
    </w:p>
    <w:p>
      <w:pPr>
        <w:numPr>
          <w:ilvl w:val="0"/>
          <w:numId w:val="1022"/>
        </w:numPr>
        <w:pStyle w:val="Compact"/>
      </w:pPr>
      <w:r>
        <w:t xml:space="preserve">Build from minimal, trusted base images (distroless or slim), rebuilt regularly; pin by digest.</w:t>
      </w:r>
    </w:p>
    <w:p>
      <w:pPr>
        <w:numPr>
          <w:ilvl w:val="0"/>
          <w:numId w:val="1022"/>
        </w:numPr>
        <w:pStyle w:val="Compact"/>
      </w:pPr>
      <w:r>
        <w:t xml:space="preserve">Run as a non-root user with a read-only root filesystem, dropped capabilities and no privileged mode.</w:t>
      </w:r>
    </w:p>
    <w:p>
      <w:pPr>
        <w:numPr>
          <w:ilvl w:val="0"/>
          <w:numId w:val="1022"/>
        </w:numPr>
        <w:pStyle w:val="Compact"/>
      </w:pPr>
      <w:r>
        <w:t xml:space="preserve">Scan images in the pipeline and in the registry; block deploys of images with Critical findings.</w:t>
      </w:r>
    </w:p>
    <w:p>
      <w:pPr>
        <w:numPr>
          <w:ilvl w:val="0"/>
          <w:numId w:val="1022"/>
        </w:numPr>
        <w:pStyle w:val="Compact"/>
      </w:pPr>
      <w:r>
        <w:t xml:space="preserve">Do not store secrets in images or environment files; mount them from a secrets manager.</w:t>
      </w:r>
    </w:p>
    <w:p>
      <w:pPr>
        <w:numPr>
          <w:ilvl w:val="0"/>
          <w:numId w:val="1022"/>
        </w:numPr>
        <w:pStyle w:val="Compact"/>
      </w:pPr>
      <w:r>
        <w:t xml:space="preserve">In Kubernetes: enforce Pod Security Standards (restricted), network policies, namespace isolation, RBAC with least privilege, and admission control that verifies image signatures.</w:t>
      </w:r>
    </w:p>
    <w:p>
      <w:pPr>
        <w:numPr>
          <w:ilvl w:val="0"/>
          <w:numId w:val="1022"/>
        </w:numPr>
        <w:pStyle w:val="Compact"/>
      </w:pPr>
      <w:r>
        <w:t xml:space="preserve">Keep nodes, the control plane and runtimes patched; restrict access to the API server and kubelet.</w:t>
      </w:r>
    </w:p>
    <w:bookmarkEnd w:id="57"/>
    <w:bookmarkStart w:id="58" w:name="configuration-baselines"/>
    <w:p>
      <w:pPr>
        <w:pStyle w:val="Heading3"/>
      </w:pPr>
      <w:r>
        <w:t xml:space="preserve">Configuration baselines</w:t>
      </w:r>
    </w:p>
    <w:p>
      <w:pPr>
        <w:pStyle w:val="FirstParagraph"/>
      </w:pPr>
      <w:r>
        <w:t xml:space="preserve">Servers, databases, network devices and platforms MUST follow a hardened baseline such as CIS Benchmarks or vendor guidance: change default credentials, disable unused services, apply patches, and enable logging. Compliance SHOULD be checked automatically.</w:t>
      </w:r>
    </w:p>
    <w:bookmarkEnd w:id="58"/>
    <w:bookmarkEnd w:id="59"/>
    <w:bookmarkStart w:id="63" w:name="logging-monitoring-and-error-handling"/>
    <w:p>
      <w:pPr>
        <w:pStyle w:val="Heading2"/>
      </w:pPr>
      <w:r>
        <w:t xml:space="preserve">16. Logging, Monitoring and Error Handling</w:t>
      </w:r>
    </w:p>
    <w:p>
      <w:pPr>
        <w:pStyle w:val="FirstParagraph"/>
      </w:pPr>
      <w:r>
        <w:t xml:space="preserve">Applications MUST record enough security-relevant events to detect and investigate attacks, without recording secrets or excess personal data.</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Always log</w:t>
            </w:r>
          </w:p>
        </w:tc>
        <w:tc>
          <w:tcPr>
            <w:tcW w:w="7296" w:type="dxa"/>
            <w:shd w:val="clear" w:color="auto" w:fill="1F3864"/>
          </w:tcPr>
          <w:p>
            <w:pPr>
              <w:pStyle w:val="Compact"/>
              <w:spacing w:after="0"/>
              <w:jc w:val="left"/>
            </w:pPr>
            <w:r>
              <w:rPr>
                <w:rFonts w:ascii="Calibri" w:hAnsi="Calibri"/>
                <w:b/>
                <w:color w:val="FFFFFF"/>
                <w:sz w:val="19"/>
              </w:rPr>
              <w:t xml:space="preserve">Never log</w:t>
            </w:r>
          </w:p>
        </w:tc>
      </w:tr>
      <w:tr>
        <w:trPr>
          <w:cantSplit/>
        </w:trPr>
        <w:tc>
          <w:tcPr>
            <w:tcW w:w="2304" w:type="dxa"/>
            <w:shd w:val="clear" w:color="auto" w:fill="F2F2F2"/>
          </w:tcPr>
          <w:p>
            <w:pPr>
              <w:pStyle w:val="Compact"/>
              <w:spacing w:after="0"/>
              <w:jc w:val="left"/>
            </w:pPr>
            <w:r>
              <w:rPr>
                <w:rFonts w:ascii="Calibri" w:hAnsi="Calibri"/>
                <w:b/>
                <w:sz w:val="19"/>
              </w:rPr>
              <w:t xml:space="preserve">Successful and failed logins, logouts, MFA events</w:t>
            </w:r>
          </w:p>
        </w:tc>
        <w:tc>
          <w:tcPr>
            <w:tcW w:w="7296" w:type="dxa"/>
          </w:tcPr>
          <w:p>
            <w:pPr>
              <w:pStyle w:val="Compact"/>
              <w:spacing w:after="0"/>
              <w:jc w:val="left"/>
            </w:pPr>
            <w:r>
              <w:rPr>
                <w:rFonts w:ascii="Calibri" w:hAnsi="Calibri"/>
                <w:sz w:val="19"/>
              </w:rPr>
              <w:t xml:space="preserve">Passwords, even failed attempts</w:t>
            </w:r>
          </w:p>
        </w:tc>
      </w:tr>
      <w:tr>
        <w:trPr>
          <w:cantSplit/>
        </w:trPr>
        <w:tc>
          <w:tcPr>
            <w:tcW w:w="2304" w:type="dxa"/>
            <w:shd w:val="clear" w:color="auto" w:fill="F2F2F2"/>
          </w:tcPr>
          <w:p>
            <w:pPr>
              <w:pStyle w:val="Compact"/>
              <w:spacing w:after="0"/>
              <w:jc w:val="left"/>
            </w:pPr>
            <w:r>
              <w:rPr>
                <w:rFonts w:ascii="Calibri" w:hAnsi="Calibri"/>
                <w:b/>
                <w:sz w:val="19"/>
              </w:rPr>
              <w:t xml:space="preserve">Password and MFA changes, account lockouts, privilege changes</w:t>
            </w:r>
          </w:p>
        </w:tc>
        <w:tc>
          <w:tcPr>
            <w:tcW w:w="7296" w:type="dxa"/>
          </w:tcPr>
          <w:p>
            <w:pPr>
              <w:pStyle w:val="Compact"/>
              <w:spacing w:after="0"/>
              <w:jc w:val="left"/>
            </w:pPr>
            <w:r>
              <w:rPr>
                <w:rFonts w:ascii="Calibri" w:hAnsi="Calibri"/>
                <w:sz w:val="19"/>
              </w:rPr>
              <w:t xml:space="preserve">Session IDs, access tokens, API keys, private keys</w:t>
            </w:r>
          </w:p>
        </w:tc>
      </w:tr>
      <w:tr>
        <w:trPr>
          <w:cantSplit/>
        </w:trPr>
        <w:tc>
          <w:tcPr>
            <w:tcW w:w="2304" w:type="dxa"/>
            <w:shd w:val="clear" w:color="auto" w:fill="F2F2F2"/>
          </w:tcPr>
          <w:p>
            <w:pPr>
              <w:pStyle w:val="Compact"/>
              <w:spacing w:after="0"/>
              <w:jc w:val="left"/>
            </w:pPr>
            <w:r>
              <w:rPr>
                <w:rFonts w:ascii="Calibri" w:hAnsi="Calibri"/>
                <w:b/>
                <w:sz w:val="19"/>
              </w:rPr>
              <w:t xml:space="preserve">Access control failures and denied requests</w:t>
            </w:r>
          </w:p>
        </w:tc>
        <w:tc>
          <w:tcPr>
            <w:tcW w:w="7296" w:type="dxa"/>
          </w:tcPr>
          <w:p>
            <w:pPr>
              <w:pStyle w:val="Compact"/>
              <w:spacing w:after="0"/>
              <w:jc w:val="left"/>
            </w:pPr>
            <w:r>
              <w:rPr>
                <w:rFonts w:ascii="Calibri" w:hAnsi="Calibri"/>
                <w:sz w:val="19"/>
              </w:rPr>
              <w:t xml:space="preserve">Full payment card numbers, CVV, government ID numbers</w:t>
            </w:r>
          </w:p>
        </w:tc>
      </w:tr>
      <w:tr>
        <w:trPr>
          <w:cantSplit/>
        </w:trPr>
        <w:tc>
          <w:tcPr>
            <w:tcW w:w="2304" w:type="dxa"/>
            <w:shd w:val="clear" w:color="auto" w:fill="F2F2F2"/>
          </w:tcPr>
          <w:p>
            <w:pPr>
              <w:pStyle w:val="Compact"/>
              <w:spacing w:after="0"/>
              <w:jc w:val="left"/>
            </w:pPr>
            <w:r>
              <w:rPr>
                <w:rFonts w:ascii="Calibri" w:hAnsi="Calibri"/>
                <w:b/>
                <w:sz w:val="19"/>
              </w:rPr>
              <w:t xml:space="preserve">High-value actions (payments, exports, deletions, admin actions)</w:t>
            </w:r>
          </w:p>
        </w:tc>
        <w:tc>
          <w:tcPr>
            <w:tcW w:w="7296" w:type="dxa"/>
          </w:tcPr>
          <w:p>
            <w:pPr>
              <w:pStyle w:val="Compact"/>
              <w:spacing w:after="0"/>
              <w:jc w:val="left"/>
            </w:pPr>
            <w:r>
              <w:rPr>
                <w:rFonts w:ascii="Calibri" w:hAnsi="Calibri"/>
                <w:sz w:val="19"/>
              </w:rPr>
              <w:t xml:space="preserve">Health or other special-category data in clear text</w:t>
            </w:r>
          </w:p>
        </w:tc>
      </w:tr>
      <w:tr>
        <w:trPr>
          <w:cantSplit/>
        </w:trPr>
        <w:tc>
          <w:tcPr>
            <w:tcW w:w="2304" w:type="dxa"/>
            <w:shd w:val="clear" w:color="auto" w:fill="F2F2F2"/>
          </w:tcPr>
          <w:p>
            <w:pPr>
              <w:pStyle w:val="Compact"/>
              <w:spacing w:after="0"/>
              <w:jc w:val="left"/>
            </w:pPr>
            <w:r>
              <w:rPr>
                <w:rFonts w:ascii="Calibri" w:hAnsi="Calibri"/>
                <w:b/>
                <w:sz w:val="19"/>
              </w:rPr>
              <w:t xml:space="preserve">Input validation failures and unexpected application errors</w:t>
            </w:r>
          </w:p>
        </w:tc>
        <w:tc>
          <w:tcPr>
            <w:tcW w:w="7296" w:type="dxa"/>
          </w:tcPr>
          <w:p>
            <w:pPr>
              <w:pStyle w:val="Compact"/>
              <w:spacing w:after="0"/>
              <w:jc w:val="left"/>
            </w:pPr>
            <w:r>
              <w:rPr>
                <w:rFonts w:ascii="Calibri" w:hAnsi="Calibri"/>
                <w:sz w:val="19"/>
              </w:rPr>
              <w:t xml:space="preserve">Full request bodies containing personal data</w:t>
            </w:r>
          </w:p>
        </w:tc>
      </w:tr>
      <w:tr>
        <w:trPr>
          <w:cantSplit/>
        </w:trPr>
        <w:tc>
          <w:tcPr>
            <w:tcW w:w="2304" w:type="dxa"/>
            <w:shd w:val="clear" w:color="auto" w:fill="F2F2F2"/>
          </w:tcPr>
          <w:p>
            <w:pPr>
              <w:pStyle w:val="Compact"/>
              <w:spacing w:after="0"/>
              <w:jc w:val="left"/>
            </w:pPr>
            <w:r>
              <w:rPr>
                <w:rFonts w:ascii="Calibri" w:hAnsi="Calibri"/>
                <w:b/>
                <w:sz w:val="19"/>
              </w:rPr>
              <w:t xml:space="preserve">Changes to configuration, security settings and audit logs</w:t>
            </w:r>
          </w:p>
        </w:tc>
        <w:tc>
          <w:tcPr>
            <w:tcW w:w="7296" w:type="dxa"/>
          </w:tcPr>
          <w:p>
            <w:pPr>
              <w:pStyle w:val="Compact"/>
              <w:spacing w:after="0"/>
              <w:jc w:val="left"/>
            </w:pPr>
            <w:r>
              <w:rPr>
                <w:rFonts w:ascii="Calibri" w:hAnsi="Calibri"/>
                <w:sz w:val="19"/>
              </w:rPr>
              <w:t xml:space="preserve">Anything that would breach privacy or legal rules</w:t>
            </w:r>
          </w:p>
        </w:tc>
      </w:tr>
    </w:tbl>
    <w:bookmarkStart w:id="60" w:name="log-requirements"/>
    <w:p>
      <w:pPr>
        <w:pStyle w:val="Heading3"/>
      </w:pPr>
      <w:r>
        <w:t xml:space="preserve">Log requirements</w:t>
      </w:r>
    </w:p>
    <w:p>
      <w:pPr>
        <w:numPr>
          <w:ilvl w:val="0"/>
          <w:numId w:val="1023"/>
        </w:numPr>
        <w:pStyle w:val="Compact"/>
      </w:pPr>
      <w:r>
        <w:t xml:space="preserve">Each event includes timestamp (UTC, synchronized), user or service identity, source IP, action, target, outcome and a correlation ID. Use structured formats such as JSON.</w:t>
      </w:r>
    </w:p>
    <w:p>
      <w:pPr>
        <w:numPr>
          <w:ilvl w:val="0"/>
          <w:numId w:val="1023"/>
        </w:numPr>
        <w:pStyle w:val="Compact"/>
      </w:pPr>
      <w:r>
        <w:t xml:space="preserve">Send logs to a central, access-controlled store (SIEM) in near real time; local logs alone are not enough.</w:t>
      </w:r>
    </w:p>
    <w:p>
      <w:pPr>
        <w:numPr>
          <w:ilvl w:val="0"/>
          <w:numId w:val="1023"/>
        </w:numPr>
        <w:pStyle w:val="Compact"/>
      </w:pPr>
      <w:r>
        <w:t xml:space="preserve">Protect integrity: append-only or write-once storage, restricted access, and tamper detection.</w:t>
      </w:r>
    </w:p>
    <w:p>
      <w:pPr>
        <w:numPr>
          <w:ilvl w:val="0"/>
          <w:numId w:val="1023"/>
        </w:numPr>
        <w:pStyle w:val="Compact"/>
      </w:pPr>
      <w:r>
        <w:t xml:space="preserve">Prevent log injection by encoding or stripping control characters from logged user data.</w:t>
      </w:r>
    </w:p>
    <w:p>
      <w:pPr>
        <w:numPr>
          <w:ilvl w:val="0"/>
          <w:numId w:val="1023"/>
        </w:numPr>
        <w:pStyle w:val="Compact"/>
      </w:pPr>
      <w:r>
        <w:t xml:space="preserve">Retain logs according to legal and policy needs; 12 months is a common minimum, with at least 3 months immediately searchable. Confirm against your regulatory obligations.</w:t>
      </w:r>
    </w:p>
    <w:bookmarkEnd w:id="60"/>
    <w:bookmarkStart w:id="61" w:name="monitoring-and-alerting"/>
    <w:p>
      <w:pPr>
        <w:pStyle w:val="Heading3"/>
      </w:pPr>
      <w:r>
        <w:t xml:space="preserve">Monitoring and alerting</w:t>
      </w:r>
    </w:p>
    <w:p>
      <w:pPr>
        <w:numPr>
          <w:ilvl w:val="0"/>
          <w:numId w:val="1024"/>
        </w:numPr>
        <w:pStyle w:val="Compact"/>
      </w:pPr>
      <w:r>
        <w:t xml:space="preserve">Define alerts for brute force and credential stuffing, impossible travel, privilege escalation, mass data access or export, unusual outbound traffic, and changes to security controls.</w:t>
      </w:r>
    </w:p>
    <w:p>
      <w:pPr>
        <w:numPr>
          <w:ilvl w:val="0"/>
          <w:numId w:val="1024"/>
        </w:numPr>
        <w:pStyle w:val="Compact"/>
      </w:pPr>
      <w:r>
        <w:t xml:space="preserve">Tie alerts to documented response procedures and named responders, and test detection regularly (for example through purple team exercises).</w:t>
      </w:r>
    </w:p>
    <w:p>
      <w:pPr>
        <w:numPr>
          <w:ilvl w:val="0"/>
          <w:numId w:val="1024"/>
        </w:numPr>
        <w:pStyle w:val="Compact"/>
      </w:pPr>
      <w:r>
        <w:t xml:space="preserve">Monitor application health, dependency vulnerability feeds and certificate expiry.</w:t>
      </w:r>
    </w:p>
    <w:bookmarkEnd w:id="61"/>
    <w:bookmarkStart w:id="62" w:name="error-handling"/>
    <w:p>
      <w:pPr>
        <w:pStyle w:val="Heading3"/>
      </w:pPr>
      <w:r>
        <w:t xml:space="preserve">Error handling</w:t>
      </w:r>
    </w:p>
    <w:p>
      <w:pPr>
        <w:pStyle w:val="FirstParagraph"/>
      </w:pPr>
      <w:r>
        <w:t xml:space="preserve">Users see a generic message and a reference ID. Developers see full detail in protected logs. Unhandled exceptions MUST be caught at a global handler so the application fails closed.</w:t>
      </w:r>
    </w:p>
    <w:bookmarkEnd w:id="62"/>
    <w:bookmarkEnd w:id="63"/>
    <w:bookmarkStart w:id="67" w:name="X5fc220d49d9713dfb8d39d2bb3ba9e93f1ee497"/>
    <w:p>
      <w:pPr>
        <w:pStyle w:val="Heading2"/>
      </w:pPr>
      <w:r>
        <w:t xml:space="preserve">17. Vulnerability Management and Remediation SLAs</w:t>
      </w:r>
    </w:p>
    <w:p>
      <w:pPr>
        <w:pStyle w:val="FirstParagraph"/>
      </w:pPr>
      <w:r>
        <w:t xml:space="preserve">Every vulnerability MUST be triaged, assigned an owner and fixed within the deadline for its severity, counted from the day it is confirmed.</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1920"/>
        <w:gridCol w:w="2560"/>
        <w:gridCol w:w="2560"/>
        <w:gridCol w:w="2560"/>
      </w:tblGrid>
      <w:tr>
        <w:trPr>
          <w:tblHeader w:val="true"/>
          <w:cantSplit/>
          <w:tblHeader/>
        </w:trPr>
        <w:tc>
          <w:tcPr>
            <w:tcW w:w="1920" w:type="dxa"/>
            <w:shd w:val="clear" w:color="auto" w:fill="1F3864"/>
          </w:tcPr>
          <w:p>
            <w:pPr>
              <w:pStyle w:val="Compact"/>
              <w:spacing w:after="0"/>
              <w:jc w:val="left"/>
            </w:pPr>
            <w:r>
              <w:rPr>
                <w:rFonts w:ascii="Calibri" w:hAnsi="Calibri"/>
                <w:b/>
                <w:color w:val="FFFFFF"/>
                <w:sz w:val="19"/>
              </w:rPr>
              <w:t xml:space="preserve">Severity</w:t>
            </w:r>
          </w:p>
        </w:tc>
        <w:tc>
          <w:tcPr>
            <w:tcW w:w="2560" w:type="dxa"/>
            <w:shd w:val="clear" w:color="auto" w:fill="1F3864"/>
          </w:tcPr>
          <w:p>
            <w:pPr>
              <w:pStyle w:val="Compact"/>
              <w:spacing w:after="0"/>
              <w:jc w:val="left"/>
            </w:pPr>
            <w:r>
              <w:rPr>
                <w:rFonts w:ascii="Calibri" w:hAnsi="Calibri"/>
                <w:b/>
                <w:color w:val="FFFFFF"/>
                <w:sz w:val="19"/>
              </w:rPr>
              <w:t xml:space="preserve">Examples</w:t>
            </w:r>
          </w:p>
        </w:tc>
        <w:tc>
          <w:tcPr>
            <w:tcW w:w="2560" w:type="dxa"/>
            <w:shd w:val="clear" w:color="auto" w:fill="1F3864"/>
          </w:tcPr>
          <w:p>
            <w:pPr>
              <w:pStyle w:val="Compact"/>
              <w:spacing w:after="0"/>
              <w:jc w:val="left"/>
            </w:pPr>
            <w:r>
              <w:rPr>
                <w:rFonts w:ascii="Calibri" w:hAnsi="Calibri"/>
                <w:b/>
                <w:color w:val="FFFFFF"/>
                <w:sz w:val="19"/>
              </w:rPr>
              <w:t xml:space="preserve">Fix deadline (internet-facing)</w:t>
            </w:r>
          </w:p>
        </w:tc>
        <w:tc>
          <w:tcPr>
            <w:tcW w:w="2560" w:type="dxa"/>
            <w:shd w:val="clear" w:color="auto" w:fill="1F3864"/>
          </w:tcPr>
          <w:p>
            <w:pPr>
              <w:pStyle w:val="Compact"/>
              <w:spacing w:after="0"/>
              <w:jc w:val="left"/>
            </w:pPr>
            <w:r>
              <w:rPr>
                <w:rFonts w:ascii="Calibri" w:hAnsi="Calibri"/>
                <w:b/>
                <w:color w:val="FFFFFF"/>
                <w:sz w:val="19"/>
              </w:rPr>
              <w:t xml:space="preserve">Fix deadline (internal)</w:t>
            </w:r>
          </w:p>
        </w:tc>
      </w:tr>
      <w:tr>
        <w:trPr>
          <w:cantSplit/>
        </w:trPr>
        <w:tc>
          <w:tcPr>
            <w:tcW w:w="1920" w:type="dxa"/>
            <w:shd w:val="clear" w:color="auto" w:fill="F2F2F2"/>
          </w:tcPr>
          <w:p>
            <w:pPr>
              <w:pStyle w:val="Compact"/>
              <w:spacing w:after="0"/>
              <w:jc w:val="left"/>
            </w:pPr>
            <w:r>
              <w:rPr>
                <w:rFonts w:ascii="Calibri" w:hAnsi="Calibri"/>
                <w:b/>
                <w:sz w:val="19"/>
              </w:rPr>
              <w:t xml:space="preserve">Critical (CVSS 9.0 to 10.0, or actively exploited)</w:t>
            </w:r>
          </w:p>
        </w:tc>
        <w:tc>
          <w:tcPr>
            <w:tcW w:w="2560" w:type="dxa"/>
          </w:tcPr>
          <w:p>
            <w:pPr>
              <w:pStyle w:val="Compact"/>
              <w:spacing w:after="0"/>
              <w:jc w:val="left"/>
            </w:pPr>
            <w:r>
              <w:rPr>
                <w:rFonts w:ascii="Calibri" w:hAnsi="Calibri"/>
                <w:sz w:val="19"/>
              </w:rPr>
              <w:t xml:space="preserve">Unauthenticated remote code execution, exposed admin interface, CISA KEV entry</w:t>
            </w:r>
          </w:p>
        </w:tc>
        <w:tc>
          <w:tcPr>
            <w:tcW w:w="2560" w:type="dxa"/>
          </w:tcPr>
          <w:p>
            <w:pPr>
              <w:pStyle w:val="Compact"/>
              <w:spacing w:after="0"/>
              <w:jc w:val="left"/>
            </w:pPr>
            <w:r>
              <w:rPr>
                <w:rFonts w:ascii="Calibri" w:hAnsi="Calibri"/>
                <w:sz w:val="19"/>
              </w:rPr>
              <w:t xml:space="preserve">7 days (mitigate within 48 hours)</w:t>
            </w:r>
          </w:p>
        </w:tc>
        <w:tc>
          <w:tcPr>
            <w:tcW w:w="2560" w:type="dxa"/>
          </w:tcPr>
          <w:p>
            <w:pPr>
              <w:pStyle w:val="Compact"/>
              <w:spacing w:after="0"/>
              <w:jc w:val="left"/>
            </w:pPr>
            <w:r>
              <w:rPr>
                <w:rFonts w:ascii="Calibri" w:hAnsi="Calibri"/>
                <w:sz w:val="19"/>
              </w:rPr>
              <w:t xml:space="preserve">14 days</w:t>
            </w:r>
          </w:p>
        </w:tc>
      </w:tr>
      <w:tr>
        <w:trPr>
          <w:cantSplit/>
        </w:trPr>
        <w:tc>
          <w:tcPr>
            <w:tcW w:w="1920" w:type="dxa"/>
            <w:shd w:val="clear" w:color="auto" w:fill="F2F2F2"/>
          </w:tcPr>
          <w:p>
            <w:pPr>
              <w:pStyle w:val="Compact"/>
              <w:spacing w:after="0"/>
              <w:jc w:val="left"/>
            </w:pPr>
            <w:r>
              <w:rPr>
                <w:rFonts w:ascii="Calibri" w:hAnsi="Calibri"/>
                <w:b/>
                <w:sz w:val="19"/>
              </w:rPr>
              <w:t xml:space="preserve">High (7.0 to 8.9)</w:t>
            </w:r>
          </w:p>
        </w:tc>
        <w:tc>
          <w:tcPr>
            <w:tcW w:w="2560" w:type="dxa"/>
          </w:tcPr>
          <w:p>
            <w:pPr>
              <w:pStyle w:val="Compact"/>
              <w:spacing w:after="0"/>
              <w:jc w:val="left"/>
            </w:pPr>
            <w:r>
              <w:rPr>
                <w:rFonts w:ascii="Calibri" w:hAnsi="Calibri"/>
                <w:sz w:val="19"/>
              </w:rPr>
              <w:t xml:space="preserve">Authenticated RCE, SQL injection, broken access control</w:t>
            </w:r>
          </w:p>
        </w:tc>
        <w:tc>
          <w:tcPr>
            <w:tcW w:w="2560" w:type="dxa"/>
          </w:tcPr>
          <w:p>
            <w:pPr>
              <w:pStyle w:val="Compact"/>
              <w:spacing w:after="0"/>
              <w:jc w:val="left"/>
            </w:pPr>
            <w:r>
              <w:rPr>
                <w:rFonts w:ascii="Calibri" w:hAnsi="Calibri"/>
                <w:sz w:val="19"/>
              </w:rPr>
              <w:t xml:space="preserve">14 days</w:t>
            </w:r>
          </w:p>
        </w:tc>
        <w:tc>
          <w:tcPr>
            <w:tcW w:w="2560" w:type="dxa"/>
          </w:tcPr>
          <w:p>
            <w:pPr>
              <w:pStyle w:val="Compact"/>
              <w:spacing w:after="0"/>
              <w:jc w:val="left"/>
            </w:pPr>
            <w:r>
              <w:rPr>
                <w:rFonts w:ascii="Calibri" w:hAnsi="Calibri"/>
                <w:sz w:val="19"/>
              </w:rPr>
              <w:t xml:space="preserve">30 days</w:t>
            </w:r>
          </w:p>
        </w:tc>
      </w:tr>
      <w:tr>
        <w:trPr>
          <w:cantSplit/>
        </w:trPr>
        <w:tc>
          <w:tcPr>
            <w:tcW w:w="1920" w:type="dxa"/>
            <w:shd w:val="clear" w:color="auto" w:fill="F2F2F2"/>
          </w:tcPr>
          <w:p>
            <w:pPr>
              <w:pStyle w:val="Compact"/>
              <w:spacing w:after="0"/>
              <w:jc w:val="left"/>
            </w:pPr>
            <w:r>
              <w:rPr>
                <w:rFonts w:ascii="Calibri" w:hAnsi="Calibri"/>
                <w:b/>
                <w:sz w:val="19"/>
              </w:rPr>
              <w:t xml:space="preserve">Medium (4.0 to 6.9)</w:t>
            </w:r>
          </w:p>
        </w:tc>
        <w:tc>
          <w:tcPr>
            <w:tcW w:w="2560" w:type="dxa"/>
          </w:tcPr>
          <w:p>
            <w:pPr>
              <w:pStyle w:val="Compact"/>
              <w:spacing w:after="0"/>
              <w:jc w:val="left"/>
            </w:pPr>
            <w:r>
              <w:rPr>
                <w:rFonts w:ascii="Calibri" w:hAnsi="Calibri"/>
                <w:sz w:val="19"/>
              </w:rPr>
              <w:t xml:space="preserve">Reflected XSS, information disclosure, missing hardening</w:t>
            </w:r>
          </w:p>
        </w:tc>
        <w:tc>
          <w:tcPr>
            <w:tcW w:w="2560" w:type="dxa"/>
          </w:tcPr>
          <w:p>
            <w:pPr>
              <w:pStyle w:val="Compact"/>
              <w:spacing w:after="0"/>
              <w:jc w:val="left"/>
            </w:pPr>
            <w:r>
              <w:rPr>
                <w:rFonts w:ascii="Calibri" w:hAnsi="Calibri"/>
                <w:sz w:val="19"/>
              </w:rPr>
              <w:t xml:space="preserve">60 days</w:t>
            </w:r>
          </w:p>
        </w:tc>
        <w:tc>
          <w:tcPr>
            <w:tcW w:w="2560" w:type="dxa"/>
          </w:tcPr>
          <w:p>
            <w:pPr>
              <w:pStyle w:val="Compact"/>
              <w:spacing w:after="0"/>
              <w:jc w:val="left"/>
            </w:pPr>
            <w:r>
              <w:rPr>
                <w:rFonts w:ascii="Calibri" w:hAnsi="Calibri"/>
                <w:sz w:val="19"/>
              </w:rPr>
              <w:t xml:space="preserve">90 days</w:t>
            </w:r>
          </w:p>
        </w:tc>
      </w:tr>
      <w:tr>
        <w:trPr>
          <w:cantSplit/>
        </w:trPr>
        <w:tc>
          <w:tcPr>
            <w:tcW w:w="1920" w:type="dxa"/>
            <w:shd w:val="clear" w:color="auto" w:fill="F2F2F2"/>
          </w:tcPr>
          <w:p>
            <w:pPr>
              <w:pStyle w:val="Compact"/>
              <w:spacing w:after="0"/>
              <w:jc w:val="left"/>
            </w:pPr>
            <w:r>
              <w:rPr>
                <w:rFonts w:ascii="Calibri" w:hAnsi="Calibri"/>
                <w:b/>
                <w:sz w:val="19"/>
              </w:rPr>
              <w:t xml:space="preserve">Low (0.1 to 3.9)</w:t>
            </w:r>
          </w:p>
        </w:tc>
        <w:tc>
          <w:tcPr>
            <w:tcW w:w="2560" w:type="dxa"/>
          </w:tcPr>
          <w:p>
            <w:pPr>
              <w:pStyle w:val="Compact"/>
              <w:spacing w:after="0"/>
              <w:jc w:val="left"/>
            </w:pPr>
            <w:r>
              <w:rPr>
                <w:rFonts w:ascii="Calibri" w:hAnsi="Calibri"/>
                <w:sz w:val="19"/>
              </w:rPr>
              <w:t xml:space="preserve">Minor misconfiguration, low-impact leaks</w:t>
            </w:r>
          </w:p>
        </w:tc>
        <w:tc>
          <w:tcPr>
            <w:tcW w:w="2560" w:type="dxa"/>
          </w:tcPr>
          <w:p>
            <w:pPr>
              <w:pStyle w:val="Compact"/>
              <w:spacing w:after="0"/>
              <w:jc w:val="left"/>
            </w:pPr>
            <w:r>
              <w:rPr>
                <w:rFonts w:ascii="Calibri" w:hAnsi="Calibri"/>
                <w:sz w:val="19"/>
              </w:rPr>
              <w:t xml:space="preserve">180 days or next release</w:t>
            </w:r>
          </w:p>
        </w:tc>
        <w:tc>
          <w:tcPr>
            <w:tcW w:w="2560" w:type="dxa"/>
          </w:tcPr>
          <w:p>
            <w:pPr>
              <w:pStyle w:val="Compact"/>
              <w:spacing w:after="0"/>
              <w:jc w:val="left"/>
            </w:pPr>
            <w:r>
              <w:rPr>
                <w:rFonts w:ascii="Calibri" w:hAnsi="Calibri"/>
                <w:sz w:val="19"/>
              </w:rPr>
              <w:t xml:space="preserve">180 days or next release</w:t>
            </w:r>
          </w:p>
        </w:tc>
      </w:tr>
    </w:tbl>
    <w:p>
      <w:pPr>
        <w:pStyle w:val="BodyText"/>
      </w:pPr>
      <w:r>
        <w:t xml:space="preserve">These deadlines are a starting point; adjust them to your risk appetite and contractual obligations (for example PCI DSS requires critical patches within one month).</w:t>
      </w:r>
    </w:p>
    <w:bookmarkStart w:id="64" w:name="workflow"/>
    <w:p>
      <w:pPr>
        <w:pStyle w:val="Heading3"/>
      </w:pPr>
      <w:r>
        <w:t xml:space="preserve">Workflow</w:t>
      </w:r>
    </w:p>
    <w:p>
      <w:pPr>
        <w:numPr>
          <w:ilvl w:val="0"/>
          <w:numId w:val="1025"/>
        </w:numPr>
        <w:pStyle w:val="Compact"/>
      </w:pPr>
      <w:r>
        <w:rPr>
          <w:bCs/>
          <w:b/>
        </w:rPr>
        <w:t xml:space="preserve">Intake.</w:t>
      </w:r>
      <w:r>
        <w:t xml:space="preserve"> </w:t>
      </w:r>
      <w:r>
        <w:t xml:space="preserve">Findings arrive from scanners, penetration tests, bug bounty, internal reports and vendor advisories into one tracker.</w:t>
      </w:r>
    </w:p>
    <w:p>
      <w:pPr>
        <w:numPr>
          <w:ilvl w:val="0"/>
          <w:numId w:val="1025"/>
        </w:numPr>
        <w:pStyle w:val="Compact"/>
      </w:pPr>
      <w:r>
        <w:rPr>
          <w:bCs/>
          <w:b/>
        </w:rPr>
        <w:t xml:space="preserve">Triage.</w:t>
      </w:r>
      <w:r>
        <w:t xml:space="preserve"> </w:t>
      </w:r>
      <w:r>
        <w:t xml:space="preserve">Within 2 business days, confirm validity, remove duplicates, and rate severity using CVSS adjusted for context: exposure, data sensitivity, exploit availability (EPSS, KEV) and compensating controls.</w:t>
      </w:r>
    </w:p>
    <w:p>
      <w:pPr>
        <w:numPr>
          <w:ilvl w:val="0"/>
          <w:numId w:val="1025"/>
        </w:numPr>
        <w:pStyle w:val="Compact"/>
      </w:pPr>
      <w:r>
        <w:rPr>
          <w:bCs/>
          <w:b/>
        </w:rPr>
        <w:t xml:space="preserve">Assign.</w:t>
      </w:r>
      <w:r>
        <w:t xml:space="preserve"> </w:t>
      </w:r>
      <w:r>
        <w:t xml:space="preserve">Name an owner and due date. Critical findings are escalated to the engineering manager and CISO.</w:t>
      </w:r>
    </w:p>
    <w:p>
      <w:pPr>
        <w:numPr>
          <w:ilvl w:val="0"/>
          <w:numId w:val="1025"/>
        </w:numPr>
        <w:pStyle w:val="Compact"/>
      </w:pPr>
      <w:r>
        <w:rPr>
          <w:bCs/>
          <w:b/>
        </w:rPr>
        <w:t xml:space="preserve">Fix or mitigate.</w:t>
      </w:r>
      <w:r>
        <w:t xml:space="preserve"> </w:t>
      </w:r>
      <w:r>
        <w:t xml:space="preserve">Patch, change code, or apply a compensating control (for example a WAF rule or feature flag) while the fix is built.</w:t>
      </w:r>
    </w:p>
    <w:p>
      <w:pPr>
        <w:numPr>
          <w:ilvl w:val="0"/>
          <w:numId w:val="1025"/>
        </w:numPr>
        <w:pStyle w:val="Compact"/>
      </w:pPr>
      <w:r>
        <w:rPr>
          <w:bCs/>
          <w:b/>
        </w:rPr>
        <w:t xml:space="preserve">Verify.</w:t>
      </w:r>
      <w:r>
        <w:t xml:space="preserve"> </w:t>
      </w:r>
      <w:r>
        <w:t xml:space="preserve">Retest and close only after verification; add a regression test.</w:t>
      </w:r>
    </w:p>
    <w:p>
      <w:pPr>
        <w:numPr>
          <w:ilvl w:val="0"/>
          <w:numId w:val="1025"/>
        </w:numPr>
        <w:pStyle w:val="Compact"/>
      </w:pPr>
      <w:r>
        <w:rPr>
          <w:bCs/>
          <w:b/>
        </w:rPr>
        <w:t xml:space="preserve">Learn.</w:t>
      </w:r>
      <w:r>
        <w:t xml:space="preserve"> </w:t>
      </w:r>
      <w:r>
        <w:t xml:space="preserve">Review root causes of Critical and High findings and update standards, training or tooling.</w:t>
      </w:r>
    </w:p>
    <w:bookmarkEnd w:id="64"/>
    <w:bookmarkStart w:id="65" w:name="disclosure"/>
    <w:p>
      <w:pPr>
        <w:pStyle w:val="Heading3"/>
      </w:pPr>
      <w:r>
        <w:t xml:space="preserve">Disclosure</w:t>
      </w:r>
    </w:p>
    <w:p>
      <w:pPr>
        <w:numPr>
          <w:ilvl w:val="0"/>
          <w:numId w:val="1026"/>
        </w:numPr>
        <w:pStyle w:val="Compact"/>
      </w:pPr>
      <w:r>
        <w:t xml:space="preserve">Publish a security contact and a</w:t>
      </w:r>
      <w:r>
        <w:t xml:space="preserve"> </w:t>
      </w:r>
      <w:r>
        <w:rPr>
          <w:rStyle w:val="VerbatimChar"/>
        </w:rPr>
        <w:t xml:space="preserve">security.txt</w:t>
      </w:r>
      <w:r>
        <w:t xml:space="preserve"> </w:t>
      </w:r>
      <w:r>
        <w:t xml:space="preserve">file, and provide a responsible disclosure channel for external researchers; consider a bug bounty for Tier 1 systems.</w:t>
      </w:r>
    </w:p>
    <w:p>
      <w:pPr>
        <w:numPr>
          <w:ilvl w:val="0"/>
          <w:numId w:val="1026"/>
        </w:numPr>
        <w:pStyle w:val="Compact"/>
      </w:pPr>
      <w:r>
        <w:t xml:space="preserve">Acknowledge reports within 3 business days, keep the reporter informed, and do not take action against good-faith researchers who follow the policy.</w:t>
      </w:r>
    </w:p>
    <w:p>
      <w:pPr>
        <w:numPr>
          <w:ilvl w:val="0"/>
          <w:numId w:val="1026"/>
        </w:numPr>
        <w:pStyle w:val="Compact"/>
      </w:pPr>
      <w:r>
        <w:t xml:space="preserve">Coordinate public advisories and CVE requests with legal and communications.</w:t>
      </w:r>
    </w:p>
    <w:bookmarkEnd w:id="65"/>
    <w:bookmarkStart w:id="66" w:name="overdue-findings"/>
    <w:p>
      <w:pPr>
        <w:pStyle w:val="Heading3"/>
      </w:pPr>
      <w:r>
        <w:t xml:space="preserve">Overdue findings</w:t>
      </w:r>
    </w:p>
    <w:p>
      <w:pPr>
        <w:pStyle w:val="FirstParagraph"/>
      </w:pPr>
      <w:r>
        <w:t xml:space="preserve">A finding that passes its deadline is escalated automatically, reported in the monthly metrics and needs a time-limited exception (Section 23) to remain open.</w:t>
      </w:r>
    </w:p>
    <w:bookmarkEnd w:id="66"/>
    <w:bookmarkEnd w:id="67"/>
    <w:bookmarkStart w:id="72" w:name="release-deployment-and-operations"/>
    <w:p>
      <w:pPr>
        <w:pStyle w:val="Heading2"/>
      </w:pPr>
      <w:r>
        <w:t xml:space="preserve">18. Release, Deployment and Operations</w:t>
      </w:r>
    </w:p>
    <w:p>
      <w:pPr>
        <w:pStyle w:val="FirstParagraph"/>
      </w:pPr>
      <w:r>
        <w:t xml:space="preserve">A release goes live only when its security criteria are met and its operating environment is hardened and monitored.</w:t>
      </w:r>
    </w:p>
    <w:bookmarkStart w:id="68" w:name="pre-release-security-sign-off"/>
    <w:p>
      <w:pPr>
        <w:pStyle w:val="Heading3"/>
      </w:pPr>
      <w:r>
        <w:t xml:space="preserve">Pre-release security sign-off</w:t>
      </w:r>
    </w:p>
    <w:p>
      <w:pPr>
        <w:numPr>
          <w:ilvl w:val="0"/>
          <w:numId w:val="1027"/>
        </w:numPr>
        <w:pStyle w:val="Compact"/>
      </w:pPr>
      <w:r>
        <w:t xml:space="preserve">All security requirements are implemented and verified; no open Critical or High findings without an approved exception.</w:t>
      </w:r>
    </w:p>
    <w:p>
      <w:pPr>
        <w:numPr>
          <w:ilvl w:val="0"/>
          <w:numId w:val="1027"/>
        </w:numPr>
        <w:pStyle w:val="Compact"/>
      </w:pPr>
      <w:r>
        <w:t xml:space="preserve">Threat model and design review actions are closed (Tier 1 and 2).</w:t>
      </w:r>
    </w:p>
    <w:p>
      <w:pPr>
        <w:numPr>
          <w:ilvl w:val="0"/>
          <w:numId w:val="1027"/>
        </w:numPr>
        <w:pStyle w:val="Compact"/>
      </w:pPr>
      <w:r>
        <w:t xml:space="preserve">Penetration test findings are fixed or formally accepted (Tier 1).</w:t>
      </w:r>
    </w:p>
    <w:p>
      <w:pPr>
        <w:numPr>
          <w:ilvl w:val="0"/>
          <w:numId w:val="1027"/>
        </w:numPr>
        <w:pStyle w:val="Compact"/>
      </w:pPr>
      <w:r>
        <w:t xml:space="preserve">SBOM is generated, dependencies are patched and artifacts are signed.</w:t>
      </w:r>
    </w:p>
    <w:p>
      <w:pPr>
        <w:numPr>
          <w:ilvl w:val="0"/>
          <w:numId w:val="1027"/>
        </w:numPr>
        <w:pStyle w:val="Compact"/>
      </w:pPr>
      <w:r>
        <w:t xml:space="preserve">Production configuration is hardened: debug modes off, default accounts removed, least-privilege service accounts, secrets in the vault.</w:t>
      </w:r>
    </w:p>
    <w:p>
      <w:pPr>
        <w:numPr>
          <w:ilvl w:val="0"/>
          <w:numId w:val="1027"/>
        </w:numPr>
        <w:pStyle w:val="Compact"/>
      </w:pPr>
      <w:r>
        <w:t xml:space="preserve">Logging, monitoring, alerting and backup are working, and the incident contact is documented.</w:t>
      </w:r>
    </w:p>
    <w:p>
      <w:pPr>
        <w:numPr>
          <w:ilvl w:val="0"/>
          <w:numId w:val="1027"/>
        </w:numPr>
        <w:pStyle w:val="Compact"/>
      </w:pPr>
      <w:r>
        <w:t xml:space="preserve">A rollback plan is tested, and a deployment window and communication plan are agreed.</w:t>
      </w:r>
    </w:p>
    <w:bookmarkEnd w:id="68"/>
    <w:bookmarkStart w:id="69" w:name="deployment-practices"/>
    <w:p>
      <w:pPr>
        <w:pStyle w:val="Heading3"/>
      </w:pPr>
      <w:r>
        <w:t xml:space="preserve">Deployment practices</w:t>
      </w:r>
    </w:p>
    <w:p>
      <w:pPr>
        <w:numPr>
          <w:ilvl w:val="0"/>
          <w:numId w:val="1028"/>
        </w:numPr>
        <w:pStyle w:val="Compact"/>
      </w:pPr>
      <w:r>
        <w:t xml:space="preserve">Deploy only through the approved pipeline using signed artifacts. Prefer progressive delivery (canary or blue-green) with automated rollback.</w:t>
      </w:r>
    </w:p>
    <w:p>
      <w:pPr>
        <w:numPr>
          <w:ilvl w:val="0"/>
          <w:numId w:val="1028"/>
        </w:numPr>
        <w:pStyle w:val="Compact"/>
      </w:pPr>
      <w:r>
        <w:t xml:space="preserve">Keep development, test and production separate; production access is limited, logged and time-bound (just-in-time).</w:t>
      </w:r>
    </w:p>
    <w:p>
      <w:pPr>
        <w:numPr>
          <w:ilvl w:val="0"/>
          <w:numId w:val="1028"/>
        </w:numPr>
        <w:pStyle w:val="Compact"/>
      </w:pPr>
      <w:r>
        <w:t xml:space="preserve">Document and approve emergency changes, and review them afterwards.</w:t>
      </w:r>
    </w:p>
    <w:bookmarkEnd w:id="69"/>
    <w:bookmarkStart w:id="70" w:name="operations"/>
    <w:p>
      <w:pPr>
        <w:pStyle w:val="Heading3"/>
      </w:pPr>
      <w:r>
        <w:t xml:space="preserve">Operations</w:t>
      </w:r>
    </w:p>
    <w:p>
      <w:pPr>
        <w:numPr>
          <w:ilvl w:val="0"/>
          <w:numId w:val="1029"/>
        </w:numPr>
        <w:pStyle w:val="Compact"/>
      </w:pPr>
      <w:r>
        <w:t xml:space="preserve">Patch operating systems, runtimes, frameworks and libraries on a defined schedule and within the SLAs in Section 17.</w:t>
      </w:r>
    </w:p>
    <w:p>
      <w:pPr>
        <w:numPr>
          <w:ilvl w:val="0"/>
          <w:numId w:val="1029"/>
        </w:numPr>
        <w:pStyle w:val="Compact"/>
      </w:pPr>
      <w:r>
        <w:t xml:space="preserve">Review user, service and administrator access at least quarterly.</w:t>
      </w:r>
    </w:p>
    <w:p>
      <w:pPr>
        <w:numPr>
          <w:ilvl w:val="0"/>
          <w:numId w:val="1029"/>
        </w:numPr>
        <w:pStyle w:val="Compact"/>
      </w:pPr>
      <w:r>
        <w:t xml:space="preserve">Back up critical data, encrypt backups, and test restoration at least twice a year.</w:t>
      </w:r>
    </w:p>
    <w:p>
      <w:pPr>
        <w:numPr>
          <w:ilvl w:val="0"/>
          <w:numId w:val="1029"/>
        </w:numPr>
        <w:pStyle w:val="Compact"/>
      </w:pPr>
      <w:r>
        <w:t xml:space="preserve">Track end-of-life dates, and migrate before support ends. Unsupported software MUST NOT run in production without an approved exception and compensating controls.</w:t>
      </w:r>
    </w:p>
    <w:p>
      <w:pPr>
        <w:numPr>
          <w:ilvl w:val="0"/>
          <w:numId w:val="1029"/>
        </w:numPr>
        <w:pStyle w:val="Compact"/>
      </w:pPr>
      <w:r>
        <w:t xml:space="preserve">Re-assess the risk tier and threat model after major changes.</w:t>
      </w:r>
    </w:p>
    <w:bookmarkEnd w:id="70"/>
    <w:bookmarkStart w:id="71" w:name="retirement-and-decommissioning"/>
    <w:p>
      <w:pPr>
        <w:pStyle w:val="Heading3"/>
      </w:pPr>
      <w:r>
        <w:t xml:space="preserve">Retirement and decommissioning</w:t>
      </w:r>
    </w:p>
    <w:p>
      <w:pPr>
        <w:numPr>
          <w:ilvl w:val="0"/>
          <w:numId w:val="1030"/>
        </w:numPr>
        <w:pStyle w:val="Compact"/>
      </w:pPr>
      <w:r>
        <w:t xml:space="preserve">Remove the application from DNS, load balancers and API gateways; revoke certificates, keys, tokens and service accounts.</w:t>
      </w:r>
    </w:p>
    <w:p>
      <w:pPr>
        <w:numPr>
          <w:ilvl w:val="0"/>
          <w:numId w:val="1030"/>
        </w:numPr>
        <w:pStyle w:val="Compact"/>
      </w:pPr>
      <w:r>
        <w:t xml:space="preserve">Archive or securely delete data according to retention rules and record the disposal.</w:t>
      </w:r>
    </w:p>
    <w:p>
      <w:pPr>
        <w:numPr>
          <w:ilvl w:val="0"/>
          <w:numId w:val="1030"/>
        </w:numPr>
        <w:pStyle w:val="Compact"/>
      </w:pPr>
      <w:r>
        <w:t xml:space="preserve">Remove access, firewall rules, scheduled jobs and monitoring tied to the system.</w:t>
      </w:r>
    </w:p>
    <w:p>
      <w:pPr>
        <w:numPr>
          <w:ilvl w:val="0"/>
          <w:numId w:val="1030"/>
        </w:numPr>
        <w:pStyle w:val="Compact"/>
      </w:pPr>
      <w:r>
        <w:t xml:space="preserve">Update the asset inventory and notify dependent teams.</w:t>
      </w:r>
    </w:p>
    <w:bookmarkEnd w:id="71"/>
    <w:bookmarkEnd w:id="72"/>
    <w:bookmarkStart w:id="74" w:name="application-security-incident-response"/>
    <w:p>
      <w:pPr>
        <w:pStyle w:val="Heading2"/>
      </w:pPr>
      <w:r>
        <w:t xml:space="preserve">19. Application Security Incident Response</w:t>
      </w:r>
    </w:p>
    <w:p>
      <w:pPr>
        <w:pStyle w:val="FirstParagraph"/>
      </w:pPr>
      <w:r>
        <w:t xml:space="preserve">Teams MUST be able to detect, contain and learn from security incidents affecting their applications, following the organization’s Incident Response Plan.</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Stage</w:t>
            </w:r>
          </w:p>
        </w:tc>
        <w:tc>
          <w:tcPr>
            <w:tcW w:w="7296" w:type="dxa"/>
            <w:shd w:val="clear" w:color="auto" w:fill="1F3864"/>
          </w:tcPr>
          <w:p>
            <w:pPr>
              <w:pStyle w:val="Compact"/>
              <w:spacing w:after="0"/>
              <w:jc w:val="left"/>
            </w:pPr>
            <w:r>
              <w:rPr>
                <w:rFonts w:ascii="Calibri" w:hAnsi="Calibri"/>
                <w:b/>
                <w:color w:val="FFFFFF"/>
                <w:sz w:val="19"/>
              </w:rPr>
              <w:t xml:space="preserve">Application team actions</w:t>
            </w:r>
          </w:p>
        </w:tc>
      </w:tr>
      <w:tr>
        <w:trPr>
          <w:cantSplit/>
        </w:trPr>
        <w:tc>
          <w:tcPr>
            <w:tcW w:w="2304" w:type="dxa"/>
            <w:shd w:val="clear" w:color="auto" w:fill="F2F2F2"/>
          </w:tcPr>
          <w:p>
            <w:pPr>
              <w:pStyle w:val="Compact"/>
              <w:spacing w:after="0"/>
              <w:jc w:val="left"/>
            </w:pPr>
            <w:r>
              <w:rPr>
                <w:rFonts w:ascii="Calibri" w:hAnsi="Calibri"/>
                <w:b/>
                <w:sz w:val="19"/>
              </w:rPr>
              <w:t xml:space="preserve">Detect and report</w:t>
            </w:r>
          </w:p>
        </w:tc>
        <w:tc>
          <w:tcPr>
            <w:tcW w:w="7296" w:type="dxa"/>
          </w:tcPr>
          <w:p>
            <w:pPr>
              <w:pStyle w:val="Compact"/>
              <w:spacing w:after="0"/>
              <w:jc w:val="left"/>
            </w:pPr>
            <w:r>
              <w:rPr>
                <w:rFonts w:ascii="Calibri" w:hAnsi="Calibri"/>
                <w:sz w:val="19"/>
              </w:rPr>
              <w:t xml:space="preserve">Report suspected incidents (data exposure, compromised credentials, malicious code, exploited vulnerability) to the security team immediately through the documented channel; do not wait to be sure</w:t>
            </w:r>
          </w:p>
        </w:tc>
      </w:tr>
      <w:tr>
        <w:trPr>
          <w:cantSplit/>
        </w:trPr>
        <w:tc>
          <w:tcPr>
            <w:tcW w:w="2304" w:type="dxa"/>
            <w:shd w:val="clear" w:color="auto" w:fill="F2F2F2"/>
          </w:tcPr>
          <w:p>
            <w:pPr>
              <w:pStyle w:val="Compact"/>
              <w:spacing w:after="0"/>
              <w:jc w:val="left"/>
            </w:pPr>
            <w:r>
              <w:rPr>
                <w:rFonts w:ascii="Calibri" w:hAnsi="Calibri"/>
                <w:b/>
                <w:sz w:val="19"/>
              </w:rPr>
              <w:t xml:space="preserve">Triage</w:t>
            </w:r>
          </w:p>
        </w:tc>
        <w:tc>
          <w:tcPr>
            <w:tcW w:w="7296" w:type="dxa"/>
          </w:tcPr>
          <w:p>
            <w:pPr>
              <w:pStyle w:val="Compact"/>
              <w:spacing w:after="0"/>
              <w:jc w:val="left"/>
            </w:pPr>
            <w:r>
              <w:rPr>
                <w:rFonts w:ascii="Calibri" w:hAnsi="Calibri"/>
                <w:sz w:val="19"/>
              </w:rPr>
              <w:t xml:space="preserve">Confirm scope, classify severity, name an incident lead, and start a timeline log</w:t>
            </w:r>
          </w:p>
        </w:tc>
      </w:tr>
      <w:tr>
        <w:trPr>
          <w:cantSplit/>
        </w:trPr>
        <w:tc>
          <w:tcPr>
            <w:tcW w:w="2304" w:type="dxa"/>
            <w:shd w:val="clear" w:color="auto" w:fill="F2F2F2"/>
          </w:tcPr>
          <w:p>
            <w:pPr>
              <w:pStyle w:val="Compact"/>
              <w:spacing w:after="0"/>
              <w:jc w:val="left"/>
            </w:pPr>
            <w:r>
              <w:rPr>
                <w:rFonts w:ascii="Calibri" w:hAnsi="Calibri"/>
                <w:b/>
                <w:sz w:val="19"/>
              </w:rPr>
              <w:t xml:space="preserve">Contain</w:t>
            </w:r>
          </w:p>
        </w:tc>
        <w:tc>
          <w:tcPr>
            <w:tcW w:w="7296" w:type="dxa"/>
          </w:tcPr>
          <w:p>
            <w:pPr>
              <w:pStyle w:val="Compact"/>
              <w:spacing w:after="0"/>
              <w:jc w:val="left"/>
            </w:pPr>
            <w:r>
              <w:rPr>
                <w:rFonts w:ascii="Calibri" w:hAnsi="Calibri"/>
                <w:sz w:val="19"/>
              </w:rPr>
              <w:t xml:space="preserve">Isolate affected systems, revoke or rotate exposed credentials and tokens, disable compromised accounts, apply virtual patches or feature flags</w:t>
            </w:r>
          </w:p>
        </w:tc>
      </w:tr>
      <w:tr>
        <w:trPr>
          <w:cantSplit/>
        </w:trPr>
        <w:tc>
          <w:tcPr>
            <w:tcW w:w="2304" w:type="dxa"/>
            <w:shd w:val="clear" w:color="auto" w:fill="F2F2F2"/>
          </w:tcPr>
          <w:p>
            <w:pPr>
              <w:pStyle w:val="Compact"/>
              <w:spacing w:after="0"/>
              <w:jc w:val="left"/>
            </w:pPr>
            <w:r>
              <w:rPr>
                <w:rFonts w:ascii="Calibri" w:hAnsi="Calibri"/>
                <w:b/>
                <w:sz w:val="19"/>
              </w:rPr>
              <w:t xml:space="preserve">Eradicate</w:t>
            </w:r>
          </w:p>
        </w:tc>
        <w:tc>
          <w:tcPr>
            <w:tcW w:w="7296" w:type="dxa"/>
          </w:tcPr>
          <w:p>
            <w:pPr>
              <w:pStyle w:val="Compact"/>
              <w:spacing w:after="0"/>
              <w:jc w:val="left"/>
            </w:pPr>
            <w:r>
              <w:rPr>
                <w:rFonts w:ascii="Calibri" w:hAnsi="Calibri"/>
                <w:sz w:val="19"/>
              </w:rPr>
              <w:t xml:space="preserve">Remove malicious code and persistence; patch the root cause; rebuild from trusted images and clean sources</w:t>
            </w:r>
          </w:p>
        </w:tc>
      </w:tr>
      <w:tr>
        <w:trPr>
          <w:cantSplit/>
        </w:trPr>
        <w:tc>
          <w:tcPr>
            <w:tcW w:w="2304" w:type="dxa"/>
            <w:shd w:val="clear" w:color="auto" w:fill="F2F2F2"/>
          </w:tcPr>
          <w:p>
            <w:pPr>
              <w:pStyle w:val="Compact"/>
              <w:spacing w:after="0"/>
              <w:jc w:val="left"/>
            </w:pPr>
            <w:r>
              <w:rPr>
                <w:rFonts w:ascii="Calibri" w:hAnsi="Calibri"/>
                <w:b/>
                <w:sz w:val="19"/>
              </w:rPr>
              <w:t xml:space="preserve">Recover</w:t>
            </w:r>
          </w:p>
        </w:tc>
        <w:tc>
          <w:tcPr>
            <w:tcW w:w="7296" w:type="dxa"/>
          </w:tcPr>
          <w:p>
            <w:pPr>
              <w:pStyle w:val="Compact"/>
              <w:spacing w:after="0"/>
              <w:jc w:val="left"/>
            </w:pPr>
            <w:r>
              <w:rPr>
                <w:rFonts w:ascii="Calibri" w:hAnsi="Calibri"/>
                <w:sz w:val="19"/>
              </w:rPr>
              <w:t xml:space="preserve">Restore from known-good backups, monitor closely, and re-enable services in stages</w:t>
            </w:r>
          </w:p>
        </w:tc>
      </w:tr>
      <w:tr>
        <w:trPr>
          <w:cantSplit/>
        </w:trPr>
        <w:tc>
          <w:tcPr>
            <w:tcW w:w="2304" w:type="dxa"/>
            <w:shd w:val="clear" w:color="auto" w:fill="F2F2F2"/>
          </w:tcPr>
          <w:p>
            <w:pPr>
              <w:pStyle w:val="Compact"/>
              <w:spacing w:after="0"/>
              <w:jc w:val="left"/>
            </w:pPr>
            <w:r>
              <w:rPr>
                <w:rFonts w:ascii="Calibri" w:hAnsi="Calibri"/>
                <w:b/>
                <w:sz w:val="19"/>
              </w:rPr>
              <w:t xml:space="preserve">Notify</w:t>
            </w:r>
          </w:p>
        </w:tc>
        <w:tc>
          <w:tcPr>
            <w:tcW w:w="7296" w:type="dxa"/>
          </w:tcPr>
          <w:p>
            <w:pPr>
              <w:pStyle w:val="Compact"/>
              <w:spacing w:after="0"/>
              <w:jc w:val="left"/>
            </w:pPr>
            <w:r>
              <w:rPr>
                <w:rFonts w:ascii="Calibri" w:hAnsi="Calibri"/>
                <w:sz w:val="19"/>
              </w:rPr>
              <w:t xml:space="preserve">Legal and privacy leads decide on notifying regulators, customers and partners within legal deadlines</w:t>
            </w:r>
          </w:p>
        </w:tc>
      </w:tr>
      <w:tr>
        <w:trPr>
          <w:cantSplit/>
        </w:trPr>
        <w:tc>
          <w:tcPr>
            <w:tcW w:w="2304" w:type="dxa"/>
            <w:shd w:val="clear" w:color="auto" w:fill="F2F2F2"/>
          </w:tcPr>
          <w:p>
            <w:pPr>
              <w:pStyle w:val="Compact"/>
              <w:spacing w:after="0"/>
              <w:jc w:val="left"/>
            </w:pPr>
            <w:r>
              <w:rPr>
                <w:rFonts w:ascii="Calibri" w:hAnsi="Calibri"/>
                <w:b/>
                <w:sz w:val="19"/>
              </w:rPr>
              <w:t xml:space="preserve">Learn</w:t>
            </w:r>
          </w:p>
        </w:tc>
        <w:tc>
          <w:tcPr>
            <w:tcW w:w="7296" w:type="dxa"/>
          </w:tcPr>
          <w:p>
            <w:pPr>
              <w:pStyle w:val="Compact"/>
              <w:spacing w:after="0"/>
              <w:jc w:val="left"/>
            </w:pPr>
            <w:r>
              <w:rPr>
                <w:rFonts w:ascii="Calibri" w:hAnsi="Calibri"/>
                <w:sz w:val="19"/>
              </w:rPr>
              <w:t xml:space="preserve">Hold a blameless post-incident review within 10 business days; record root cause, detection gaps and actions</w:t>
            </w:r>
          </w:p>
        </w:tc>
      </w:tr>
    </w:tbl>
    <w:bookmarkStart w:id="73" w:name="application-specific-preparation"/>
    <w:p>
      <w:pPr>
        <w:pStyle w:val="Heading3"/>
      </w:pPr>
      <w:r>
        <w:t xml:space="preserve">Application-specific preparation</w:t>
      </w:r>
    </w:p>
    <w:p>
      <w:pPr>
        <w:numPr>
          <w:ilvl w:val="0"/>
          <w:numId w:val="1031"/>
        </w:numPr>
        <w:pStyle w:val="Compact"/>
      </w:pPr>
      <w:r>
        <w:t xml:space="preserve">Maintain runbooks for common events: leaked secret, compromised dependency, account takeover, data exposure, ransomware and denial of service.</w:t>
      </w:r>
    </w:p>
    <w:p>
      <w:pPr>
        <w:numPr>
          <w:ilvl w:val="0"/>
          <w:numId w:val="1031"/>
        </w:numPr>
        <w:pStyle w:val="Compact"/>
      </w:pPr>
      <w:r>
        <w:t xml:space="preserve">Keep an up-to-date inventory of applications, owners, dependencies (SBOM) and data flows so impact can be assessed quickly.</w:t>
      </w:r>
    </w:p>
    <w:p>
      <w:pPr>
        <w:numPr>
          <w:ilvl w:val="0"/>
          <w:numId w:val="1031"/>
        </w:numPr>
        <w:pStyle w:val="Compact"/>
      </w:pPr>
      <w:r>
        <w:t xml:space="preserve">Preserve evidence: protect logs, snapshots and forensic copies, and keep a chain of custody for serious incidents.</w:t>
      </w:r>
    </w:p>
    <w:p>
      <w:pPr>
        <w:numPr>
          <w:ilvl w:val="0"/>
          <w:numId w:val="1031"/>
        </w:numPr>
        <w:pStyle w:val="Compact"/>
      </w:pPr>
      <w:r>
        <w:t xml:space="preserve">Practise through tabletop exercises at least annually, including a supply chain scenario.</w:t>
      </w:r>
    </w:p>
    <w:p>
      <w:pPr>
        <w:numPr>
          <w:ilvl w:val="0"/>
          <w:numId w:val="1031"/>
        </w:numPr>
        <w:pStyle w:val="Compact"/>
      </w:pPr>
      <w:r>
        <w:t xml:space="preserve">Feed lessons into the SDLC: new tests, new detection rules, updated standards and targeted training.</w:t>
      </w:r>
    </w:p>
    <w:bookmarkEnd w:id="73"/>
    <w:bookmarkEnd w:id="74"/>
    <w:bookmarkStart w:id="79" w:name="X86c7c73d0345f8083927cfc0385e798d687b762"/>
    <w:p>
      <w:pPr>
        <w:pStyle w:val="Heading2"/>
      </w:pPr>
      <w:r>
        <w:t xml:space="preserve">20. Third-Party, Open Source and Outsourced Development</w:t>
      </w:r>
    </w:p>
    <w:p>
      <w:pPr>
        <w:pStyle w:val="FirstParagraph"/>
      </w:pPr>
      <w:r>
        <w:t xml:space="preserve">Vendors and contractors MUST meet the same security standard as internal teams, because their weaknesses become the organization’s weaknesses.</w:t>
      </w:r>
    </w:p>
    <w:bookmarkStart w:id="75" w:name="before-engagement"/>
    <w:p>
      <w:pPr>
        <w:pStyle w:val="Heading3"/>
      </w:pPr>
      <w:r>
        <w:t xml:space="preserve">Before engagement</w:t>
      </w:r>
    </w:p>
    <w:p>
      <w:pPr>
        <w:numPr>
          <w:ilvl w:val="0"/>
          <w:numId w:val="1032"/>
        </w:numPr>
        <w:pStyle w:val="Compact"/>
      </w:pPr>
      <w:r>
        <w:t xml:space="preserve">Run security due diligence proportional to risk: questionnaire, evidence of certification (ISO 27001, SOC 2), secure development practices, incident history and sub-contractor use.</w:t>
      </w:r>
    </w:p>
    <w:p>
      <w:pPr>
        <w:numPr>
          <w:ilvl w:val="0"/>
          <w:numId w:val="1032"/>
        </w:numPr>
        <w:pStyle w:val="Compact"/>
      </w:pPr>
      <w:r>
        <w:t xml:space="preserve">Include security clauses in contracts: compliance with these guidelines, right to audit and test, vulnerability disclosure and fix timelines, breach notification within 24 to 72 hours, data protection and confidentiality terms, and return or secure deletion of data and code at exit.</w:t>
      </w:r>
    </w:p>
    <w:p>
      <w:pPr>
        <w:numPr>
          <w:ilvl w:val="0"/>
          <w:numId w:val="1032"/>
        </w:numPr>
        <w:pStyle w:val="Compact"/>
      </w:pPr>
      <w:r>
        <w:t xml:space="preserve">Require an SBOM and licence information for delivered software.</w:t>
      </w:r>
    </w:p>
    <w:bookmarkEnd w:id="75"/>
    <w:bookmarkStart w:id="76" w:name="during-engagement"/>
    <w:p>
      <w:pPr>
        <w:pStyle w:val="Heading3"/>
      </w:pPr>
      <w:r>
        <w:t xml:space="preserve">During engagement</w:t>
      </w:r>
    </w:p>
    <w:p>
      <w:pPr>
        <w:numPr>
          <w:ilvl w:val="0"/>
          <w:numId w:val="1033"/>
        </w:numPr>
        <w:pStyle w:val="Compact"/>
      </w:pPr>
      <w:r>
        <w:t xml:space="preserve">Give contractors named, least-privilege, time-limited access with MFA; no shared accounts. Prefer managed, monitored development environments over personal devices.</w:t>
      </w:r>
    </w:p>
    <w:p>
      <w:pPr>
        <w:numPr>
          <w:ilvl w:val="0"/>
          <w:numId w:val="1033"/>
        </w:numPr>
        <w:pStyle w:val="Compact"/>
      </w:pPr>
      <w:r>
        <w:t xml:space="preserve">Keep source code in the organization’s repositories and pipelines, not the vendor’s.</w:t>
      </w:r>
    </w:p>
    <w:p>
      <w:pPr>
        <w:numPr>
          <w:ilvl w:val="0"/>
          <w:numId w:val="1033"/>
        </w:numPr>
        <w:pStyle w:val="Compact"/>
      </w:pPr>
      <w:r>
        <w:t xml:space="preserve">Apply the same code review, scanning and testing gates to delivered code. Acceptance testing MUST include security checks.</w:t>
      </w:r>
    </w:p>
    <w:p>
      <w:pPr>
        <w:numPr>
          <w:ilvl w:val="0"/>
          <w:numId w:val="1033"/>
        </w:numPr>
        <w:pStyle w:val="Compact"/>
      </w:pPr>
      <w:r>
        <w:t xml:space="preserve">Review the security of SaaS and API integrations before use: data shared, authentication method, permissions requested, and exit options.</w:t>
      </w:r>
    </w:p>
    <w:bookmarkEnd w:id="76"/>
    <w:bookmarkStart w:id="77" w:name="open-source"/>
    <w:p>
      <w:pPr>
        <w:pStyle w:val="Heading3"/>
      </w:pPr>
      <w:r>
        <w:t xml:space="preserve">Open source</w:t>
      </w:r>
    </w:p>
    <w:p>
      <w:pPr>
        <w:numPr>
          <w:ilvl w:val="0"/>
          <w:numId w:val="1034"/>
        </w:numPr>
        <w:pStyle w:val="Compact"/>
      </w:pPr>
      <w:r>
        <w:t xml:space="preserve">Use open source under the supply chain rules in Section 11, and track versions and licences centrally.</w:t>
      </w:r>
    </w:p>
    <w:p>
      <w:pPr>
        <w:numPr>
          <w:ilvl w:val="0"/>
          <w:numId w:val="1034"/>
        </w:numPr>
        <w:pStyle w:val="Compact"/>
      </w:pPr>
      <w:r>
        <w:t xml:space="preserve">Contribute fixes upstream through approved processes; never publish internal code, configuration or secrets in public repositories.</w:t>
      </w:r>
    </w:p>
    <w:p>
      <w:pPr>
        <w:numPr>
          <w:ilvl w:val="0"/>
          <w:numId w:val="1034"/>
        </w:numPr>
        <w:pStyle w:val="Compact"/>
      </w:pPr>
      <w:r>
        <w:t xml:space="preserve">For critical components, assess project health and plan for abandoned or compromised projects (fork, replace or fund support).</w:t>
      </w:r>
    </w:p>
    <w:bookmarkEnd w:id="77"/>
    <w:bookmarkStart w:id="78" w:name="offboarding"/>
    <w:p>
      <w:pPr>
        <w:pStyle w:val="Heading3"/>
      </w:pPr>
      <w:r>
        <w:t xml:space="preserve">Offboarding</w:t>
      </w:r>
    </w:p>
    <w:p>
      <w:pPr>
        <w:pStyle w:val="FirstParagraph"/>
      </w:pPr>
      <w:r>
        <w:t xml:space="preserve">Revoke all access, credentials and tokens on the last day; collect devices and code; and confirm deletion of organizational data.</w:t>
      </w:r>
    </w:p>
    <w:bookmarkEnd w:id="78"/>
    <w:bookmarkEnd w:id="79"/>
    <w:bookmarkStart w:id="82" w:name="X6c138eb0f43016e69d5becc1bf5d55fe9bca61f"/>
    <w:p>
      <w:pPr>
        <w:pStyle w:val="Heading2"/>
      </w:pPr>
      <w:r>
        <w:t xml:space="preserve">21. AI-Assisted Development and AI/LLM Application Security</w:t>
      </w:r>
    </w:p>
    <w:p>
      <w:pPr>
        <w:pStyle w:val="FirstParagraph"/>
      </w:pPr>
      <w:r>
        <w:t xml:space="preserve">AI coding tools speed up work but do not remove responsibility: the developer who commits generated code owns it and MUST review it like any other code.</w:t>
      </w:r>
    </w:p>
    <w:bookmarkStart w:id="80" w:name="using-ai-coding-assistants"/>
    <w:p>
      <w:pPr>
        <w:pStyle w:val="Heading3"/>
      </w:pPr>
      <w:r>
        <w:t xml:space="preserve">Using AI coding assistants</w:t>
      </w:r>
    </w:p>
    <w:p>
      <w:pPr>
        <w:numPr>
          <w:ilvl w:val="0"/>
          <w:numId w:val="1035"/>
        </w:numPr>
        <w:pStyle w:val="Compact"/>
      </w:pPr>
      <w:r>
        <w:t xml:space="preserve">Use only approved tools and accounts, configured so that prompts and code are not used to train external models unless the contract allows it.</w:t>
      </w:r>
    </w:p>
    <w:p>
      <w:pPr>
        <w:numPr>
          <w:ilvl w:val="0"/>
          <w:numId w:val="1035"/>
        </w:numPr>
        <w:pStyle w:val="Compact"/>
      </w:pPr>
      <w:r>
        <w:t xml:space="preserve">Never paste secrets, credentials, personal data, customer data or Restricted source code into unapproved AI services.</w:t>
      </w:r>
    </w:p>
    <w:p>
      <w:pPr>
        <w:numPr>
          <w:ilvl w:val="0"/>
          <w:numId w:val="1035"/>
        </w:numPr>
        <w:pStyle w:val="Compact"/>
      </w:pPr>
      <w:r>
        <w:t xml:space="preserve">Review generated code for the flaws in Section 6; AI output can contain injection flaws, weak cryptography, outdated APIs and invented (non-existent) package names that attackers can register.</w:t>
      </w:r>
    </w:p>
    <w:p>
      <w:pPr>
        <w:numPr>
          <w:ilvl w:val="0"/>
          <w:numId w:val="1035"/>
        </w:numPr>
        <w:pStyle w:val="Compact"/>
      </w:pPr>
      <w:r>
        <w:t xml:space="preserve">Verify every suggested dependency exists, is reputable and passes the checks in Section 11.</w:t>
      </w:r>
    </w:p>
    <w:p>
      <w:pPr>
        <w:numPr>
          <w:ilvl w:val="0"/>
          <w:numId w:val="1035"/>
        </w:numPr>
        <w:pStyle w:val="Compact"/>
      </w:pPr>
      <w:r>
        <w:t xml:space="preserve">Generated code goes through the same scanning, testing and peer review as human-written code. Label substantial AI-generated contributions in the pull request where policy requires it.</w:t>
      </w:r>
    </w:p>
    <w:p>
      <w:pPr>
        <w:numPr>
          <w:ilvl w:val="0"/>
          <w:numId w:val="1035"/>
        </w:numPr>
        <w:pStyle w:val="Compact"/>
      </w:pPr>
      <w:r>
        <w:t xml:space="preserve">Restrict the permissions of coding agents: least-privilege tokens, sandboxed environments, no production credentials, human approval for commands that change systems, and logging of agent actions.</w:t>
      </w:r>
    </w:p>
    <w:bookmarkEnd w:id="80"/>
    <w:bookmarkStart w:id="81" w:name="building-applications-that-use-llms"/>
    <w:p>
      <w:pPr>
        <w:pStyle w:val="Heading3"/>
      </w:pPr>
      <w:r>
        <w:t xml:space="preserve">Building applications that use LLMs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Risk</w:t>
            </w:r>
          </w:p>
        </w:tc>
        <w:tc>
          <w:tcPr>
            <w:tcW w:w="7296" w:type="dxa"/>
            <w:shd w:val="clear" w:color="auto" w:fill="1F3864"/>
          </w:tcPr>
          <w:p>
            <w:pPr>
              <w:pStyle w:val="Compact"/>
              <w:spacing w:after="0"/>
              <w:jc w:val="left"/>
            </w:pPr>
            <w:r>
              <w:rPr>
                <w:rFonts w:ascii="Calibri" w:hAnsi="Calibri"/>
                <w:b/>
                <w:color w:val="FFFFFF"/>
                <w:sz w:val="19"/>
              </w:rPr>
              <w:t xml:space="preserve">Required controls</w:t>
            </w:r>
          </w:p>
        </w:tc>
      </w:tr>
      <w:tr>
        <w:trPr>
          <w:cantSplit/>
        </w:trPr>
        <w:tc>
          <w:tcPr>
            <w:tcW w:w="2304" w:type="dxa"/>
            <w:shd w:val="clear" w:color="auto" w:fill="F2F2F2"/>
          </w:tcPr>
          <w:p>
            <w:pPr>
              <w:pStyle w:val="Compact"/>
              <w:spacing w:after="0"/>
              <w:jc w:val="left"/>
            </w:pPr>
            <w:r>
              <w:rPr>
                <w:rFonts w:ascii="Calibri" w:hAnsi="Calibri"/>
                <w:b/>
                <w:sz w:val="19"/>
              </w:rPr>
              <w:t xml:space="preserve">Prompt injection (direct and via retrieved content)</w:t>
            </w:r>
          </w:p>
        </w:tc>
        <w:tc>
          <w:tcPr>
            <w:tcW w:w="7296" w:type="dxa"/>
          </w:tcPr>
          <w:p>
            <w:pPr>
              <w:pStyle w:val="Compact"/>
              <w:spacing w:after="0"/>
              <w:jc w:val="left"/>
            </w:pPr>
            <w:r>
              <w:rPr>
                <w:rFonts w:ascii="Calibri" w:hAnsi="Calibri"/>
                <w:sz w:val="19"/>
              </w:rPr>
              <w:t xml:space="preserve">Treat all model input and retrieved documents as untrusted; separate instructions from data; limit what the model can do; require human approval for high-impact actions</w:t>
            </w:r>
          </w:p>
        </w:tc>
      </w:tr>
      <w:tr>
        <w:trPr>
          <w:cantSplit/>
        </w:trPr>
        <w:tc>
          <w:tcPr>
            <w:tcW w:w="2304" w:type="dxa"/>
            <w:shd w:val="clear" w:color="auto" w:fill="F2F2F2"/>
          </w:tcPr>
          <w:p>
            <w:pPr>
              <w:pStyle w:val="Compact"/>
              <w:spacing w:after="0"/>
              <w:jc w:val="left"/>
            </w:pPr>
            <w:r>
              <w:rPr>
                <w:rFonts w:ascii="Calibri" w:hAnsi="Calibri"/>
                <w:b/>
                <w:sz w:val="19"/>
              </w:rPr>
              <w:t xml:space="preserve">Insecure output handling</w:t>
            </w:r>
          </w:p>
        </w:tc>
        <w:tc>
          <w:tcPr>
            <w:tcW w:w="7296" w:type="dxa"/>
          </w:tcPr>
          <w:p>
            <w:pPr>
              <w:pStyle w:val="Compact"/>
              <w:spacing w:after="0"/>
              <w:jc w:val="left"/>
            </w:pPr>
            <w:r>
              <w:rPr>
                <w:rFonts w:ascii="Calibri" w:hAnsi="Calibri"/>
                <w:sz w:val="19"/>
              </w:rPr>
              <w:t xml:space="preserve">Treat model output as untrusted input: validate, encode and never pass it unchecked to shells, SQL, browsers or APIs</w:t>
            </w:r>
          </w:p>
        </w:tc>
      </w:tr>
      <w:tr>
        <w:trPr>
          <w:cantSplit/>
        </w:trPr>
        <w:tc>
          <w:tcPr>
            <w:tcW w:w="2304" w:type="dxa"/>
            <w:shd w:val="clear" w:color="auto" w:fill="F2F2F2"/>
          </w:tcPr>
          <w:p>
            <w:pPr>
              <w:pStyle w:val="Compact"/>
              <w:spacing w:after="0"/>
              <w:jc w:val="left"/>
            </w:pPr>
            <w:r>
              <w:rPr>
                <w:rFonts w:ascii="Calibri" w:hAnsi="Calibri"/>
                <w:b/>
                <w:sz w:val="19"/>
              </w:rPr>
              <w:t xml:space="preserve">Sensitive information disclosure</w:t>
            </w:r>
          </w:p>
        </w:tc>
        <w:tc>
          <w:tcPr>
            <w:tcW w:w="7296" w:type="dxa"/>
          </w:tcPr>
          <w:p>
            <w:pPr>
              <w:pStyle w:val="Compact"/>
              <w:spacing w:after="0"/>
              <w:jc w:val="left"/>
            </w:pPr>
            <w:r>
              <w:rPr>
                <w:rFonts w:ascii="Calibri" w:hAnsi="Calibri"/>
                <w:sz w:val="19"/>
              </w:rPr>
              <w:t xml:space="preserve">Filter data sent to models; enforce user-level access control on retrieval; do not train on confidential data without approval</w:t>
            </w:r>
          </w:p>
        </w:tc>
      </w:tr>
      <w:tr>
        <w:trPr>
          <w:cantSplit/>
        </w:trPr>
        <w:tc>
          <w:tcPr>
            <w:tcW w:w="2304" w:type="dxa"/>
            <w:shd w:val="clear" w:color="auto" w:fill="F2F2F2"/>
          </w:tcPr>
          <w:p>
            <w:pPr>
              <w:pStyle w:val="Compact"/>
              <w:spacing w:after="0"/>
              <w:jc w:val="left"/>
            </w:pPr>
            <w:r>
              <w:rPr>
                <w:rFonts w:ascii="Calibri" w:hAnsi="Calibri"/>
                <w:b/>
                <w:sz w:val="19"/>
              </w:rPr>
              <w:t xml:space="preserve">Excessive agency</w:t>
            </w:r>
          </w:p>
        </w:tc>
        <w:tc>
          <w:tcPr>
            <w:tcW w:w="7296" w:type="dxa"/>
          </w:tcPr>
          <w:p>
            <w:pPr>
              <w:pStyle w:val="Compact"/>
              <w:spacing w:after="0"/>
              <w:jc w:val="left"/>
            </w:pPr>
            <w:r>
              <w:rPr>
                <w:rFonts w:ascii="Calibri" w:hAnsi="Calibri"/>
                <w:sz w:val="19"/>
              </w:rPr>
              <w:t xml:space="preserve">Give tools and agents the minimum permissions; scope tokens per user; allow-list tools; add confirmation steps and spending limits</w:t>
            </w:r>
          </w:p>
        </w:tc>
      </w:tr>
      <w:tr>
        <w:trPr>
          <w:cantSplit/>
        </w:trPr>
        <w:tc>
          <w:tcPr>
            <w:tcW w:w="2304" w:type="dxa"/>
            <w:shd w:val="clear" w:color="auto" w:fill="F2F2F2"/>
          </w:tcPr>
          <w:p>
            <w:pPr>
              <w:pStyle w:val="Compact"/>
              <w:spacing w:after="0"/>
              <w:jc w:val="left"/>
            </w:pPr>
            <w:r>
              <w:rPr>
                <w:rFonts w:ascii="Calibri" w:hAnsi="Calibri"/>
                <w:b/>
                <w:sz w:val="19"/>
              </w:rPr>
              <w:t xml:space="preserve">Supply chain (models, datasets, plugins)</w:t>
            </w:r>
          </w:p>
        </w:tc>
        <w:tc>
          <w:tcPr>
            <w:tcW w:w="7296" w:type="dxa"/>
          </w:tcPr>
          <w:p>
            <w:pPr>
              <w:pStyle w:val="Compact"/>
              <w:spacing w:after="0"/>
              <w:jc w:val="left"/>
            </w:pPr>
            <w:r>
              <w:rPr>
                <w:rFonts w:ascii="Calibri" w:hAnsi="Calibri"/>
                <w:sz w:val="19"/>
              </w:rPr>
              <w:t xml:space="preserve">Use trusted sources, verify hashes, prefer safe formats such as safetensors, scan and pin model versions</w:t>
            </w:r>
          </w:p>
        </w:tc>
      </w:tr>
      <w:tr>
        <w:trPr>
          <w:cantSplit/>
        </w:trPr>
        <w:tc>
          <w:tcPr>
            <w:tcW w:w="2304" w:type="dxa"/>
            <w:shd w:val="clear" w:color="auto" w:fill="F2F2F2"/>
          </w:tcPr>
          <w:p>
            <w:pPr>
              <w:pStyle w:val="Compact"/>
              <w:spacing w:after="0"/>
              <w:jc w:val="left"/>
            </w:pPr>
            <w:r>
              <w:rPr>
                <w:rFonts w:ascii="Calibri" w:hAnsi="Calibri"/>
                <w:b/>
                <w:sz w:val="19"/>
              </w:rPr>
              <w:t xml:space="preserve">Data and model poisoning</w:t>
            </w:r>
          </w:p>
        </w:tc>
        <w:tc>
          <w:tcPr>
            <w:tcW w:w="7296" w:type="dxa"/>
          </w:tcPr>
          <w:p>
            <w:pPr>
              <w:pStyle w:val="Compact"/>
              <w:spacing w:after="0"/>
              <w:jc w:val="left"/>
            </w:pPr>
            <w:r>
              <w:rPr>
                <w:rFonts w:ascii="Calibri" w:hAnsi="Calibri"/>
                <w:sz w:val="19"/>
              </w:rPr>
              <w:t xml:space="preserve">Control training and fine-tuning data provenance; monitor for anomalous outputs</w:t>
            </w:r>
          </w:p>
        </w:tc>
      </w:tr>
      <w:tr>
        <w:trPr>
          <w:cantSplit/>
        </w:trPr>
        <w:tc>
          <w:tcPr>
            <w:tcW w:w="2304" w:type="dxa"/>
            <w:shd w:val="clear" w:color="auto" w:fill="F2F2F2"/>
          </w:tcPr>
          <w:p>
            <w:pPr>
              <w:pStyle w:val="Compact"/>
              <w:spacing w:after="0"/>
              <w:jc w:val="left"/>
            </w:pPr>
            <w:r>
              <w:rPr>
                <w:rFonts w:ascii="Calibri" w:hAnsi="Calibri"/>
                <w:b/>
                <w:sz w:val="19"/>
              </w:rPr>
              <w:t xml:space="preserve">System prompt leakage</w:t>
            </w:r>
          </w:p>
        </w:tc>
        <w:tc>
          <w:tcPr>
            <w:tcW w:w="7296" w:type="dxa"/>
          </w:tcPr>
          <w:p>
            <w:pPr>
              <w:pStyle w:val="Compact"/>
              <w:spacing w:after="0"/>
              <w:jc w:val="left"/>
            </w:pPr>
            <w:r>
              <w:rPr>
                <w:rFonts w:ascii="Calibri" w:hAnsi="Calibri"/>
                <w:sz w:val="19"/>
              </w:rPr>
              <w:t xml:space="preserve">Never place secrets in prompts; assume prompts can be extracted</w:t>
            </w:r>
          </w:p>
        </w:tc>
      </w:tr>
      <w:tr>
        <w:trPr>
          <w:cantSplit/>
        </w:trPr>
        <w:tc>
          <w:tcPr>
            <w:tcW w:w="2304" w:type="dxa"/>
            <w:shd w:val="clear" w:color="auto" w:fill="F2F2F2"/>
          </w:tcPr>
          <w:p>
            <w:pPr>
              <w:pStyle w:val="Compact"/>
              <w:spacing w:after="0"/>
              <w:jc w:val="left"/>
            </w:pPr>
            <w:r>
              <w:rPr>
                <w:rFonts w:ascii="Calibri" w:hAnsi="Calibri"/>
                <w:b/>
                <w:sz w:val="19"/>
              </w:rPr>
              <w:t xml:space="preserve">Unbounded consumption</w:t>
            </w:r>
          </w:p>
        </w:tc>
        <w:tc>
          <w:tcPr>
            <w:tcW w:w="7296" w:type="dxa"/>
          </w:tcPr>
          <w:p>
            <w:pPr>
              <w:pStyle w:val="Compact"/>
              <w:spacing w:after="0"/>
              <w:jc w:val="left"/>
            </w:pPr>
            <w:r>
              <w:rPr>
                <w:rFonts w:ascii="Calibri" w:hAnsi="Calibri"/>
                <w:sz w:val="19"/>
              </w:rPr>
              <w:t xml:space="preserve">Rate limit, set token and cost limits, and monitor usage</w:t>
            </w:r>
          </w:p>
        </w:tc>
      </w:tr>
    </w:tbl>
    <w:p>
      <w:pPr>
        <w:numPr>
          <w:ilvl w:val="0"/>
          <w:numId w:val="1036"/>
        </w:numPr>
        <w:pStyle w:val="Compact"/>
      </w:pPr>
      <w:r>
        <w:t xml:space="preserve">Test AI features with adversarial prompts (red teaming) before release and after model or prompt changes.</w:t>
      </w:r>
    </w:p>
    <w:p>
      <w:pPr>
        <w:numPr>
          <w:ilvl w:val="0"/>
          <w:numId w:val="1036"/>
        </w:numPr>
        <w:pStyle w:val="Compact"/>
      </w:pPr>
      <w:r>
        <w:t xml:space="preserve">Log prompts, tool calls and outputs where privacy law allows, and protect those logs as sensitive data.</w:t>
      </w:r>
    </w:p>
    <w:p>
      <w:pPr>
        <w:numPr>
          <w:ilvl w:val="0"/>
          <w:numId w:val="1036"/>
        </w:numPr>
        <w:pStyle w:val="Compact"/>
      </w:pPr>
      <w:r>
        <w:t xml:space="preserve">Follow the OWASP Top 10 for LLM Applications and NIST AI Risk Management Framework, and record model versions in the SBOM or an AI bill of materials.</w:t>
      </w:r>
    </w:p>
    <w:bookmarkEnd w:id="81"/>
    <w:bookmarkEnd w:id="82"/>
    <w:bookmarkStart w:id="85" w:name="training-security-champions-and-culture"/>
    <w:p>
      <w:pPr>
        <w:pStyle w:val="Heading2"/>
      </w:pPr>
      <w:r>
        <w:t xml:space="preserve">22. Training, Security Champions and Culture</w:t>
      </w:r>
    </w:p>
    <w:p>
      <w:pPr>
        <w:pStyle w:val="FirstParagraph"/>
      </w:pPr>
      <w:r>
        <w:t xml:space="preserve">People write the code, so secure habits come from regular, role-specific training and a team culture that rewards finding and fixing flaws.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1920"/>
        <w:gridCol w:w="3840"/>
        <w:gridCol w:w="3840"/>
      </w:tblGrid>
      <w:tr>
        <w:trPr>
          <w:tblHeader w:val="true"/>
          <w:cantSplit/>
          <w:tblHeader/>
        </w:trPr>
        <w:tc>
          <w:tcPr>
            <w:tcW w:w="1920" w:type="dxa"/>
            <w:shd w:val="clear" w:color="auto" w:fill="1F3864"/>
          </w:tcPr>
          <w:p>
            <w:pPr>
              <w:pStyle w:val="Compact"/>
              <w:spacing w:after="0"/>
              <w:jc w:val="left"/>
            </w:pPr>
            <w:r>
              <w:rPr>
                <w:rFonts w:ascii="Calibri" w:hAnsi="Calibri"/>
                <w:b/>
                <w:color w:val="FFFFFF"/>
                <w:sz w:val="19"/>
              </w:rPr>
              <w:t xml:space="preserve">Audience</w:t>
            </w:r>
          </w:p>
        </w:tc>
        <w:tc>
          <w:tcPr>
            <w:tcW w:w="3840" w:type="dxa"/>
            <w:shd w:val="clear" w:color="auto" w:fill="1F3864"/>
          </w:tcPr>
          <w:p>
            <w:pPr>
              <w:pStyle w:val="Compact"/>
              <w:spacing w:after="0"/>
              <w:jc w:val="left"/>
            </w:pPr>
            <w:r>
              <w:rPr>
                <w:rFonts w:ascii="Calibri" w:hAnsi="Calibri"/>
                <w:b/>
                <w:color w:val="FFFFFF"/>
                <w:sz w:val="19"/>
              </w:rPr>
              <w:t xml:space="preserve">Training</w:t>
            </w:r>
          </w:p>
        </w:tc>
        <w:tc>
          <w:tcPr>
            <w:tcW w:w="3840" w:type="dxa"/>
            <w:shd w:val="clear" w:color="auto" w:fill="1F3864"/>
          </w:tcPr>
          <w:p>
            <w:pPr>
              <w:pStyle w:val="Compact"/>
              <w:spacing w:after="0"/>
              <w:jc w:val="left"/>
            </w:pPr>
            <w:r>
              <w:rPr>
                <w:rFonts w:ascii="Calibri" w:hAnsi="Calibri"/>
                <w:b/>
                <w:color w:val="FFFFFF"/>
                <w:sz w:val="19"/>
              </w:rPr>
              <w:t xml:space="preserve">Frequency</w:t>
            </w:r>
          </w:p>
        </w:tc>
      </w:tr>
      <w:tr>
        <w:trPr>
          <w:cantSplit/>
        </w:trPr>
        <w:tc>
          <w:tcPr>
            <w:tcW w:w="1920" w:type="dxa"/>
            <w:shd w:val="clear" w:color="auto" w:fill="F2F2F2"/>
          </w:tcPr>
          <w:p>
            <w:pPr>
              <w:pStyle w:val="Compact"/>
              <w:spacing w:after="0"/>
              <w:jc w:val="left"/>
            </w:pPr>
            <w:r>
              <w:rPr>
                <w:rFonts w:ascii="Calibri" w:hAnsi="Calibri"/>
                <w:b/>
                <w:sz w:val="19"/>
              </w:rPr>
              <w:t xml:space="preserve">All developers</w:t>
            </w:r>
          </w:p>
        </w:tc>
        <w:tc>
          <w:tcPr>
            <w:tcW w:w="3840" w:type="dxa"/>
          </w:tcPr>
          <w:p>
            <w:pPr>
              <w:pStyle w:val="Compact"/>
              <w:spacing w:after="0"/>
              <w:jc w:val="left"/>
            </w:pPr>
            <w:r>
              <w:rPr>
                <w:rFonts w:ascii="Calibri" w:hAnsi="Calibri"/>
                <w:sz w:val="19"/>
              </w:rPr>
              <w:t xml:space="preserve">Secure coding fundamentals, OWASP Top 10, secrets handling, using AI tools safely</w:t>
            </w:r>
          </w:p>
        </w:tc>
        <w:tc>
          <w:tcPr>
            <w:tcW w:w="3840" w:type="dxa"/>
          </w:tcPr>
          <w:p>
            <w:pPr>
              <w:pStyle w:val="Compact"/>
              <w:spacing w:after="0"/>
              <w:jc w:val="left"/>
            </w:pPr>
            <w:r>
              <w:rPr>
                <w:rFonts w:ascii="Calibri" w:hAnsi="Calibri"/>
                <w:sz w:val="19"/>
              </w:rPr>
              <w:t xml:space="preserve">On joining (within 30 days) and annually</w:t>
            </w:r>
          </w:p>
        </w:tc>
      </w:tr>
      <w:tr>
        <w:trPr>
          <w:cantSplit/>
        </w:trPr>
        <w:tc>
          <w:tcPr>
            <w:tcW w:w="1920" w:type="dxa"/>
            <w:shd w:val="clear" w:color="auto" w:fill="F2F2F2"/>
          </w:tcPr>
          <w:p>
            <w:pPr>
              <w:pStyle w:val="Compact"/>
              <w:spacing w:after="0"/>
              <w:jc w:val="left"/>
            </w:pPr>
            <w:r>
              <w:rPr>
                <w:rFonts w:ascii="Calibri" w:hAnsi="Calibri"/>
                <w:b/>
                <w:sz w:val="19"/>
              </w:rPr>
              <w:t xml:space="preserve">Developers on Tier 1 and 2 systems</w:t>
            </w:r>
          </w:p>
        </w:tc>
        <w:tc>
          <w:tcPr>
            <w:tcW w:w="3840" w:type="dxa"/>
          </w:tcPr>
          <w:p>
            <w:pPr>
              <w:pStyle w:val="Compact"/>
              <w:spacing w:after="0"/>
              <w:jc w:val="left"/>
            </w:pPr>
            <w:r>
              <w:rPr>
                <w:rFonts w:ascii="Calibri" w:hAnsi="Calibri"/>
                <w:sz w:val="19"/>
              </w:rPr>
              <w:t xml:space="preserve">Language-specific secure coding, hands-on labs, threat modeling</w:t>
            </w:r>
          </w:p>
        </w:tc>
        <w:tc>
          <w:tcPr>
            <w:tcW w:w="3840" w:type="dxa"/>
          </w:tcPr>
          <w:p>
            <w:pPr>
              <w:pStyle w:val="Compact"/>
              <w:spacing w:after="0"/>
              <w:jc w:val="left"/>
            </w:pPr>
            <w:r>
              <w:rPr>
                <w:rFonts w:ascii="Calibri" w:hAnsi="Calibri"/>
                <w:sz w:val="19"/>
              </w:rPr>
              <w:t xml:space="preserve">Annually</w:t>
            </w:r>
          </w:p>
        </w:tc>
      </w:tr>
      <w:tr>
        <w:trPr>
          <w:cantSplit/>
        </w:trPr>
        <w:tc>
          <w:tcPr>
            <w:tcW w:w="1920" w:type="dxa"/>
            <w:shd w:val="clear" w:color="auto" w:fill="F2F2F2"/>
          </w:tcPr>
          <w:p>
            <w:pPr>
              <w:pStyle w:val="Compact"/>
              <w:spacing w:after="0"/>
              <w:jc w:val="left"/>
            </w:pPr>
            <w:r>
              <w:rPr>
                <w:rFonts w:ascii="Calibri" w:hAnsi="Calibri"/>
                <w:b/>
                <w:sz w:val="19"/>
              </w:rPr>
              <w:t xml:space="preserve">Security champions</w:t>
            </w:r>
          </w:p>
        </w:tc>
        <w:tc>
          <w:tcPr>
            <w:tcW w:w="3840" w:type="dxa"/>
          </w:tcPr>
          <w:p>
            <w:pPr>
              <w:pStyle w:val="Compact"/>
              <w:spacing w:after="0"/>
              <w:jc w:val="left"/>
            </w:pPr>
            <w:r>
              <w:rPr>
                <w:rFonts w:ascii="Calibri" w:hAnsi="Calibri"/>
                <w:sz w:val="19"/>
              </w:rPr>
              <w:t xml:space="preserve">Advanced threat modeling, triage, code review, coaching</w:t>
            </w:r>
          </w:p>
        </w:tc>
        <w:tc>
          <w:tcPr>
            <w:tcW w:w="3840" w:type="dxa"/>
          </w:tcPr>
          <w:p>
            <w:pPr>
              <w:pStyle w:val="Compact"/>
              <w:spacing w:after="0"/>
              <w:jc w:val="left"/>
            </w:pPr>
            <w:r>
              <w:rPr>
                <w:rFonts w:ascii="Calibri" w:hAnsi="Calibri"/>
                <w:sz w:val="19"/>
              </w:rPr>
              <w:t xml:space="preserve">On appointment and twice a year</w:t>
            </w:r>
          </w:p>
        </w:tc>
      </w:tr>
      <w:tr>
        <w:trPr>
          <w:cantSplit/>
        </w:trPr>
        <w:tc>
          <w:tcPr>
            <w:tcW w:w="1920" w:type="dxa"/>
            <w:shd w:val="clear" w:color="auto" w:fill="F2F2F2"/>
          </w:tcPr>
          <w:p>
            <w:pPr>
              <w:pStyle w:val="Compact"/>
              <w:spacing w:after="0"/>
              <w:jc w:val="left"/>
            </w:pPr>
            <w:r>
              <w:rPr>
                <w:rFonts w:ascii="Calibri" w:hAnsi="Calibri"/>
                <w:b/>
                <w:sz w:val="19"/>
              </w:rPr>
              <w:t xml:space="preserve">Architects</w:t>
            </w:r>
          </w:p>
        </w:tc>
        <w:tc>
          <w:tcPr>
            <w:tcW w:w="3840" w:type="dxa"/>
          </w:tcPr>
          <w:p>
            <w:pPr>
              <w:pStyle w:val="Compact"/>
              <w:spacing w:after="0"/>
              <w:jc w:val="left"/>
            </w:pPr>
            <w:r>
              <w:rPr>
                <w:rFonts w:ascii="Calibri" w:hAnsi="Calibri"/>
                <w:sz w:val="19"/>
              </w:rPr>
              <w:t xml:space="preserve">Secure architecture, cloud security, cryptography choices</w:t>
            </w:r>
          </w:p>
        </w:tc>
        <w:tc>
          <w:tcPr>
            <w:tcW w:w="3840" w:type="dxa"/>
          </w:tcPr>
          <w:p>
            <w:pPr>
              <w:pStyle w:val="Compact"/>
              <w:spacing w:after="0"/>
              <w:jc w:val="left"/>
            </w:pPr>
            <w:r>
              <w:rPr>
                <w:rFonts w:ascii="Calibri" w:hAnsi="Calibri"/>
                <w:sz w:val="19"/>
              </w:rPr>
              <w:t xml:space="preserve">Annually</w:t>
            </w:r>
          </w:p>
        </w:tc>
      </w:tr>
      <w:tr>
        <w:trPr>
          <w:cantSplit/>
        </w:trPr>
        <w:tc>
          <w:tcPr>
            <w:tcW w:w="1920" w:type="dxa"/>
            <w:shd w:val="clear" w:color="auto" w:fill="F2F2F2"/>
          </w:tcPr>
          <w:p>
            <w:pPr>
              <w:pStyle w:val="Compact"/>
              <w:spacing w:after="0"/>
              <w:jc w:val="left"/>
            </w:pPr>
            <w:r>
              <w:rPr>
                <w:rFonts w:ascii="Calibri" w:hAnsi="Calibri"/>
                <w:b/>
                <w:sz w:val="19"/>
              </w:rPr>
              <w:t xml:space="preserve">DevOps / platform engineers</w:t>
            </w:r>
          </w:p>
        </w:tc>
        <w:tc>
          <w:tcPr>
            <w:tcW w:w="3840" w:type="dxa"/>
          </w:tcPr>
          <w:p>
            <w:pPr>
              <w:pStyle w:val="Compact"/>
              <w:spacing w:after="0"/>
              <w:jc w:val="left"/>
            </w:pPr>
            <w:r>
              <w:rPr>
                <w:rFonts w:ascii="Calibri" w:hAnsi="Calibri"/>
                <w:sz w:val="19"/>
              </w:rPr>
              <w:t xml:space="preserve">Pipeline, cloud and container security, secrets management</w:t>
            </w:r>
          </w:p>
        </w:tc>
        <w:tc>
          <w:tcPr>
            <w:tcW w:w="3840" w:type="dxa"/>
          </w:tcPr>
          <w:p>
            <w:pPr>
              <w:pStyle w:val="Compact"/>
              <w:spacing w:after="0"/>
              <w:jc w:val="left"/>
            </w:pPr>
            <w:r>
              <w:rPr>
                <w:rFonts w:ascii="Calibri" w:hAnsi="Calibri"/>
                <w:sz w:val="19"/>
              </w:rPr>
              <w:t xml:space="preserve">Annually</w:t>
            </w:r>
          </w:p>
        </w:tc>
      </w:tr>
      <w:tr>
        <w:trPr>
          <w:cantSplit/>
        </w:trPr>
        <w:tc>
          <w:tcPr>
            <w:tcW w:w="1920" w:type="dxa"/>
            <w:shd w:val="clear" w:color="auto" w:fill="F2F2F2"/>
          </w:tcPr>
          <w:p>
            <w:pPr>
              <w:pStyle w:val="Compact"/>
              <w:spacing w:after="0"/>
              <w:jc w:val="left"/>
            </w:pPr>
            <w:r>
              <w:rPr>
                <w:rFonts w:ascii="Calibri" w:hAnsi="Calibri"/>
                <w:b/>
                <w:sz w:val="19"/>
              </w:rPr>
              <w:t xml:space="preserve">QA engineers</w:t>
            </w:r>
          </w:p>
        </w:tc>
        <w:tc>
          <w:tcPr>
            <w:tcW w:w="3840" w:type="dxa"/>
          </w:tcPr>
          <w:p>
            <w:pPr>
              <w:pStyle w:val="Compact"/>
              <w:spacing w:after="0"/>
              <w:jc w:val="left"/>
            </w:pPr>
            <w:r>
              <w:rPr>
                <w:rFonts w:ascii="Calibri" w:hAnsi="Calibri"/>
                <w:sz w:val="19"/>
              </w:rPr>
              <w:t xml:space="preserve">Security testing, abuse cases, tooling</w:t>
            </w:r>
          </w:p>
        </w:tc>
        <w:tc>
          <w:tcPr>
            <w:tcW w:w="3840" w:type="dxa"/>
          </w:tcPr>
          <w:p>
            <w:pPr>
              <w:pStyle w:val="Compact"/>
              <w:spacing w:after="0"/>
              <w:jc w:val="left"/>
            </w:pPr>
            <w:r>
              <w:rPr>
                <w:rFonts w:ascii="Calibri" w:hAnsi="Calibri"/>
                <w:sz w:val="19"/>
              </w:rPr>
              <w:t xml:space="preserve">Annually</w:t>
            </w:r>
          </w:p>
        </w:tc>
      </w:tr>
      <w:tr>
        <w:trPr>
          <w:cantSplit/>
        </w:trPr>
        <w:tc>
          <w:tcPr>
            <w:tcW w:w="1920" w:type="dxa"/>
            <w:shd w:val="clear" w:color="auto" w:fill="F2F2F2"/>
          </w:tcPr>
          <w:p>
            <w:pPr>
              <w:pStyle w:val="Compact"/>
              <w:spacing w:after="0"/>
              <w:jc w:val="left"/>
            </w:pPr>
            <w:r>
              <w:rPr>
                <w:rFonts w:ascii="Calibri" w:hAnsi="Calibri"/>
                <w:b/>
                <w:sz w:val="19"/>
              </w:rPr>
              <w:t xml:space="preserve">Managers and product owners</w:t>
            </w:r>
          </w:p>
        </w:tc>
        <w:tc>
          <w:tcPr>
            <w:tcW w:w="3840" w:type="dxa"/>
          </w:tcPr>
          <w:p>
            <w:pPr>
              <w:pStyle w:val="Compact"/>
              <w:spacing w:after="0"/>
              <w:jc w:val="left"/>
            </w:pPr>
            <w:r>
              <w:rPr>
                <w:rFonts w:ascii="Calibri" w:hAnsi="Calibri"/>
                <w:sz w:val="19"/>
              </w:rPr>
              <w:t xml:space="preserve">Risk, compliance, secure delivery, accepting risk</w:t>
            </w:r>
          </w:p>
        </w:tc>
        <w:tc>
          <w:tcPr>
            <w:tcW w:w="3840" w:type="dxa"/>
          </w:tcPr>
          <w:p>
            <w:pPr>
              <w:pStyle w:val="Compact"/>
              <w:spacing w:after="0"/>
              <w:jc w:val="left"/>
            </w:pPr>
            <w:r>
              <w:rPr>
                <w:rFonts w:ascii="Calibri" w:hAnsi="Calibri"/>
                <w:sz w:val="19"/>
              </w:rPr>
              <w:t xml:space="preserve">Annually</w:t>
            </w:r>
          </w:p>
        </w:tc>
      </w:tr>
    </w:tbl>
    <w:bookmarkStart w:id="83" w:name="security-champions-programme"/>
    <w:p>
      <w:pPr>
        <w:pStyle w:val="Heading3"/>
      </w:pPr>
      <w:r>
        <w:t xml:space="preserve">Security champions programme</w:t>
      </w:r>
    </w:p>
    <w:p>
      <w:pPr>
        <w:numPr>
          <w:ilvl w:val="0"/>
          <w:numId w:val="1037"/>
        </w:numPr>
        <w:pStyle w:val="Compact"/>
      </w:pPr>
      <w:r>
        <w:t xml:space="preserve">Each team of about 10 developers has a volunteer champion with protected time (for example 10 to 20 percent).</w:t>
      </w:r>
    </w:p>
    <w:p>
      <w:pPr>
        <w:numPr>
          <w:ilvl w:val="0"/>
          <w:numId w:val="1037"/>
        </w:numPr>
        <w:pStyle w:val="Compact"/>
      </w:pPr>
      <w:r>
        <w:t xml:space="preserve">Champions run threat modeling, review security findings, share lessons and link the team to AppSec.</w:t>
      </w:r>
    </w:p>
    <w:p>
      <w:pPr>
        <w:numPr>
          <w:ilvl w:val="0"/>
          <w:numId w:val="1037"/>
        </w:numPr>
        <w:pStyle w:val="Compact"/>
      </w:pPr>
      <w:r>
        <w:t xml:space="preserve">Recognize the role in performance reviews and career paths.</w:t>
      </w:r>
    </w:p>
    <w:bookmarkEnd w:id="83"/>
    <w:bookmarkStart w:id="84" w:name="culture"/>
    <w:p>
      <w:pPr>
        <w:pStyle w:val="Heading3"/>
      </w:pPr>
      <w:r>
        <w:t xml:space="preserve">Culture</w:t>
      </w:r>
    </w:p>
    <w:p>
      <w:pPr>
        <w:numPr>
          <w:ilvl w:val="0"/>
          <w:numId w:val="1038"/>
        </w:numPr>
        <w:pStyle w:val="Compact"/>
      </w:pPr>
      <w:r>
        <w:t xml:space="preserve">Reward reporting: treat found vulnerabilities and near-misses as learning, with blameless reviews.</w:t>
      </w:r>
    </w:p>
    <w:p>
      <w:pPr>
        <w:numPr>
          <w:ilvl w:val="0"/>
          <w:numId w:val="1038"/>
        </w:numPr>
        <w:pStyle w:val="Compact"/>
      </w:pPr>
      <w:r>
        <w:t xml:space="preserve">Run internal capture-the-flag events, hackathons and brown-bag sessions.</w:t>
      </w:r>
    </w:p>
    <w:p>
      <w:pPr>
        <w:numPr>
          <w:ilvl w:val="0"/>
          <w:numId w:val="1038"/>
        </w:numPr>
        <w:pStyle w:val="Compact"/>
      </w:pPr>
      <w:r>
        <w:t xml:space="preserve">Share a short monthly security bulletin on recent incidents, new threats and standards updates.</w:t>
      </w:r>
    </w:p>
    <w:p>
      <w:pPr>
        <w:numPr>
          <w:ilvl w:val="0"/>
          <w:numId w:val="1038"/>
        </w:numPr>
        <w:pStyle w:val="Compact"/>
      </w:pPr>
      <w:r>
        <w:t xml:space="preserve">Check effectiveness: use quizzes or practical assessments, and track whether the vulnerabilities seen in code match what training covered.</w:t>
      </w:r>
    </w:p>
    <w:p>
      <w:pPr>
        <w:numPr>
          <w:ilvl w:val="0"/>
          <w:numId w:val="1038"/>
        </w:numPr>
        <w:pStyle w:val="Compact"/>
      </w:pPr>
      <w:r>
        <w:t xml:space="preserve">Training completion is tracked, and access to production or protected branches MAY be restricted for overdue staff.</w:t>
      </w:r>
    </w:p>
    <w:bookmarkEnd w:id="84"/>
    <w:bookmarkEnd w:id="85"/>
    <w:bookmarkStart w:id="89" w:name="Xd1b41492205abad42d06cb76a2cf5b289b03332"/>
    <w:p>
      <w:pPr>
        <w:pStyle w:val="Heading2"/>
      </w:pPr>
      <w:r>
        <w:t xml:space="preserve">23. Metrics, Governance, Compliance and Exceptions</w:t>
      </w:r>
    </w:p>
    <w:p>
      <w:pPr>
        <w:pStyle w:val="FirstParagraph"/>
      </w:pPr>
      <w:r>
        <w:t xml:space="preserve">The programme is measured, reviewed and enforced; what is not measured tends to drift.</w:t>
      </w:r>
    </w:p>
    <w:bookmarkStart w:id="86" w:name="key-metrics"/>
    <w:p>
      <w:pPr>
        <w:pStyle w:val="Heading3"/>
      </w:pPr>
      <w:r>
        <w:t xml:space="preserve">Key metrics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1920"/>
        <w:gridCol w:w="3840"/>
        <w:gridCol w:w="3840"/>
      </w:tblGrid>
      <w:tr>
        <w:trPr>
          <w:tblHeader w:val="true"/>
          <w:cantSplit/>
          <w:tblHeader/>
        </w:trPr>
        <w:tc>
          <w:tcPr>
            <w:tcW w:w="1920" w:type="dxa"/>
            <w:shd w:val="clear" w:color="auto" w:fill="1F3864"/>
          </w:tcPr>
          <w:p>
            <w:pPr>
              <w:pStyle w:val="Compact"/>
              <w:spacing w:after="0"/>
              <w:jc w:val="left"/>
            </w:pPr>
            <w:r>
              <w:rPr>
                <w:rFonts w:ascii="Calibri" w:hAnsi="Calibri"/>
                <w:b/>
                <w:color w:val="FFFFFF"/>
                <w:sz w:val="19"/>
              </w:rPr>
              <w:t xml:space="preserve">Metric</w:t>
            </w:r>
          </w:p>
        </w:tc>
        <w:tc>
          <w:tcPr>
            <w:tcW w:w="3840" w:type="dxa"/>
            <w:shd w:val="clear" w:color="auto" w:fill="1F3864"/>
          </w:tcPr>
          <w:p>
            <w:pPr>
              <w:pStyle w:val="Compact"/>
              <w:spacing w:after="0"/>
              <w:jc w:val="left"/>
            </w:pPr>
            <w:r>
              <w:rPr>
                <w:rFonts w:ascii="Calibri" w:hAnsi="Calibri"/>
                <w:b/>
                <w:color w:val="FFFFFF"/>
                <w:sz w:val="19"/>
              </w:rPr>
              <w:t xml:space="preserve">Target (starting point)</w:t>
            </w:r>
          </w:p>
        </w:tc>
        <w:tc>
          <w:tcPr>
            <w:tcW w:w="3840" w:type="dxa"/>
            <w:shd w:val="clear" w:color="auto" w:fill="1F3864"/>
          </w:tcPr>
          <w:p>
            <w:pPr>
              <w:pStyle w:val="Compact"/>
              <w:spacing w:after="0"/>
              <w:jc w:val="left"/>
            </w:pPr>
            <w:r>
              <w:rPr>
                <w:rFonts w:ascii="Calibri" w:hAnsi="Calibri"/>
                <w:b/>
                <w:color w:val="FFFFFF"/>
                <w:sz w:val="19"/>
              </w:rPr>
              <w:t xml:space="preserve">Reported</w:t>
            </w:r>
          </w:p>
        </w:tc>
      </w:tr>
      <w:tr>
        <w:trPr>
          <w:cantSplit/>
        </w:trPr>
        <w:tc>
          <w:tcPr>
            <w:tcW w:w="1920" w:type="dxa"/>
            <w:shd w:val="clear" w:color="auto" w:fill="F2F2F2"/>
          </w:tcPr>
          <w:p>
            <w:pPr>
              <w:pStyle w:val="Compact"/>
              <w:spacing w:after="0"/>
              <w:jc w:val="left"/>
            </w:pPr>
            <w:r>
              <w:rPr>
                <w:rFonts w:ascii="Calibri" w:hAnsi="Calibri"/>
                <w:b/>
                <w:sz w:val="19"/>
              </w:rPr>
              <w:t xml:space="preserve">Applications with a current risk tier</w:t>
            </w:r>
          </w:p>
        </w:tc>
        <w:tc>
          <w:tcPr>
            <w:tcW w:w="3840" w:type="dxa"/>
          </w:tcPr>
          <w:p>
            <w:pPr>
              <w:pStyle w:val="Compact"/>
              <w:spacing w:after="0"/>
              <w:jc w:val="left"/>
            </w:pPr>
            <w:r>
              <w:rPr>
                <w:rFonts w:ascii="Calibri" w:hAnsi="Calibri"/>
                <w:sz w:val="19"/>
              </w:rPr>
              <w:t xml:space="preserve">100%</w:t>
            </w:r>
          </w:p>
        </w:tc>
        <w:tc>
          <w:tcPr>
            <w:tcW w:w="3840" w:type="dxa"/>
          </w:tcPr>
          <w:p>
            <w:pPr>
              <w:pStyle w:val="Compact"/>
              <w:spacing w:after="0"/>
              <w:jc w:val="left"/>
            </w:pPr>
            <w:r>
              <w:rPr>
                <w:rFonts w:ascii="Calibri" w:hAnsi="Calibri"/>
                <w:sz w:val="19"/>
              </w:rPr>
              <w:t xml:space="preserve">Monthly</w:t>
            </w:r>
          </w:p>
        </w:tc>
      </w:tr>
      <w:tr>
        <w:trPr>
          <w:cantSplit/>
        </w:trPr>
        <w:tc>
          <w:tcPr>
            <w:tcW w:w="1920" w:type="dxa"/>
            <w:shd w:val="clear" w:color="auto" w:fill="F2F2F2"/>
          </w:tcPr>
          <w:p>
            <w:pPr>
              <w:pStyle w:val="Compact"/>
              <w:spacing w:after="0"/>
              <w:jc w:val="left"/>
            </w:pPr>
            <w:r>
              <w:rPr>
                <w:rFonts w:ascii="Calibri" w:hAnsi="Calibri"/>
                <w:b/>
                <w:sz w:val="19"/>
              </w:rPr>
              <w:t xml:space="preserve">Tier 1 and 2 apps with a current threat model</w:t>
            </w:r>
          </w:p>
        </w:tc>
        <w:tc>
          <w:tcPr>
            <w:tcW w:w="3840" w:type="dxa"/>
          </w:tcPr>
          <w:p>
            <w:pPr>
              <w:pStyle w:val="Compact"/>
              <w:spacing w:after="0"/>
              <w:jc w:val="left"/>
            </w:pPr>
            <w:r>
              <w:rPr>
                <w:rFonts w:ascii="Calibri" w:hAnsi="Calibri"/>
                <w:sz w:val="19"/>
              </w:rPr>
              <w:t xml:space="preserve">100%</w:t>
            </w:r>
          </w:p>
        </w:tc>
        <w:tc>
          <w:tcPr>
            <w:tcW w:w="3840" w:type="dxa"/>
          </w:tcPr>
          <w:p>
            <w:pPr>
              <w:pStyle w:val="Compact"/>
              <w:spacing w:after="0"/>
              <w:jc w:val="left"/>
            </w:pPr>
            <w:r>
              <w:rPr>
                <w:rFonts w:ascii="Calibri" w:hAnsi="Calibri"/>
                <w:sz w:val="19"/>
              </w:rPr>
              <w:t xml:space="preserve">Quarterly</w:t>
            </w:r>
          </w:p>
        </w:tc>
      </w:tr>
      <w:tr>
        <w:trPr>
          <w:cantSplit/>
        </w:trPr>
        <w:tc>
          <w:tcPr>
            <w:tcW w:w="1920" w:type="dxa"/>
            <w:shd w:val="clear" w:color="auto" w:fill="F2F2F2"/>
          </w:tcPr>
          <w:p>
            <w:pPr>
              <w:pStyle w:val="Compact"/>
              <w:spacing w:after="0"/>
              <w:jc w:val="left"/>
            </w:pPr>
            <w:r>
              <w:rPr>
                <w:rFonts w:ascii="Calibri" w:hAnsi="Calibri"/>
                <w:b/>
                <w:sz w:val="19"/>
              </w:rPr>
              <w:t xml:space="preserve">Repositories with SAST, SCA and secret scanning enabled</w:t>
            </w:r>
          </w:p>
        </w:tc>
        <w:tc>
          <w:tcPr>
            <w:tcW w:w="3840" w:type="dxa"/>
          </w:tcPr>
          <w:p>
            <w:pPr>
              <w:pStyle w:val="Compact"/>
              <w:spacing w:after="0"/>
              <w:jc w:val="left"/>
            </w:pPr>
            <w:r>
              <w:rPr>
                <w:rFonts w:ascii="Calibri" w:hAnsi="Calibri"/>
                <w:sz w:val="19"/>
              </w:rPr>
              <w:t xml:space="preserve">100%</w:t>
            </w:r>
          </w:p>
        </w:tc>
        <w:tc>
          <w:tcPr>
            <w:tcW w:w="3840" w:type="dxa"/>
          </w:tcPr>
          <w:p>
            <w:pPr>
              <w:pStyle w:val="Compact"/>
              <w:spacing w:after="0"/>
              <w:jc w:val="left"/>
            </w:pPr>
            <w:r>
              <w:rPr>
                <w:rFonts w:ascii="Calibri" w:hAnsi="Calibri"/>
                <w:sz w:val="19"/>
              </w:rPr>
              <w:t xml:space="preserve">Monthly</w:t>
            </w:r>
          </w:p>
        </w:tc>
      </w:tr>
      <w:tr>
        <w:trPr>
          <w:cantSplit/>
        </w:trPr>
        <w:tc>
          <w:tcPr>
            <w:tcW w:w="1920" w:type="dxa"/>
            <w:shd w:val="clear" w:color="auto" w:fill="F2F2F2"/>
          </w:tcPr>
          <w:p>
            <w:pPr>
              <w:pStyle w:val="Compact"/>
              <w:spacing w:after="0"/>
              <w:jc w:val="left"/>
            </w:pPr>
            <w:r>
              <w:rPr>
                <w:rFonts w:ascii="Calibri" w:hAnsi="Calibri"/>
                <w:b/>
                <w:sz w:val="19"/>
              </w:rPr>
              <w:t xml:space="preserve">Findings fixed within SLA (by severity)</w:t>
            </w:r>
          </w:p>
        </w:tc>
        <w:tc>
          <w:tcPr>
            <w:tcW w:w="3840" w:type="dxa"/>
          </w:tcPr>
          <w:p>
            <w:pPr>
              <w:pStyle w:val="Compact"/>
              <w:spacing w:after="0"/>
              <w:jc w:val="left"/>
            </w:pPr>
            <w:r>
              <w:rPr>
                <w:rFonts w:ascii="Calibri" w:hAnsi="Calibri"/>
                <w:sz w:val="19"/>
              </w:rPr>
              <w:t xml:space="preserve">95% or higher for Critical and High</w:t>
            </w:r>
          </w:p>
        </w:tc>
        <w:tc>
          <w:tcPr>
            <w:tcW w:w="3840" w:type="dxa"/>
          </w:tcPr>
          <w:p>
            <w:pPr>
              <w:pStyle w:val="Compact"/>
              <w:spacing w:after="0"/>
              <w:jc w:val="left"/>
            </w:pPr>
            <w:r>
              <w:rPr>
                <w:rFonts w:ascii="Calibri" w:hAnsi="Calibri"/>
                <w:sz w:val="19"/>
              </w:rPr>
              <w:t xml:space="preserve">Monthly</w:t>
            </w:r>
          </w:p>
        </w:tc>
      </w:tr>
      <w:tr>
        <w:trPr>
          <w:cantSplit/>
        </w:trPr>
        <w:tc>
          <w:tcPr>
            <w:tcW w:w="1920" w:type="dxa"/>
            <w:shd w:val="clear" w:color="auto" w:fill="F2F2F2"/>
          </w:tcPr>
          <w:p>
            <w:pPr>
              <w:pStyle w:val="Compact"/>
              <w:spacing w:after="0"/>
              <w:jc w:val="left"/>
            </w:pPr>
            <w:r>
              <w:rPr>
                <w:rFonts w:ascii="Calibri" w:hAnsi="Calibri"/>
                <w:b/>
                <w:sz w:val="19"/>
              </w:rPr>
              <w:t xml:space="preserve">Mean time to remediate Critical findings</w:t>
            </w:r>
          </w:p>
        </w:tc>
        <w:tc>
          <w:tcPr>
            <w:tcW w:w="3840" w:type="dxa"/>
          </w:tcPr>
          <w:p>
            <w:pPr>
              <w:pStyle w:val="Compact"/>
              <w:spacing w:after="0"/>
              <w:jc w:val="left"/>
            </w:pPr>
            <w:r>
              <w:rPr>
                <w:rFonts w:ascii="Calibri" w:hAnsi="Calibri"/>
                <w:sz w:val="19"/>
              </w:rPr>
              <w:t xml:space="preserve">7 days or less (internet-facing)</w:t>
            </w:r>
          </w:p>
        </w:tc>
        <w:tc>
          <w:tcPr>
            <w:tcW w:w="3840" w:type="dxa"/>
          </w:tcPr>
          <w:p>
            <w:pPr>
              <w:pStyle w:val="Compact"/>
              <w:spacing w:after="0"/>
              <w:jc w:val="left"/>
            </w:pPr>
            <w:r>
              <w:rPr>
                <w:rFonts w:ascii="Calibri" w:hAnsi="Calibri"/>
                <w:sz w:val="19"/>
              </w:rPr>
              <w:t xml:space="preserve">Monthly</w:t>
            </w:r>
          </w:p>
        </w:tc>
      </w:tr>
      <w:tr>
        <w:trPr>
          <w:cantSplit/>
        </w:trPr>
        <w:tc>
          <w:tcPr>
            <w:tcW w:w="1920" w:type="dxa"/>
            <w:shd w:val="clear" w:color="auto" w:fill="F2F2F2"/>
          </w:tcPr>
          <w:p>
            <w:pPr>
              <w:pStyle w:val="Compact"/>
              <w:spacing w:after="0"/>
              <w:jc w:val="left"/>
            </w:pPr>
            <w:r>
              <w:rPr>
                <w:rFonts w:ascii="Calibri" w:hAnsi="Calibri"/>
                <w:b/>
                <w:sz w:val="19"/>
              </w:rPr>
              <w:t xml:space="preserve">Open Critical or High findings past SLA</w:t>
            </w:r>
          </w:p>
        </w:tc>
        <w:tc>
          <w:tcPr>
            <w:tcW w:w="3840" w:type="dxa"/>
          </w:tcPr>
          <w:p>
            <w:pPr>
              <w:pStyle w:val="Compact"/>
              <w:spacing w:after="0"/>
              <w:jc w:val="left"/>
            </w:pPr>
            <w:r>
              <w:rPr>
                <w:rFonts w:ascii="Calibri" w:hAnsi="Calibri"/>
                <w:sz w:val="19"/>
              </w:rPr>
              <w:t xml:space="preserve">0</w:t>
            </w:r>
          </w:p>
        </w:tc>
        <w:tc>
          <w:tcPr>
            <w:tcW w:w="3840" w:type="dxa"/>
          </w:tcPr>
          <w:p>
            <w:pPr>
              <w:pStyle w:val="Compact"/>
              <w:spacing w:after="0"/>
              <w:jc w:val="left"/>
            </w:pPr>
            <w:r>
              <w:rPr>
                <w:rFonts w:ascii="Calibri" w:hAnsi="Calibri"/>
                <w:sz w:val="19"/>
              </w:rPr>
              <w:t xml:space="preserve">Weekly</w:t>
            </w:r>
          </w:p>
        </w:tc>
      </w:tr>
      <w:tr>
        <w:trPr>
          <w:cantSplit/>
        </w:trPr>
        <w:tc>
          <w:tcPr>
            <w:tcW w:w="1920" w:type="dxa"/>
            <w:shd w:val="clear" w:color="auto" w:fill="F2F2F2"/>
          </w:tcPr>
          <w:p>
            <w:pPr>
              <w:pStyle w:val="Compact"/>
              <w:spacing w:after="0"/>
              <w:jc w:val="left"/>
            </w:pPr>
            <w:r>
              <w:rPr>
                <w:rFonts w:ascii="Calibri" w:hAnsi="Calibri"/>
                <w:b/>
                <w:sz w:val="19"/>
              </w:rPr>
              <w:t xml:space="preserve">Developers with current security training</w:t>
            </w:r>
          </w:p>
        </w:tc>
        <w:tc>
          <w:tcPr>
            <w:tcW w:w="3840" w:type="dxa"/>
          </w:tcPr>
          <w:p>
            <w:pPr>
              <w:pStyle w:val="Compact"/>
              <w:spacing w:after="0"/>
              <w:jc w:val="left"/>
            </w:pPr>
            <w:r>
              <w:rPr>
                <w:rFonts w:ascii="Calibri" w:hAnsi="Calibri"/>
                <w:sz w:val="19"/>
              </w:rPr>
              <w:t xml:space="preserve">95% or higher</w:t>
            </w:r>
          </w:p>
        </w:tc>
        <w:tc>
          <w:tcPr>
            <w:tcW w:w="3840" w:type="dxa"/>
          </w:tcPr>
          <w:p>
            <w:pPr>
              <w:pStyle w:val="Compact"/>
              <w:spacing w:after="0"/>
              <w:jc w:val="left"/>
            </w:pPr>
            <w:r>
              <w:rPr>
                <w:rFonts w:ascii="Calibri" w:hAnsi="Calibri"/>
                <w:sz w:val="19"/>
              </w:rPr>
              <w:t xml:space="preserve">Quarterly</w:t>
            </w:r>
          </w:p>
        </w:tc>
      </w:tr>
      <w:tr>
        <w:trPr>
          <w:cantSplit/>
        </w:trPr>
        <w:tc>
          <w:tcPr>
            <w:tcW w:w="1920" w:type="dxa"/>
            <w:shd w:val="clear" w:color="auto" w:fill="F2F2F2"/>
          </w:tcPr>
          <w:p>
            <w:pPr>
              <w:pStyle w:val="Compact"/>
              <w:spacing w:after="0"/>
              <w:jc w:val="left"/>
            </w:pPr>
            <w:r>
              <w:rPr>
                <w:rFonts w:ascii="Calibri" w:hAnsi="Calibri"/>
                <w:b/>
                <w:sz w:val="19"/>
              </w:rPr>
              <w:t xml:space="preserve">Releases with an SBOM and signed artifacts</w:t>
            </w:r>
          </w:p>
        </w:tc>
        <w:tc>
          <w:tcPr>
            <w:tcW w:w="3840" w:type="dxa"/>
          </w:tcPr>
          <w:p>
            <w:pPr>
              <w:pStyle w:val="Compact"/>
              <w:spacing w:after="0"/>
              <w:jc w:val="left"/>
            </w:pPr>
            <w:r>
              <w:rPr>
                <w:rFonts w:ascii="Calibri" w:hAnsi="Calibri"/>
                <w:sz w:val="19"/>
              </w:rPr>
              <w:t xml:space="preserve">100% for Tier 1</w:t>
            </w:r>
          </w:p>
        </w:tc>
        <w:tc>
          <w:tcPr>
            <w:tcW w:w="3840" w:type="dxa"/>
          </w:tcPr>
          <w:p>
            <w:pPr>
              <w:pStyle w:val="Compact"/>
              <w:spacing w:after="0"/>
              <w:jc w:val="left"/>
            </w:pPr>
            <w:r>
              <w:rPr>
                <w:rFonts w:ascii="Calibri" w:hAnsi="Calibri"/>
                <w:sz w:val="19"/>
              </w:rPr>
              <w:t xml:space="preserve">Quarterly</w:t>
            </w:r>
          </w:p>
        </w:tc>
      </w:tr>
      <w:tr>
        <w:trPr>
          <w:cantSplit/>
        </w:trPr>
        <w:tc>
          <w:tcPr>
            <w:tcW w:w="1920" w:type="dxa"/>
            <w:shd w:val="clear" w:color="auto" w:fill="F2F2F2"/>
          </w:tcPr>
          <w:p>
            <w:pPr>
              <w:pStyle w:val="Compact"/>
              <w:spacing w:after="0"/>
              <w:jc w:val="left"/>
            </w:pPr>
            <w:r>
              <w:rPr>
                <w:rFonts w:ascii="Calibri" w:hAnsi="Calibri"/>
                <w:b/>
                <w:sz w:val="19"/>
              </w:rPr>
              <w:t xml:space="preserve">Secrets detected in repositories, and time to revoke</w:t>
            </w:r>
          </w:p>
        </w:tc>
        <w:tc>
          <w:tcPr>
            <w:tcW w:w="3840" w:type="dxa"/>
          </w:tcPr>
          <w:p>
            <w:pPr>
              <w:pStyle w:val="Compact"/>
              <w:spacing w:after="0"/>
              <w:jc w:val="left"/>
            </w:pPr>
            <w:r>
              <w:rPr>
                <w:rFonts w:ascii="Calibri" w:hAnsi="Calibri"/>
                <w:sz w:val="19"/>
              </w:rPr>
              <w:t xml:space="preserve">0 unrevoked after 24 hours</w:t>
            </w:r>
          </w:p>
        </w:tc>
        <w:tc>
          <w:tcPr>
            <w:tcW w:w="3840" w:type="dxa"/>
          </w:tcPr>
          <w:p>
            <w:pPr>
              <w:pStyle w:val="Compact"/>
              <w:spacing w:after="0"/>
              <w:jc w:val="left"/>
            </w:pPr>
            <w:r>
              <w:rPr>
                <w:rFonts w:ascii="Calibri" w:hAnsi="Calibri"/>
                <w:sz w:val="19"/>
              </w:rPr>
              <w:t xml:space="preserve">Monthly</w:t>
            </w:r>
          </w:p>
        </w:tc>
      </w:tr>
      <w:tr>
        <w:trPr>
          <w:cantSplit/>
        </w:trPr>
        <w:tc>
          <w:tcPr>
            <w:tcW w:w="1920" w:type="dxa"/>
            <w:shd w:val="clear" w:color="auto" w:fill="F2F2F2"/>
          </w:tcPr>
          <w:p>
            <w:pPr>
              <w:pStyle w:val="Compact"/>
              <w:spacing w:after="0"/>
              <w:jc w:val="left"/>
            </w:pPr>
            <w:r>
              <w:rPr>
                <w:rFonts w:ascii="Calibri" w:hAnsi="Calibri"/>
                <w:b/>
                <w:sz w:val="19"/>
              </w:rPr>
              <w:t xml:space="preserve">Penetration tests completed on schedule</w:t>
            </w:r>
          </w:p>
        </w:tc>
        <w:tc>
          <w:tcPr>
            <w:tcW w:w="3840" w:type="dxa"/>
          </w:tcPr>
          <w:p>
            <w:pPr>
              <w:pStyle w:val="Compact"/>
              <w:spacing w:after="0"/>
              <w:jc w:val="left"/>
            </w:pPr>
            <w:r>
              <w:rPr>
                <w:rFonts w:ascii="Calibri" w:hAnsi="Calibri"/>
                <w:sz w:val="19"/>
              </w:rPr>
              <w:t xml:space="preserve">100%</w:t>
            </w:r>
          </w:p>
        </w:tc>
        <w:tc>
          <w:tcPr>
            <w:tcW w:w="3840" w:type="dxa"/>
          </w:tcPr>
          <w:p>
            <w:pPr>
              <w:pStyle w:val="Compact"/>
              <w:spacing w:after="0"/>
              <w:jc w:val="left"/>
            </w:pPr>
            <w:r>
              <w:rPr>
                <w:rFonts w:ascii="Calibri" w:hAnsi="Calibri"/>
                <w:sz w:val="19"/>
              </w:rPr>
              <w:t xml:space="preserve">Quarterly</w:t>
            </w:r>
          </w:p>
        </w:tc>
      </w:tr>
      <w:tr>
        <w:trPr>
          <w:cantSplit/>
        </w:trPr>
        <w:tc>
          <w:tcPr>
            <w:tcW w:w="1920" w:type="dxa"/>
            <w:shd w:val="clear" w:color="auto" w:fill="F2F2F2"/>
          </w:tcPr>
          <w:p>
            <w:pPr>
              <w:pStyle w:val="Compact"/>
              <w:spacing w:after="0"/>
              <w:jc w:val="left"/>
            </w:pPr>
            <w:r>
              <w:rPr>
                <w:rFonts w:ascii="Calibri" w:hAnsi="Calibri"/>
                <w:b/>
                <w:sz w:val="19"/>
              </w:rPr>
              <w:t xml:space="preserve">Security incidents traced to known, unpatched flaws</w:t>
            </w:r>
          </w:p>
        </w:tc>
        <w:tc>
          <w:tcPr>
            <w:tcW w:w="3840" w:type="dxa"/>
          </w:tcPr>
          <w:p>
            <w:pPr>
              <w:pStyle w:val="Compact"/>
              <w:spacing w:after="0"/>
              <w:jc w:val="left"/>
            </w:pPr>
            <w:r>
              <w:rPr>
                <w:rFonts w:ascii="Calibri" w:hAnsi="Calibri"/>
                <w:sz w:val="19"/>
              </w:rPr>
              <w:t xml:space="preserve">0</w:t>
            </w:r>
          </w:p>
        </w:tc>
        <w:tc>
          <w:tcPr>
            <w:tcW w:w="3840" w:type="dxa"/>
          </w:tcPr>
          <w:p>
            <w:pPr>
              <w:pStyle w:val="Compact"/>
              <w:spacing w:after="0"/>
              <w:jc w:val="left"/>
            </w:pPr>
            <w:r>
              <w:rPr>
                <w:rFonts w:ascii="Calibri" w:hAnsi="Calibri"/>
                <w:sz w:val="19"/>
              </w:rPr>
              <w:t xml:space="preserve">Quarterly</w:t>
            </w:r>
          </w:p>
        </w:tc>
      </w:tr>
    </w:tbl>
    <w:bookmarkEnd w:id="86"/>
    <w:bookmarkStart w:id="87" w:name="governance-and-compliance"/>
    <w:p>
      <w:pPr>
        <w:pStyle w:val="Heading3"/>
      </w:pPr>
      <w:r>
        <w:t xml:space="preserve">Governance and compliance</w:t>
      </w:r>
    </w:p>
    <w:p>
      <w:pPr>
        <w:numPr>
          <w:ilvl w:val="0"/>
          <w:numId w:val="1039"/>
        </w:numPr>
        <w:pStyle w:val="Compact"/>
      </w:pPr>
      <w:r>
        <w:t xml:space="preserve">The CISO owns this document. AppSec reviews it at least annually and after major incidents, new regulation or significant changes in technology.</w:t>
      </w:r>
    </w:p>
    <w:p>
      <w:pPr>
        <w:numPr>
          <w:ilvl w:val="0"/>
          <w:numId w:val="1039"/>
        </w:numPr>
        <w:pStyle w:val="Compact"/>
      </w:pPr>
      <w:r>
        <w:t xml:space="preserve">Compliance is checked through automated pipeline policies, periodic audits, penetration tests and control self-assessments. Maturity is tracked against OWASP SAMM or BSIMM.</w:t>
      </w:r>
    </w:p>
    <w:p>
      <w:pPr>
        <w:numPr>
          <w:ilvl w:val="0"/>
          <w:numId w:val="1039"/>
        </w:numPr>
        <w:pStyle w:val="Compact"/>
      </w:pPr>
      <w:r>
        <w:t xml:space="preserve">Serious or repeated violations are escalated to management and may lead to disciplinary action, including removal of repository or production access.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Standard</w:t>
            </w:r>
          </w:p>
        </w:tc>
        <w:tc>
          <w:tcPr>
            <w:tcW w:w="7296" w:type="dxa"/>
            <w:shd w:val="clear" w:color="auto" w:fill="1F3864"/>
          </w:tcPr>
          <w:p>
            <w:pPr>
              <w:pStyle w:val="Compact"/>
              <w:spacing w:after="0"/>
              <w:jc w:val="left"/>
            </w:pPr>
            <w:r>
              <w:rPr>
                <w:rFonts w:ascii="Calibri" w:hAnsi="Calibri"/>
                <w:b/>
                <w:color w:val="FFFFFF"/>
                <w:sz w:val="19"/>
              </w:rPr>
              <w:t xml:space="preserve">How these guidelines support it</w:t>
            </w:r>
          </w:p>
        </w:tc>
      </w:tr>
      <w:tr>
        <w:trPr>
          <w:cantSplit/>
        </w:trPr>
        <w:tc>
          <w:tcPr>
            <w:tcW w:w="2304" w:type="dxa"/>
            <w:shd w:val="clear" w:color="auto" w:fill="F2F2F2"/>
          </w:tcPr>
          <w:p>
            <w:pPr>
              <w:pStyle w:val="Compact"/>
              <w:spacing w:after="0"/>
              <w:jc w:val="left"/>
            </w:pPr>
            <w:r>
              <w:rPr>
                <w:rFonts w:ascii="Calibri" w:hAnsi="Calibri"/>
                <w:b/>
                <w:sz w:val="19"/>
              </w:rPr>
              <w:t xml:space="preserve">NIST SP 800-218 (SSDF)</w:t>
            </w:r>
          </w:p>
        </w:tc>
        <w:tc>
          <w:tcPr>
            <w:tcW w:w="7296" w:type="dxa"/>
          </w:tcPr>
          <w:p>
            <w:pPr>
              <w:pStyle w:val="Compact"/>
              <w:spacing w:after="0"/>
              <w:jc w:val="left"/>
            </w:pPr>
            <w:r>
              <w:rPr>
                <w:rFonts w:ascii="Calibri" w:hAnsi="Calibri"/>
                <w:sz w:val="19"/>
              </w:rPr>
              <w:t xml:space="preserve">Sections 3 to 14 cover Prepare, Protect, Produce and Respond practices</w:t>
            </w:r>
          </w:p>
        </w:tc>
      </w:tr>
      <w:tr>
        <w:trPr>
          <w:cantSplit/>
        </w:trPr>
        <w:tc>
          <w:tcPr>
            <w:tcW w:w="2304" w:type="dxa"/>
            <w:shd w:val="clear" w:color="auto" w:fill="F2F2F2"/>
          </w:tcPr>
          <w:p>
            <w:pPr>
              <w:pStyle w:val="Compact"/>
              <w:spacing w:after="0"/>
              <w:jc w:val="left"/>
            </w:pPr>
            <w:r>
              <w:rPr>
                <w:rFonts w:ascii="Calibri" w:hAnsi="Calibri"/>
                <w:b/>
                <w:sz w:val="19"/>
              </w:rPr>
              <w:t xml:space="preserve">OWASP ASVS and SAMM</w:t>
            </w:r>
          </w:p>
        </w:tc>
        <w:tc>
          <w:tcPr>
            <w:tcW w:w="7296" w:type="dxa"/>
          </w:tcPr>
          <w:p>
            <w:pPr>
              <w:pStyle w:val="Compact"/>
              <w:spacing w:after="0"/>
              <w:jc w:val="left"/>
            </w:pPr>
            <w:r>
              <w:rPr>
                <w:rFonts w:ascii="Calibri" w:hAnsi="Calibri"/>
                <w:sz w:val="19"/>
              </w:rPr>
              <w:t xml:space="preserve">Requirements baseline (Section 4), maturity measurement (this section)</w:t>
            </w:r>
          </w:p>
        </w:tc>
      </w:tr>
      <w:tr>
        <w:trPr>
          <w:cantSplit/>
        </w:trPr>
        <w:tc>
          <w:tcPr>
            <w:tcW w:w="2304" w:type="dxa"/>
            <w:shd w:val="clear" w:color="auto" w:fill="F2F2F2"/>
          </w:tcPr>
          <w:p>
            <w:pPr>
              <w:pStyle w:val="Compact"/>
              <w:spacing w:after="0"/>
              <w:jc w:val="left"/>
            </w:pPr>
            <w:r>
              <w:rPr>
                <w:rFonts w:ascii="Calibri" w:hAnsi="Calibri"/>
                <w:b/>
                <w:sz w:val="19"/>
              </w:rPr>
              <w:t xml:space="preserve">ISO/IEC 27001:2022 Annex A</w:t>
            </w:r>
          </w:p>
        </w:tc>
        <w:tc>
          <w:tcPr>
            <w:tcW w:w="7296" w:type="dxa"/>
          </w:tcPr>
          <w:p>
            <w:pPr>
              <w:pStyle w:val="Compact"/>
              <w:spacing w:after="0"/>
              <w:jc w:val="left"/>
            </w:pPr>
            <w:r>
              <w:rPr>
                <w:rFonts w:ascii="Calibri" w:hAnsi="Calibri"/>
                <w:sz w:val="19"/>
              </w:rPr>
              <w:t xml:space="preserve">Secure development (8.25 to 8.29), secure coding (8.28), configuration (8.9), vulnerability management (8.8)</w:t>
            </w:r>
          </w:p>
        </w:tc>
      </w:tr>
      <w:tr>
        <w:trPr>
          <w:cantSplit/>
        </w:trPr>
        <w:tc>
          <w:tcPr>
            <w:tcW w:w="2304" w:type="dxa"/>
            <w:shd w:val="clear" w:color="auto" w:fill="F2F2F2"/>
          </w:tcPr>
          <w:p>
            <w:pPr>
              <w:pStyle w:val="Compact"/>
              <w:spacing w:after="0"/>
              <w:jc w:val="left"/>
            </w:pPr>
            <w:r>
              <w:rPr>
                <w:rFonts w:ascii="Calibri" w:hAnsi="Calibri"/>
                <w:b/>
                <w:sz w:val="19"/>
              </w:rPr>
              <w:t xml:space="preserve">PCI DSS v4.0</w:t>
            </w:r>
          </w:p>
        </w:tc>
        <w:tc>
          <w:tcPr>
            <w:tcW w:w="7296" w:type="dxa"/>
          </w:tcPr>
          <w:p>
            <w:pPr>
              <w:pStyle w:val="Compact"/>
              <w:spacing w:after="0"/>
              <w:jc w:val="left"/>
            </w:pPr>
            <w:r>
              <w:rPr>
                <w:rFonts w:ascii="Calibri" w:hAnsi="Calibri"/>
                <w:sz w:val="19"/>
              </w:rPr>
              <w:t xml:space="preserve">Requirement 6 (secure systems and software), plus Requirements 3, 4 and 10</w:t>
            </w:r>
          </w:p>
        </w:tc>
      </w:tr>
      <w:tr>
        <w:trPr>
          <w:cantSplit/>
        </w:trPr>
        <w:tc>
          <w:tcPr>
            <w:tcW w:w="2304" w:type="dxa"/>
            <w:shd w:val="clear" w:color="auto" w:fill="F2F2F2"/>
          </w:tcPr>
          <w:p>
            <w:pPr>
              <w:pStyle w:val="Compact"/>
              <w:spacing w:after="0"/>
              <w:jc w:val="left"/>
            </w:pPr>
            <w:r>
              <w:rPr>
                <w:rFonts w:ascii="Calibri" w:hAnsi="Calibri"/>
                <w:b/>
                <w:sz w:val="19"/>
              </w:rPr>
              <w:t xml:space="preserve">SOC 2</w:t>
            </w:r>
          </w:p>
        </w:tc>
        <w:tc>
          <w:tcPr>
            <w:tcW w:w="7296" w:type="dxa"/>
          </w:tcPr>
          <w:p>
            <w:pPr>
              <w:pStyle w:val="Compact"/>
              <w:spacing w:after="0"/>
              <w:jc w:val="left"/>
            </w:pPr>
            <w:r>
              <w:rPr>
                <w:rFonts w:ascii="Calibri" w:hAnsi="Calibri"/>
                <w:sz w:val="19"/>
              </w:rPr>
              <w:t xml:space="preserve">Change management and system operations criteria</w:t>
            </w:r>
          </w:p>
        </w:tc>
      </w:tr>
      <w:tr>
        <w:trPr>
          <w:cantSplit/>
        </w:trPr>
        <w:tc>
          <w:tcPr>
            <w:tcW w:w="2304" w:type="dxa"/>
            <w:shd w:val="clear" w:color="auto" w:fill="F2F2F2"/>
          </w:tcPr>
          <w:p>
            <w:pPr>
              <w:pStyle w:val="Compact"/>
              <w:spacing w:after="0"/>
              <w:jc w:val="left"/>
            </w:pPr>
            <w:r>
              <w:rPr>
                <w:rFonts w:ascii="Calibri" w:hAnsi="Calibri"/>
                <w:b/>
                <w:sz w:val="19"/>
              </w:rPr>
              <w:t xml:space="preserve">Data protection law (GDPR, Kenya DPA)</w:t>
            </w:r>
          </w:p>
        </w:tc>
        <w:tc>
          <w:tcPr>
            <w:tcW w:w="7296" w:type="dxa"/>
          </w:tcPr>
          <w:p>
            <w:pPr>
              <w:pStyle w:val="Compact"/>
              <w:spacing w:after="0"/>
              <w:jc w:val="left"/>
            </w:pPr>
            <w:r>
              <w:rPr>
                <w:rFonts w:ascii="Calibri" w:hAnsi="Calibri"/>
                <w:sz w:val="19"/>
              </w:rPr>
              <w:t xml:space="preserve">Section 9 privacy by design, breach readiness in Section 19</w:t>
            </w:r>
          </w:p>
        </w:tc>
      </w:tr>
    </w:tbl>
    <w:bookmarkEnd w:id="87"/>
    <w:bookmarkStart w:id="88" w:name="exceptions"/>
    <w:p>
      <w:pPr>
        <w:pStyle w:val="Heading3"/>
      </w:pPr>
      <w:r>
        <w:t xml:space="preserve">Exceptions</w:t>
      </w:r>
    </w:p>
    <w:p>
      <w:pPr>
        <w:pStyle w:val="FirstParagraph"/>
      </w:pPr>
      <w:r>
        <w:t xml:space="preserve">A team that cannot meet a MUST requirement submits a written exception request containing the requirement, business justification, risk assessment, compensating controls, owner and an expiry date no later than 12 months away. The CISO (or delegate) approves or declines it; approved exceptions are logged in the risk register, reviewed at expiry and reported in the monthly metrics. No exception may be granted for anything required by law.</w:t>
      </w:r>
    </w:p>
    <w:bookmarkEnd w:id="88"/>
    <w:bookmarkEnd w:id="89"/>
    <w:bookmarkStart w:id="95" w:name="appendices"/>
    <w:p>
      <w:pPr>
        <w:pStyle w:val="Heading2"/>
      </w:pPr>
      <w:r>
        <w:t xml:space="preserve">Appendices</w:t>
      </w:r>
    </w:p>
    <w:bookmarkStart w:id="90" w:name="Xc4b821d4f54b56811a4cf94dbec5340aea66c16"/>
    <w:p>
      <w:pPr>
        <w:pStyle w:val="Heading3"/>
      </w:pPr>
      <w:r>
        <w:t xml:space="preserve">Appendix A. Developer pre-commit checklist</w:t>
      </w:r>
    </w:p>
    <w:p>
      <w:pPr>
        <w:numPr>
          <w:ilvl w:val="0"/>
          <w:numId w:val="1040"/>
        </w:numPr>
        <w:pStyle w:val="Compact"/>
      </w:pPr>
      <w:r>
        <w:t xml:space="preserve">☐ Input is validated server side and output is encoded for its context</w:t>
      </w:r>
    </w:p>
    <w:p>
      <w:pPr>
        <w:numPr>
          <w:ilvl w:val="0"/>
          <w:numId w:val="1040"/>
        </w:numPr>
        <w:pStyle w:val="Compact"/>
      </w:pPr>
      <w:r>
        <w:t xml:space="preserve">☐ Queries are parameterized; no shell commands built from user input</w:t>
      </w:r>
    </w:p>
    <w:p>
      <w:pPr>
        <w:numPr>
          <w:ilvl w:val="0"/>
          <w:numId w:val="1040"/>
        </w:numPr>
        <w:pStyle w:val="Compact"/>
      </w:pPr>
      <w:r>
        <w:t xml:space="preserve">☐ Authentication and authorization are enforced on every new endpoint, including object-level checks</w:t>
      </w:r>
    </w:p>
    <w:p>
      <w:pPr>
        <w:numPr>
          <w:ilvl w:val="0"/>
          <w:numId w:val="1040"/>
        </w:numPr>
        <w:pStyle w:val="Compact"/>
      </w:pPr>
      <w:r>
        <w:t xml:space="preserve">☐ No secrets, tokens, keys or personal data in code, config, tests or logs</w:t>
      </w:r>
    </w:p>
    <w:p>
      <w:pPr>
        <w:numPr>
          <w:ilvl w:val="0"/>
          <w:numId w:val="1040"/>
        </w:numPr>
        <w:pStyle w:val="Compact"/>
      </w:pPr>
      <w:r>
        <w:t xml:space="preserve">☐ Errors are handled safely and reveal no internal detail</w:t>
      </w:r>
    </w:p>
    <w:p>
      <w:pPr>
        <w:numPr>
          <w:ilvl w:val="0"/>
          <w:numId w:val="1040"/>
        </w:numPr>
        <w:pStyle w:val="Compact"/>
      </w:pPr>
      <w:r>
        <w:t xml:space="preserve">☐ New dependencies are vetted, pinned and scanned</w:t>
      </w:r>
    </w:p>
    <w:p>
      <w:pPr>
        <w:numPr>
          <w:ilvl w:val="0"/>
          <w:numId w:val="1040"/>
        </w:numPr>
        <w:pStyle w:val="Compact"/>
      </w:pPr>
      <w:r>
        <w:t xml:space="preserve">☐ Security tests added for new logic and for any fixed vulnerability</w:t>
      </w:r>
    </w:p>
    <w:p>
      <w:pPr>
        <w:numPr>
          <w:ilvl w:val="0"/>
          <w:numId w:val="1040"/>
        </w:numPr>
        <w:pStyle w:val="Compact"/>
      </w:pPr>
      <w:r>
        <w:t xml:space="preserve">☐ SAST, SCA and secret scans pass locally and in the pipeline</w:t>
      </w:r>
    </w:p>
    <w:p>
      <w:pPr>
        <w:numPr>
          <w:ilvl w:val="0"/>
          <w:numId w:val="1040"/>
        </w:numPr>
        <w:pStyle w:val="Compact"/>
      </w:pPr>
      <w:r>
        <w:t xml:space="preserve">☐ AI-generated code has been reviewed line by line</w:t>
      </w:r>
    </w:p>
    <w:bookmarkEnd w:id="90"/>
    <w:bookmarkStart w:id="91" w:name="appendix-b.-design-review-checklist"/>
    <w:p>
      <w:pPr>
        <w:pStyle w:val="Heading3"/>
      </w:pPr>
      <w:r>
        <w:t xml:space="preserve">Appendix B. Design review checklist</w:t>
      </w:r>
    </w:p>
    <w:p>
      <w:pPr>
        <w:numPr>
          <w:ilvl w:val="0"/>
          <w:numId w:val="1041"/>
        </w:numPr>
        <w:pStyle w:val="Compact"/>
      </w:pPr>
      <w:r>
        <w:t xml:space="preserve">☐ Data classified and flows documented with trust boundaries</w:t>
      </w:r>
    </w:p>
    <w:p>
      <w:pPr>
        <w:numPr>
          <w:ilvl w:val="0"/>
          <w:numId w:val="1041"/>
        </w:numPr>
        <w:pStyle w:val="Compact"/>
      </w:pPr>
      <w:r>
        <w:t xml:space="preserve">☐ Threat model completed and mitigations tracked in the backlog</w:t>
      </w:r>
    </w:p>
    <w:p>
      <w:pPr>
        <w:numPr>
          <w:ilvl w:val="0"/>
          <w:numId w:val="1041"/>
        </w:numPr>
        <w:pStyle w:val="Compact"/>
      </w:pPr>
      <w:r>
        <w:t xml:space="preserve">☐ Authentication, authorization and session design reviewed</w:t>
      </w:r>
    </w:p>
    <w:p>
      <w:pPr>
        <w:numPr>
          <w:ilvl w:val="0"/>
          <w:numId w:val="1041"/>
        </w:numPr>
        <w:pStyle w:val="Compact"/>
      </w:pPr>
      <w:r>
        <w:t xml:space="preserve">☐ Encryption in transit and at rest specified; keys managed in a KMS or vault</w:t>
      </w:r>
    </w:p>
    <w:p>
      <w:pPr>
        <w:numPr>
          <w:ilvl w:val="0"/>
          <w:numId w:val="1041"/>
        </w:numPr>
        <w:pStyle w:val="Compact"/>
      </w:pPr>
      <w:r>
        <w:t xml:space="preserve">☐ External interfaces and third-party integrations assessed</w:t>
      </w:r>
    </w:p>
    <w:p>
      <w:pPr>
        <w:numPr>
          <w:ilvl w:val="0"/>
          <w:numId w:val="1041"/>
        </w:numPr>
        <w:pStyle w:val="Compact"/>
      </w:pPr>
      <w:r>
        <w:t xml:space="preserve">☐ Logging, monitoring and alerting requirements defined</w:t>
      </w:r>
    </w:p>
    <w:p>
      <w:pPr>
        <w:numPr>
          <w:ilvl w:val="0"/>
          <w:numId w:val="1041"/>
        </w:numPr>
        <w:pStyle w:val="Compact"/>
      </w:pPr>
      <w:r>
        <w:t xml:space="preserve">☐ Privacy impact and data retention addressed</w:t>
      </w:r>
    </w:p>
    <w:p>
      <w:pPr>
        <w:numPr>
          <w:ilvl w:val="0"/>
          <w:numId w:val="1041"/>
        </w:numPr>
        <w:pStyle w:val="Compact"/>
      </w:pPr>
      <w:r>
        <w:t xml:space="preserve">☐ Failure modes fail closed; abuse and denial-of-service cases considered</w:t>
      </w:r>
    </w:p>
    <w:p>
      <w:pPr>
        <w:numPr>
          <w:ilvl w:val="0"/>
          <w:numId w:val="1041"/>
        </w:numPr>
        <w:pStyle w:val="Compact"/>
      </w:pPr>
      <w:r>
        <w:t xml:space="preserve">☐ Deployment, secrets and pipeline design reviewed</w:t>
      </w:r>
    </w:p>
    <w:bookmarkEnd w:id="91"/>
    <w:bookmarkStart w:id="92" w:name="appendix-c.-release-security-checklist"/>
    <w:p>
      <w:pPr>
        <w:pStyle w:val="Heading3"/>
      </w:pPr>
      <w:r>
        <w:t xml:space="preserve">Appendix C. Release security checklist</w:t>
      </w:r>
    </w:p>
    <w:p>
      <w:pPr>
        <w:numPr>
          <w:ilvl w:val="0"/>
          <w:numId w:val="1042"/>
        </w:numPr>
        <w:pStyle w:val="Compact"/>
      </w:pPr>
      <w:r>
        <w:t xml:space="preserve">☐ No open Critical or High findings (or approved exceptions on file)</w:t>
      </w:r>
    </w:p>
    <w:p>
      <w:pPr>
        <w:numPr>
          <w:ilvl w:val="0"/>
          <w:numId w:val="1042"/>
        </w:numPr>
        <w:pStyle w:val="Compact"/>
      </w:pPr>
      <w:r>
        <w:t xml:space="preserve">☐ Penetration test completed and findings handled (Tier 1)</w:t>
      </w:r>
    </w:p>
    <w:p>
      <w:pPr>
        <w:numPr>
          <w:ilvl w:val="0"/>
          <w:numId w:val="1042"/>
        </w:numPr>
        <w:pStyle w:val="Compact"/>
      </w:pPr>
      <w:r>
        <w:t xml:space="preserve">☐ SBOM produced; dependencies patched; artifacts signed</w:t>
      </w:r>
    </w:p>
    <w:p>
      <w:pPr>
        <w:numPr>
          <w:ilvl w:val="0"/>
          <w:numId w:val="1042"/>
        </w:numPr>
        <w:pStyle w:val="Compact"/>
      </w:pPr>
      <w:r>
        <w:t xml:space="preserve">☐ Production configuration hardened; defaults and debug features removed</w:t>
      </w:r>
    </w:p>
    <w:p>
      <w:pPr>
        <w:numPr>
          <w:ilvl w:val="0"/>
          <w:numId w:val="1042"/>
        </w:numPr>
        <w:pStyle w:val="Compact"/>
      </w:pPr>
      <w:r>
        <w:t xml:space="preserve">☐ Secrets in the vault; service accounts least-privilege</w:t>
      </w:r>
    </w:p>
    <w:p>
      <w:pPr>
        <w:numPr>
          <w:ilvl w:val="0"/>
          <w:numId w:val="1042"/>
        </w:numPr>
        <w:pStyle w:val="Compact"/>
      </w:pPr>
      <w:r>
        <w:t xml:space="preserve">☐ Monitoring, alerting, backup and rollback tested</w:t>
      </w:r>
    </w:p>
    <w:p>
      <w:pPr>
        <w:numPr>
          <w:ilvl w:val="0"/>
          <w:numId w:val="1042"/>
        </w:numPr>
        <w:pStyle w:val="Compact"/>
      </w:pPr>
      <w:r>
        <w:t xml:space="preserve">☐ Incident contacts and runbooks current</w:t>
      </w:r>
    </w:p>
    <w:p>
      <w:pPr>
        <w:numPr>
          <w:ilvl w:val="0"/>
          <w:numId w:val="1042"/>
        </w:numPr>
        <w:pStyle w:val="Compact"/>
      </w:pPr>
      <w:r>
        <w:t xml:space="preserve">☐ Security sign-off recorded (Tier 1)</w:t>
      </w:r>
    </w:p>
    <w:bookmarkEnd w:id="92"/>
    <w:bookmarkStart w:id="93" w:name="appendix-d.-references-and-standards"/>
    <w:p>
      <w:pPr>
        <w:pStyle w:val="Heading3"/>
      </w:pPr>
      <w:r>
        <w:t xml:space="preserve">Appendix D. References and standards</w:t>
      </w:r>
    </w:p>
    <w:p>
      <w:pPr>
        <w:numPr>
          <w:ilvl w:val="0"/>
          <w:numId w:val="1043"/>
        </w:numPr>
        <w:pStyle w:val="Compact"/>
      </w:pPr>
      <w:r>
        <w:t xml:space="preserve">NIST SP 800-218, Secure Software Development Framework (SSDF)</w:t>
      </w:r>
    </w:p>
    <w:p>
      <w:pPr>
        <w:numPr>
          <w:ilvl w:val="0"/>
          <w:numId w:val="1043"/>
        </w:numPr>
        <w:pStyle w:val="Compact"/>
      </w:pPr>
      <w:r>
        <w:t xml:space="preserve">NIST SP 800-63B, Digital Identity Guidelines</w:t>
      </w:r>
    </w:p>
    <w:p>
      <w:pPr>
        <w:numPr>
          <w:ilvl w:val="0"/>
          <w:numId w:val="1043"/>
        </w:numPr>
        <w:pStyle w:val="Compact"/>
      </w:pPr>
      <w:r>
        <w:t xml:space="preserve">OWASP Application Security Verification Standard (ASVS)</w:t>
      </w:r>
    </w:p>
    <w:p>
      <w:pPr>
        <w:numPr>
          <w:ilvl w:val="0"/>
          <w:numId w:val="1043"/>
        </w:numPr>
        <w:pStyle w:val="Compact"/>
      </w:pPr>
      <w:r>
        <w:t xml:space="preserve">OWASP Software Assurance Maturity Model (SAMM)</w:t>
      </w:r>
    </w:p>
    <w:p>
      <w:pPr>
        <w:numPr>
          <w:ilvl w:val="0"/>
          <w:numId w:val="1043"/>
        </w:numPr>
        <w:pStyle w:val="Compact"/>
      </w:pPr>
      <w:r>
        <w:t xml:space="preserve">OWASP Top 10 and OWASP Top 10 for LLM Applications</w:t>
      </w:r>
    </w:p>
    <w:p>
      <w:pPr>
        <w:numPr>
          <w:ilvl w:val="0"/>
          <w:numId w:val="1043"/>
        </w:numPr>
        <w:pStyle w:val="Compact"/>
      </w:pPr>
      <w:r>
        <w:t xml:space="preserve">OWASP Mobile Application Security Verification Standard (MASVS)</w:t>
      </w:r>
    </w:p>
    <w:p>
      <w:pPr>
        <w:numPr>
          <w:ilvl w:val="0"/>
          <w:numId w:val="1043"/>
        </w:numPr>
        <w:pStyle w:val="Compact"/>
      </w:pPr>
      <w:r>
        <w:t xml:space="preserve">OWASP Cheat Sheet Series</w:t>
      </w:r>
    </w:p>
    <w:p>
      <w:pPr>
        <w:numPr>
          <w:ilvl w:val="0"/>
          <w:numId w:val="1043"/>
        </w:numPr>
        <w:pStyle w:val="Compact"/>
      </w:pPr>
      <w:r>
        <w:t xml:space="preserve">ISO/IEC 27034 (Application security) and ISO/IEC 27001:2022</w:t>
      </w:r>
    </w:p>
    <w:p>
      <w:pPr>
        <w:numPr>
          <w:ilvl w:val="0"/>
          <w:numId w:val="1043"/>
        </w:numPr>
        <w:pStyle w:val="Compact"/>
      </w:pPr>
      <w:r>
        <w:t xml:space="preserve">CIS Benchmarks and CIS Critical Security Controls</w:t>
      </w:r>
    </w:p>
    <w:p>
      <w:pPr>
        <w:numPr>
          <w:ilvl w:val="0"/>
          <w:numId w:val="1043"/>
        </w:numPr>
        <w:pStyle w:val="Compact"/>
      </w:pPr>
      <w:r>
        <w:t xml:space="preserve">SLSA (Supply-chain Levels for Software Artifacts)</w:t>
      </w:r>
    </w:p>
    <w:p>
      <w:pPr>
        <w:numPr>
          <w:ilvl w:val="0"/>
          <w:numId w:val="1043"/>
        </w:numPr>
        <w:pStyle w:val="Compact"/>
      </w:pPr>
      <w:r>
        <w:t xml:space="preserve">PCI DSS v4.0, Requirement 6</w:t>
      </w:r>
    </w:p>
    <w:p>
      <w:pPr>
        <w:numPr>
          <w:ilvl w:val="0"/>
          <w:numId w:val="1043"/>
        </w:numPr>
        <w:pStyle w:val="Compact"/>
      </w:pPr>
      <w:r>
        <w:t xml:space="preserve">CISA Known Exploited Vulnerabilities (KEV) catalog</w:t>
      </w:r>
    </w:p>
    <w:bookmarkEnd w:id="93"/>
    <w:bookmarkStart w:id="94" w:name="appendix-e.-glossary"/>
    <w:p>
      <w:pPr>
        <w:pStyle w:val="Heading3"/>
      </w:pPr>
      <w:r>
        <w:t xml:space="preserve">Appendix E. Glossary</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CellMar>
          <w:top w:w="60" w:type="dxa"/>
          <w:bottom w:w="60" w:type="dxa"/>
          <w:left w:w="100" w:type="dxa"/>
          <w:right w:w="100" w:type="dxa"/>
        </w:tblCellMar>
      </w:tblPr>
      <w:tblGrid>
        <w:gridCol w:w="2304"/>
        <w:gridCol w:w="7296"/>
      </w:tblGrid>
      <w:tr>
        <w:trPr>
          <w:tblHeader w:val="true"/>
          <w:cantSplit/>
          <w:tblHeader/>
        </w:trPr>
        <w:tc>
          <w:tcPr>
            <w:tcW w:w="2304" w:type="dxa"/>
            <w:shd w:val="clear" w:color="auto" w:fill="1F3864"/>
          </w:tcPr>
          <w:p>
            <w:pPr>
              <w:pStyle w:val="Compact"/>
              <w:spacing w:after="0"/>
              <w:jc w:val="left"/>
            </w:pPr>
            <w:r>
              <w:rPr>
                <w:rFonts w:ascii="Calibri" w:hAnsi="Calibri"/>
                <w:b/>
                <w:color w:val="FFFFFF"/>
                <w:sz w:val="19"/>
              </w:rPr>
              <w:t xml:space="preserve">Term</w:t>
            </w:r>
          </w:p>
        </w:tc>
        <w:tc>
          <w:tcPr>
            <w:tcW w:w="7296" w:type="dxa"/>
            <w:shd w:val="clear" w:color="auto" w:fill="1F3864"/>
          </w:tcPr>
          <w:p>
            <w:pPr>
              <w:pStyle w:val="Compact"/>
              <w:spacing w:after="0"/>
              <w:jc w:val="left"/>
            </w:pPr>
            <w:r>
              <w:rPr>
                <w:rFonts w:ascii="Calibri" w:hAnsi="Calibri"/>
                <w:b/>
                <w:color w:val="FFFFFF"/>
                <w:sz w:val="19"/>
              </w:rPr>
              <w:t xml:space="preserve">Meaning</w:t>
            </w:r>
          </w:p>
        </w:tc>
      </w:tr>
      <w:tr>
        <w:trPr>
          <w:cantSplit/>
        </w:trPr>
        <w:tc>
          <w:tcPr>
            <w:tcW w:w="2304" w:type="dxa"/>
            <w:shd w:val="clear" w:color="auto" w:fill="F2F2F2"/>
          </w:tcPr>
          <w:p>
            <w:pPr>
              <w:pStyle w:val="Compact"/>
              <w:spacing w:after="0"/>
              <w:jc w:val="left"/>
            </w:pPr>
            <w:r>
              <w:rPr>
                <w:rFonts w:ascii="Calibri" w:hAnsi="Calibri"/>
                <w:b/>
                <w:sz w:val="19"/>
              </w:rPr>
              <w:t xml:space="preserve">SAST / DAST / IAST</w:t>
            </w:r>
          </w:p>
        </w:tc>
        <w:tc>
          <w:tcPr>
            <w:tcW w:w="7296" w:type="dxa"/>
          </w:tcPr>
          <w:p>
            <w:pPr>
              <w:pStyle w:val="Compact"/>
              <w:spacing w:after="0"/>
              <w:jc w:val="left"/>
            </w:pPr>
            <w:r>
              <w:rPr>
                <w:rFonts w:ascii="Calibri" w:hAnsi="Calibri"/>
                <w:sz w:val="19"/>
              </w:rPr>
              <w:t xml:space="preserve">Static, dynamic and interactive application security testing</w:t>
            </w:r>
          </w:p>
        </w:tc>
      </w:tr>
      <w:tr>
        <w:trPr>
          <w:cantSplit/>
        </w:trPr>
        <w:tc>
          <w:tcPr>
            <w:tcW w:w="2304" w:type="dxa"/>
            <w:shd w:val="clear" w:color="auto" w:fill="F2F2F2"/>
          </w:tcPr>
          <w:p>
            <w:pPr>
              <w:pStyle w:val="Compact"/>
              <w:spacing w:after="0"/>
              <w:jc w:val="left"/>
            </w:pPr>
            <w:r>
              <w:rPr>
                <w:rFonts w:ascii="Calibri" w:hAnsi="Calibri"/>
                <w:b/>
                <w:sz w:val="19"/>
              </w:rPr>
              <w:t xml:space="preserve">SCA</w:t>
            </w:r>
          </w:p>
        </w:tc>
        <w:tc>
          <w:tcPr>
            <w:tcW w:w="7296" w:type="dxa"/>
          </w:tcPr>
          <w:p>
            <w:pPr>
              <w:pStyle w:val="Compact"/>
              <w:spacing w:after="0"/>
              <w:jc w:val="left"/>
            </w:pPr>
            <w:r>
              <w:rPr>
                <w:rFonts w:ascii="Calibri" w:hAnsi="Calibri"/>
                <w:sz w:val="19"/>
              </w:rPr>
              <w:t xml:space="preserve">Software composition analysis: finding known vulnerabilities in third-party components</w:t>
            </w:r>
          </w:p>
        </w:tc>
      </w:tr>
      <w:tr>
        <w:trPr>
          <w:cantSplit/>
        </w:trPr>
        <w:tc>
          <w:tcPr>
            <w:tcW w:w="2304" w:type="dxa"/>
            <w:shd w:val="clear" w:color="auto" w:fill="F2F2F2"/>
          </w:tcPr>
          <w:p>
            <w:pPr>
              <w:pStyle w:val="Compact"/>
              <w:spacing w:after="0"/>
              <w:jc w:val="left"/>
            </w:pPr>
            <w:r>
              <w:rPr>
                <w:rFonts w:ascii="Calibri" w:hAnsi="Calibri"/>
                <w:b/>
                <w:sz w:val="19"/>
              </w:rPr>
              <w:t xml:space="preserve">SBOM</w:t>
            </w:r>
          </w:p>
        </w:tc>
        <w:tc>
          <w:tcPr>
            <w:tcW w:w="7296" w:type="dxa"/>
          </w:tcPr>
          <w:p>
            <w:pPr>
              <w:pStyle w:val="Compact"/>
              <w:spacing w:after="0"/>
              <w:jc w:val="left"/>
            </w:pPr>
            <w:r>
              <w:rPr>
                <w:rFonts w:ascii="Calibri" w:hAnsi="Calibri"/>
                <w:sz w:val="19"/>
              </w:rPr>
              <w:t xml:space="preserve">Software bill of materials: a list of components in a build</w:t>
            </w:r>
          </w:p>
        </w:tc>
      </w:tr>
      <w:tr>
        <w:trPr>
          <w:cantSplit/>
        </w:trPr>
        <w:tc>
          <w:tcPr>
            <w:tcW w:w="2304" w:type="dxa"/>
            <w:shd w:val="clear" w:color="auto" w:fill="F2F2F2"/>
          </w:tcPr>
          <w:p>
            <w:pPr>
              <w:pStyle w:val="Compact"/>
              <w:spacing w:after="0"/>
              <w:jc w:val="left"/>
            </w:pPr>
            <w:r>
              <w:rPr>
                <w:rFonts w:ascii="Calibri" w:hAnsi="Calibri"/>
                <w:b/>
                <w:sz w:val="19"/>
              </w:rPr>
              <w:t xml:space="preserve">VEX</w:t>
            </w:r>
          </w:p>
        </w:tc>
        <w:tc>
          <w:tcPr>
            <w:tcW w:w="7296" w:type="dxa"/>
          </w:tcPr>
          <w:p>
            <w:pPr>
              <w:pStyle w:val="Compact"/>
              <w:spacing w:after="0"/>
              <w:jc w:val="left"/>
            </w:pPr>
            <w:r>
              <w:rPr>
                <w:rFonts w:ascii="Calibri" w:hAnsi="Calibri"/>
                <w:sz w:val="19"/>
              </w:rPr>
              <w:t xml:space="preserve">Vulnerability exploitability exchange: a statement of whether a component’s flaw affects a product</w:t>
            </w:r>
          </w:p>
        </w:tc>
      </w:tr>
      <w:tr>
        <w:trPr>
          <w:cantSplit/>
        </w:trPr>
        <w:tc>
          <w:tcPr>
            <w:tcW w:w="2304" w:type="dxa"/>
            <w:shd w:val="clear" w:color="auto" w:fill="F2F2F2"/>
          </w:tcPr>
          <w:p>
            <w:pPr>
              <w:pStyle w:val="Compact"/>
              <w:spacing w:after="0"/>
              <w:jc w:val="left"/>
            </w:pPr>
            <w:r>
              <w:rPr>
                <w:rFonts w:ascii="Calibri" w:hAnsi="Calibri"/>
                <w:b/>
                <w:sz w:val="19"/>
              </w:rPr>
              <w:t xml:space="preserve">STRIDE</w:t>
            </w:r>
          </w:p>
        </w:tc>
        <w:tc>
          <w:tcPr>
            <w:tcW w:w="7296" w:type="dxa"/>
          </w:tcPr>
          <w:p>
            <w:pPr>
              <w:pStyle w:val="Compact"/>
              <w:spacing w:after="0"/>
              <w:jc w:val="left"/>
            </w:pPr>
            <w:r>
              <w:rPr>
                <w:rFonts w:ascii="Calibri" w:hAnsi="Calibri"/>
                <w:sz w:val="19"/>
              </w:rPr>
              <w:t xml:space="preserve">Threat categories: Spoofing, Tampering, Repudiation, Information disclosure, Denial of service, Elevation of privilege</w:t>
            </w:r>
          </w:p>
        </w:tc>
      </w:tr>
      <w:tr>
        <w:trPr>
          <w:cantSplit/>
        </w:trPr>
        <w:tc>
          <w:tcPr>
            <w:tcW w:w="2304" w:type="dxa"/>
            <w:shd w:val="clear" w:color="auto" w:fill="F2F2F2"/>
          </w:tcPr>
          <w:p>
            <w:pPr>
              <w:pStyle w:val="Compact"/>
              <w:spacing w:after="0"/>
              <w:jc w:val="left"/>
            </w:pPr>
            <w:r>
              <w:rPr>
                <w:rFonts w:ascii="Calibri" w:hAnsi="Calibri"/>
                <w:b/>
                <w:sz w:val="19"/>
              </w:rPr>
              <w:t xml:space="preserve">IDOR / BOLA</w:t>
            </w:r>
          </w:p>
        </w:tc>
        <w:tc>
          <w:tcPr>
            <w:tcW w:w="7296" w:type="dxa"/>
          </w:tcPr>
          <w:p>
            <w:pPr>
              <w:pStyle w:val="Compact"/>
              <w:spacing w:after="0"/>
              <w:jc w:val="left"/>
            </w:pPr>
            <w:r>
              <w:rPr>
                <w:rFonts w:ascii="Calibri" w:hAnsi="Calibri"/>
                <w:sz w:val="19"/>
              </w:rPr>
              <w:t xml:space="preserve">Insecure direct object reference / broken object level authorization: accessing records you should not</w:t>
            </w:r>
          </w:p>
        </w:tc>
      </w:tr>
      <w:tr>
        <w:trPr>
          <w:cantSplit/>
        </w:trPr>
        <w:tc>
          <w:tcPr>
            <w:tcW w:w="2304" w:type="dxa"/>
            <w:shd w:val="clear" w:color="auto" w:fill="F2F2F2"/>
          </w:tcPr>
          <w:p>
            <w:pPr>
              <w:pStyle w:val="Compact"/>
              <w:spacing w:after="0"/>
              <w:jc w:val="left"/>
            </w:pPr>
            <w:r>
              <w:rPr>
                <w:rFonts w:ascii="Calibri" w:hAnsi="Calibri"/>
                <w:b/>
                <w:sz w:val="19"/>
              </w:rPr>
              <w:t xml:space="preserve">SSRF</w:t>
            </w:r>
          </w:p>
        </w:tc>
        <w:tc>
          <w:tcPr>
            <w:tcW w:w="7296" w:type="dxa"/>
          </w:tcPr>
          <w:p>
            <w:pPr>
              <w:pStyle w:val="Compact"/>
              <w:spacing w:after="0"/>
              <w:jc w:val="left"/>
            </w:pPr>
            <w:r>
              <w:rPr>
                <w:rFonts w:ascii="Calibri" w:hAnsi="Calibri"/>
                <w:sz w:val="19"/>
              </w:rPr>
              <w:t xml:space="preserve">Server-side request forgery: making a server send requests on an attacker’s behalf</w:t>
            </w:r>
          </w:p>
        </w:tc>
      </w:tr>
      <w:tr>
        <w:trPr>
          <w:cantSplit/>
        </w:trPr>
        <w:tc>
          <w:tcPr>
            <w:tcW w:w="2304" w:type="dxa"/>
            <w:shd w:val="clear" w:color="auto" w:fill="F2F2F2"/>
          </w:tcPr>
          <w:p>
            <w:pPr>
              <w:pStyle w:val="Compact"/>
              <w:spacing w:after="0"/>
              <w:jc w:val="left"/>
            </w:pPr>
            <w:r>
              <w:rPr>
                <w:rFonts w:ascii="Calibri" w:hAnsi="Calibri"/>
                <w:b/>
                <w:sz w:val="19"/>
              </w:rPr>
              <w:t xml:space="preserve">CSRF</w:t>
            </w:r>
          </w:p>
        </w:tc>
        <w:tc>
          <w:tcPr>
            <w:tcW w:w="7296" w:type="dxa"/>
          </w:tcPr>
          <w:p>
            <w:pPr>
              <w:pStyle w:val="Compact"/>
              <w:spacing w:after="0"/>
              <w:jc w:val="left"/>
            </w:pPr>
            <w:r>
              <w:rPr>
                <w:rFonts w:ascii="Calibri" w:hAnsi="Calibri"/>
                <w:sz w:val="19"/>
              </w:rPr>
              <w:t xml:space="preserve">Cross-site request forgery: tricking a user’s browser into an unwanted action</w:t>
            </w:r>
          </w:p>
        </w:tc>
      </w:tr>
      <w:tr>
        <w:trPr>
          <w:cantSplit/>
        </w:trPr>
        <w:tc>
          <w:tcPr>
            <w:tcW w:w="2304" w:type="dxa"/>
            <w:shd w:val="clear" w:color="auto" w:fill="F2F2F2"/>
          </w:tcPr>
          <w:p>
            <w:pPr>
              <w:pStyle w:val="Compact"/>
              <w:spacing w:after="0"/>
              <w:jc w:val="left"/>
            </w:pPr>
            <w:r>
              <w:rPr>
                <w:rFonts w:ascii="Calibri" w:hAnsi="Calibri"/>
                <w:b/>
                <w:sz w:val="19"/>
              </w:rPr>
              <w:t xml:space="preserve">PKCE</w:t>
            </w:r>
          </w:p>
        </w:tc>
        <w:tc>
          <w:tcPr>
            <w:tcW w:w="7296" w:type="dxa"/>
          </w:tcPr>
          <w:p>
            <w:pPr>
              <w:pStyle w:val="Compact"/>
              <w:spacing w:after="0"/>
              <w:jc w:val="left"/>
            </w:pPr>
            <w:r>
              <w:rPr>
                <w:rFonts w:ascii="Calibri" w:hAnsi="Calibri"/>
                <w:sz w:val="19"/>
              </w:rPr>
              <w:t xml:space="preserve">Proof Key for Code Exchange: protects the OAuth authorization code flow</w:t>
            </w:r>
          </w:p>
        </w:tc>
      </w:tr>
      <w:tr>
        <w:trPr>
          <w:cantSplit/>
        </w:trPr>
        <w:tc>
          <w:tcPr>
            <w:tcW w:w="2304" w:type="dxa"/>
            <w:shd w:val="clear" w:color="auto" w:fill="F2F2F2"/>
          </w:tcPr>
          <w:p>
            <w:pPr>
              <w:pStyle w:val="Compact"/>
              <w:spacing w:after="0"/>
              <w:jc w:val="left"/>
            </w:pPr>
            <w:r>
              <w:rPr>
                <w:rFonts w:ascii="Calibri" w:hAnsi="Calibri"/>
                <w:b/>
                <w:sz w:val="19"/>
              </w:rPr>
              <w:t xml:space="preserve">EPSS</w:t>
            </w:r>
          </w:p>
        </w:tc>
        <w:tc>
          <w:tcPr>
            <w:tcW w:w="7296" w:type="dxa"/>
          </w:tcPr>
          <w:p>
            <w:pPr>
              <w:pStyle w:val="Compact"/>
              <w:spacing w:after="0"/>
              <w:jc w:val="left"/>
            </w:pPr>
            <w:r>
              <w:rPr>
                <w:rFonts w:ascii="Calibri" w:hAnsi="Calibri"/>
                <w:sz w:val="19"/>
              </w:rPr>
              <w:t xml:space="preserve">Exploit Prediction Scoring System: probability a flaw will be exploited</w:t>
            </w:r>
          </w:p>
        </w:tc>
      </w:tr>
      <w:tr>
        <w:trPr>
          <w:cantSplit/>
        </w:trPr>
        <w:tc>
          <w:tcPr>
            <w:tcW w:w="2304" w:type="dxa"/>
            <w:shd w:val="clear" w:color="auto" w:fill="F2F2F2"/>
          </w:tcPr>
          <w:p>
            <w:pPr>
              <w:pStyle w:val="Compact"/>
              <w:spacing w:after="0"/>
              <w:jc w:val="left"/>
            </w:pPr>
            <w:r>
              <w:rPr>
                <w:rFonts w:ascii="Calibri" w:hAnsi="Calibri"/>
                <w:b/>
                <w:sz w:val="19"/>
              </w:rPr>
              <w:t xml:space="preserve">KEV</w:t>
            </w:r>
          </w:p>
        </w:tc>
        <w:tc>
          <w:tcPr>
            <w:tcW w:w="7296" w:type="dxa"/>
          </w:tcPr>
          <w:p>
            <w:pPr>
              <w:pStyle w:val="Compact"/>
              <w:spacing w:after="0"/>
              <w:jc w:val="left"/>
            </w:pPr>
            <w:r>
              <w:rPr>
                <w:rFonts w:ascii="Calibri" w:hAnsi="Calibri"/>
                <w:sz w:val="19"/>
              </w:rPr>
              <w:t xml:space="preserve">CISA’s catalog of vulnerabilities known to be exploited</w:t>
            </w:r>
          </w:p>
        </w:tc>
      </w:tr>
      <w:tr>
        <w:trPr>
          <w:cantSplit/>
        </w:trPr>
        <w:tc>
          <w:tcPr>
            <w:tcW w:w="2304" w:type="dxa"/>
            <w:shd w:val="clear" w:color="auto" w:fill="F2F2F2"/>
          </w:tcPr>
          <w:p>
            <w:pPr>
              <w:pStyle w:val="Compact"/>
              <w:spacing w:after="0"/>
              <w:jc w:val="left"/>
            </w:pPr>
            <w:r>
              <w:rPr>
                <w:rFonts w:ascii="Calibri" w:hAnsi="Calibri"/>
                <w:b/>
                <w:sz w:val="19"/>
              </w:rPr>
              <w:t xml:space="preserve">IaC</w:t>
            </w:r>
          </w:p>
        </w:tc>
        <w:tc>
          <w:tcPr>
            <w:tcW w:w="7296" w:type="dxa"/>
          </w:tcPr>
          <w:p>
            <w:pPr>
              <w:pStyle w:val="Compact"/>
              <w:spacing w:after="0"/>
              <w:jc w:val="left"/>
            </w:pPr>
            <w:r>
              <w:rPr>
                <w:rFonts w:ascii="Calibri" w:hAnsi="Calibri"/>
                <w:sz w:val="19"/>
              </w:rPr>
              <w:t xml:space="preserve">Infrastructure as code</w:t>
            </w:r>
          </w:p>
        </w:tc>
      </w:tr>
      <w:tr>
        <w:trPr>
          <w:cantSplit/>
        </w:trPr>
        <w:tc>
          <w:tcPr>
            <w:tcW w:w="2304" w:type="dxa"/>
            <w:shd w:val="clear" w:color="auto" w:fill="F2F2F2"/>
          </w:tcPr>
          <w:p>
            <w:pPr>
              <w:pStyle w:val="Compact"/>
              <w:spacing w:after="0"/>
              <w:jc w:val="left"/>
            </w:pPr>
            <w:r>
              <w:rPr>
                <w:rFonts w:ascii="Calibri" w:hAnsi="Calibri"/>
                <w:b/>
                <w:sz w:val="19"/>
              </w:rPr>
              <w:t xml:space="preserve">KMS / HSM</w:t>
            </w:r>
          </w:p>
        </w:tc>
        <w:tc>
          <w:tcPr>
            <w:tcW w:w="7296" w:type="dxa"/>
          </w:tcPr>
          <w:p>
            <w:pPr>
              <w:pStyle w:val="Compact"/>
              <w:spacing w:after="0"/>
              <w:jc w:val="left"/>
            </w:pPr>
            <w:r>
              <w:rPr>
                <w:rFonts w:ascii="Calibri" w:hAnsi="Calibri"/>
                <w:sz w:val="19"/>
              </w:rPr>
              <w:t xml:space="preserve">Key management service / hardware security module</w:t>
            </w:r>
          </w:p>
        </w:tc>
      </w:tr>
      <w:tr>
        <w:trPr>
          <w:cantSplit/>
        </w:trPr>
        <w:tc>
          <w:tcPr>
            <w:tcW w:w="2304" w:type="dxa"/>
            <w:shd w:val="clear" w:color="auto" w:fill="F2F2F2"/>
          </w:tcPr>
          <w:p>
            <w:pPr>
              <w:pStyle w:val="Compact"/>
              <w:spacing w:after="0"/>
              <w:jc w:val="left"/>
            </w:pPr>
            <w:r>
              <w:rPr>
                <w:rFonts w:ascii="Calibri" w:hAnsi="Calibri"/>
                <w:b/>
                <w:sz w:val="19"/>
              </w:rPr>
              <w:t xml:space="preserve">SLSA</w:t>
            </w:r>
          </w:p>
        </w:tc>
        <w:tc>
          <w:tcPr>
            <w:tcW w:w="7296" w:type="dxa"/>
          </w:tcPr>
          <w:p>
            <w:pPr>
              <w:pStyle w:val="Compact"/>
              <w:spacing w:after="0"/>
              <w:jc w:val="left"/>
            </w:pPr>
            <w:r>
              <w:rPr>
                <w:rFonts w:ascii="Calibri" w:hAnsi="Calibri"/>
                <w:sz w:val="19"/>
              </w:rPr>
              <w:t xml:space="preserve">Framework for supply chain integrity and provenance</w:t>
            </w:r>
          </w:p>
        </w:tc>
      </w:tr>
      <w:tr>
        <w:trPr>
          <w:cantSplit/>
        </w:trPr>
        <w:tc>
          <w:tcPr>
            <w:tcW w:w="2304" w:type="dxa"/>
            <w:shd w:val="clear" w:color="auto" w:fill="F2F2F2"/>
          </w:tcPr>
          <w:p>
            <w:pPr>
              <w:pStyle w:val="Compact"/>
              <w:spacing w:after="0"/>
              <w:jc w:val="left"/>
            </w:pPr>
            <w:r>
              <w:rPr>
                <w:rFonts w:ascii="Calibri" w:hAnsi="Calibri"/>
                <w:b/>
                <w:sz w:val="19"/>
              </w:rPr>
              <w:t xml:space="preserve">Security champion</w:t>
            </w:r>
          </w:p>
        </w:tc>
        <w:tc>
          <w:tcPr>
            <w:tcW w:w="7296" w:type="dxa"/>
          </w:tcPr>
          <w:p>
            <w:pPr>
              <w:pStyle w:val="Compact"/>
              <w:spacing w:after="0"/>
              <w:jc w:val="left"/>
            </w:pPr>
            <w:r>
              <w:rPr>
                <w:rFonts w:ascii="Calibri" w:hAnsi="Calibri"/>
                <w:sz w:val="19"/>
              </w:rPr>
              <w:t xml:space="preserve">Developer who acts as a team’s security point person</w:t>
            </w:r>
          </w:p>
        </w:tc>
      </w:tr>
    </w:tbl>
    <w:bookmarkEnd w:id="94"/>
    <w:bookmarkEnd w:id="95"/>
    <w:sectPr>
      <w:headerReference w:type="default" r:id="rId9"/>
      <w:footerReference w:type="default" r:id="rId10"/>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7F7F"/>
        <w:sz w:val="18"/>
      </w:rPr>
      <w:t xml:space="preserve">Page </w:t>
    </w:r>
    <w:r>
      <w:rPr>
        <w:color w:val="7F7F7F"/>
        <w:sz w:val="18"/>
      </w:rPr>
      <w:fldChar w:fldCharType="begin"/>
      <w:instrText xml:space="preserve">PAGE</w:instrText>
      <w:fldChar w:fldCharType="end"/>
    </w:r>
    <w:r>
      <w:rPr>
        <w:color w:val="7F7F7F"/>
        <w:sz w:val="18"/>
      </w:rPr>
      <w:t xml:space="preserve"> of </w:t>
    </w:r>
    <w:r>
      <w:rPr>
        <w:color w:val="7F7F7F"/>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7F7F7F"/>
        <w:sz w:val="18"/>
      </w:rPr>
      <w:t>Secure Software Development Guidelines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1F3864"/>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hAnsi="Calibri" w:eastAsia="Calibri"/>
      <w:b w:val="0"/>
      <w:color w:val="595959"/>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eastAsia="Calibri"/>
      <w:b/>
      <w:bCs/>
      <w:color w:val="1F3864"/>
      <w:sz w:val="3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eastAsia="Calibri"/>
      <w:b/>
      <w:bCs/>
      <w:color w:val="2F5496"/>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Software Development Guidelines</dc:title>
  <dc:creator/>
  <cp:keywords/>
  <dcterms:created xsi:type="dcterms:W3CDTF">2026-10-26T22:01:04Z</dcterms:created>
  <dcterms:modified xsi:type="dcterms:W3CDTF">2026-10-26T22:01:04Z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October 2026</vt:lpwstr>
  </property>
</Properties>
</file>