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3F" w:rsidRDefault="00C5563F" w:rsidP="00B2753C">
      <w:pPr>
        <w:pStyle w:val="Heading2"/>
        <w:tabs>
          <w:tab w:val="left" w:pos="6210"/>
        </w:tabs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Question 1:</w:t>
      </w:r>
    </w:p>
    <w:p w:rsidR="00C5563F" w:rsidRDefault="00C5563F" w:rsidP="00C5563F">
      <w:pPr>
        <w:pStyle w:val="Heading3"/>
        <w:rPr>
          <w:lang w:val="en-US" w:eastAsia="en-GB"/>
        </w:rPr>
      </w:pPr>
      <w:r>
        <w:rPr>
          <w:lang w:val="en-US" w:eastAsia="en-GB"/>
        </w:rPr>
        <w:tab/>
        <w:t>Question 1.c</w:t>
      </w:r>
    </w:p>
    <w:p w:rsidR="005D301C" w:rsidRPr="005D301C" w:rsidRDefault="005D301C" w:rsidP="005D301C">
      <w:pPr>
        <w:rPr>
          <w:lang w:val="en-US" w:eastAsia="en-GB"/>
        </w:rPr>
      </w:pPr>
      <w:r>
        <w:rPr>
          <w:lang w:val="en-US" w:eastAsia="en-GB"/>
        </w:rPr>
        <w:t>Changing the number of variable from 5 to 40 with 20 disjunctions:</w:t>
      </w:r>
    </w:p>
    <w:p w:rsidR="00C5563F" w:rsidRDefault="005D301C" w:rsidP="00C5563F">
      <w:pPr>
        <w:rPr>
          <w:lang w:val="en-US" w:eastAsia="en-GB"/>
        </w:rPr>
      </w:pPr>
      <w:r>
        <w:rPr>
          <w:noProof/>
          <w:lang w:eastAsia="en-GB"/>
        </w:rPr>
        <w:drawing>
          <wp:inline distT="0" distB="0" distL="0" distR="0" wp14:anchorId="2ED7F7D5" wp14:editId="1DD6C04F">
            <wp:extent cx="4595191" cy="2743200"/>
            <wp:effectExtent l="0" t="0" r="152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6AD2" w:rsidRDefault="00F96AD2" w:rsidP="00C5563F">
      <w:pPr>
        <w:rPr>
          <w:lang w:val="en-US" w:eastAsia="en-GB"/>
        </w:rPr>
      </w:pPr>
    </w:p>
    <w:p w:rsidR="00F96AD2" w:rsidRDefault="00F96AD2" w:rsidP="00C5563F">
      <w:pPr>
        <w:rPr>
          <w:lang w:val="en-US" w:eastAsia="en-GB"/>
        </w:rPr>
      </w:pPr>
      <w:r>
        <w:rPr>
          <w:lang w:val="en-US" w:eastAsia="en-GB"/>
        </w:rPr>
        <w:t>Changing the number of disjunctions from 2 to 40 with 20 variables:</w:t>
      </w:r>
    </w:p>
    <w:p w:rsidR="00F96AD2" w:rsidRDefault="00C643D3" w:rsidP="00C5563F">
      <w:pPr>
        <w:rPr>
          <w:lang w:val="en-US" w:eastAsia="en-GB"/>
        </w:rPr>
      </w:pPr>
      <w:r>
        <w:rPr>
          <w:noProof/>
          <w:lang w:eastAsia="en-GB"/>
        </w:rPr>
        <w:drawing>
          <wp:inline distT="0" distB="0" distL="0" distR="0" wp14:anchorId="2269B14C" wp14:editId="230004DD">
            <wp:extent cx="4595191" cy="2743200"/>
            <wp:effectExtent l="0" t="0" r="1524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643D3" w:rsidRDefault="00C643D3">
      <w:pPr>
        <w:rPr>
          <w:lang w:val="en-US" w:eastAsia="en-GB"/>
        </w:rPr>
      </w:pPr>
      <w:r>
        <w:rPr>
          <w:lang w:val="en-US" w:eastAsia="en-GB"/>
        </w:rPr>
        <w:br w:type="page"/>
      </w:r>
    </w:p>
    <w:p w:rsidR="00C643D3" w:rsidRDefault="00C643D3" w:rsidP="00C5563F">
      <w:pPr>
        <w:rPr>
          <w:lang w:val="en-US" w:eastAsia="en-GB"/>
        </w:rPr>
      </w:pPr>
      <w:r>
        <w:rPr>
          <w:lang w:val="en-US" w:eastAsia="en-GB"/>
        </w:rPr>
        <w:lastRenderedPageBreak/>
        <w:t>Zooming on the [2</w:t>
      </w:r>
      <w:r w:rsidR="00344EA2">
        <w:rPr>
          <w:lang w:val="en-US" w:eastAsia="en-GB"/>
        </w:rPr>
        <w:t>, 20</w:t>
      </w:r>
      <w:r>
        <w:rPr>
          <w:lang w:val="en-US" w:eastAsia="en-GB"/>
        </w:rPr>
        <w:t>] interval:</w:t>
      </w:r>
    </w:p>
    <w:p w:rsidR="00C643D3" w:rsidRDefault="00C643D3" w:rsidP="00C5563F">
      <w:pPr>
        <w:rPr>
          <w:lang w:val="en-US" w:eastAsia="en-GB"/>
        </w:rPr>
      </w:pPr>
      <w:r>
        <w:rPr>
          <w:noProof/>
          <w:lang w:eastAsia="en-GB"/>
        </w:rPr>
        <w:drawing>
          <wp:inline distT="0" distB="0" distL="0" distR="0" wp14:anchorId="51F22452" wp14:editId="25FCEF3B">
            <wp:extent cx="4595191" cy="2743200"/>
            <wp:effectExtent l="0" t="0" r="1524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643D3" w:rsidRDefault="00C643D3" w:rsidP="00C5563F">
      <w:pPr>
        <w:rPr>
          <w:lang w:val="en-US" w:eastAsia="en-GB"/>
        </w:rPr>
      </w:pPr>
      <w:r>
        <w:rPr>
          <w:lang w:val="en-US" w:eastAsia="en-GB"/>
        </w:rPr>
        <w:t xml:space="preserve">As we can see with this as we increase the number of variable or the number of </w:t>
      </w:r>
      <w:r w:rsidR="00B2753C">
        <w:rPr>
          <w:lang w:val="en-US" w:eastAsia="en-GB"/>
        </w:rPr>
        <w:t>disjunctions the</w:t>
      </w:r>
      <w:r>
        <w:rPr>
          <w:lang w:val="en-US" w:eastAsia="en-GB"/>
        </w:rPr>
        <w:t xml:space="preserve"> brute force algorithm take exponentially more time.  The smart algorithm is however always quite similar if we change the number of variable and increase slightly with the </w:t>
      </w:r>
      <w:r w:rsidR="00B2753C">
        <w:rPr>
          <w:lang w:val="en-US" w:eastAsia="en-GB"/>
        </w:rPr>
        <w:t>number</w:t>
      </w:r>
      <w:r>
        <w:rPr>
          <w:lang w:val="en-US" w:eastAsia="en-GB"/>
        </w:rPr>
        <w:t xml:space="preserve"> of disjunction</w:t>
      </w:r>
      <w:r w:rsidR="00B2753C">
        <w:rPr>
          <w:lang w:val="en-US" w:eastAsia="en-GB"/>
        </w:rPr>
        <w:t>.</w:t>
      </w:r>
    </w:p>
    <w:p w:rsidR="00B2753C" w:rsidRPr="00B2753C" w:rsidRDefault="00B2753C" w:rsidP="00C5563F">
      <w:pPr>
        <w:rPr>
          <w:rFonts w:eastAsiaTheme="minorEastAsia"/>
          <w:lang w:val="en-US" w:eastAsia="en-GB"/>
        </w:rPr>
      </w:pPr>
      <w:r>
        <w:rPr>
          <w:lang w:val="en-US" w:eastAsia="en-GB"/>
        </w:rPr>
        <w:t>But we can see that with the graph three with a small number of variable the brute force algorithm is faster as there are not so many combination to generate(</w:t>
      </w:r>
      <m:oMath>
        <m:sSup>
          <m:sSupPr>
            <m:ctrlPr>
              <w:rPr>
                <w:rFonts w:ascii="Cambria Math" w:hAnsi="Cambria Math"/>
                <w:i/>
                <w:lang w:val="en-US" w:eastAsia="en-GB"/>
              </w:rPr>
            </m:ctrlPr>
          </m:sSupPr>
          <m:e>
            <m:r>
              <w:rPr>
                <w:rFonts w:ascii="Cambria Math" w:hAnsi="Cambria Math"/>
                <w:lang w:val="en-US" w:eastAsia="en-GB"/>
              </w:rPr>
              <m:t>2</m:t>
            </m:r>
          </m:e>
          <m:sup>
            <m:r>
              <w:rPr>
                <w:rFonts w:ascii="Cambria Math" w:hAnsi="Cambria Math"/>
                <w:lang w:val="en-US" w:eastAsia="en-GB"/>
              </w:rPr>
              <m:t>n</m:t>
            </m:r>
          </m:sup>
        </m:sSup>
        <m:r>
          <w:rPr>
            <w:rFonts w:ascii="Cambria Math" w:hAnsi="Cambria Math"/>
            <w:lang w:val="en-US" w:eastAsia="en-GB"/>
          </w:rPr>
          <m:t>)</m:t>
        </m:r>
      </m:oMath>
    </w:p>
    <w:p w:rsidR="00B2753C" w:rsidRDefault="00B2753C">
      <w:pPr>
        <w:rPr>
          <w:rFonts w:eastAsiaTheme="minorEastAsia"/>
          <w:lang w:val="en-US" w:eastAsia="en-GB"/>
        </w:rPr>
      </w:pPr>
      <w:r>
        <w:rPr>
          <w:rFonts w:eastAsiaTheme="minorEastAsia"/>
          <w:lang w:val="en-US" w:eastAsia="en-GB"/>
        </w:rPr>
        <w:br w:type="page"/>
      </w:r>
    </w:p>
    <w:p w:rsidR="00B2753C" w:rsidRPr="00B2753C" w:rsidRDefault="00B2753C" w:rsidP="00C5563F">
      <w:pPr>
        <w:rPr>
          <w:rFonts w:eastAsiaTheme="minorEastAsia"/>
          <w:lang w:val="en-US" w:eastAsia="en-GB"/>
        </w:rPr>
      </w:pPr>
    </w:p>
    <w:p w:rsidR="009F2E5B" w:rsidRPr="009F2E5B" w:rsidRDefault="009F2E5B" w:rsidP="009F2E5B">
      <w:pPr>
        <w:pStyle w:val="Heading2"/>
        <w:rPr>
          <w:rFonts w:eastAsia="Times New Roman"/>
          <w:lang w:val="en-US" w:eastAsia="en-GB"/>
        </w:rPr>
      </w:pPr>
      <w:r w:rsidRPr="009F2E5B">
        <w:rPr>
          <w:rFonts w:eastAsia="Times New Roman"/>
          <w:lang w:val="en-US" w:eastAsia="en-GB"/>
        </w:rPr>
        <w:t>Question 2:</w:t>
      </w:r>
    </w:p>
    <w:p w:rsidR="009F2E5B" w:rsidRDefault="009F2E5B" w:rsidP="00C5563F">
      <w:pPr>
        <w:pStyle w:val="Heading3"/>
        <w:ind w:firstLine="360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Question 2.a</w:t>
      </w:r>
    </w:p>
    <w:p w:rsidR="009F2E5B" w:rsidRDefault="009F2E5B" w:rsidP="009F2E5B">
      <w:pPr>
        <w:pStyle w:val="ListParagraph"/>
        <w:numPr>
          <w:ilvl w:val="0"/>
          <w:numId w:val="3"/>
        </w:numPr>
        <w:rPr>
          <w:lang w:val="en-US" w:eastAsia="en-GB"/>
        </w:rPr>
      </w:pPr>
      <w:proofErr w:type="spellStart"/>
      <w:r w:rsidRPr="009F2E5B">
        <w:rPr>
          <w:b/>
          <w:u w:val="single"/>
          <w:lang w:val="en-US" w:eastAsia="en-GB"/>
        </w:rPr>
        <w:t>MakeQueue</w:t>
      </w:r>
      <w:proofErr w:type="spellEnd"/>
      <w:r w:rsidRPr="009F2E5B">
        <w:rPr>
          <w:lang w:val="en-US" w:eastAsia="en-GB"/>
        </w:rPr>
        <w:t xml:space="preserve">: </w:t>
      </w: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9108"/>
      </w:tblGrid>
      <w:tr w:rsidR="009F2E5B" w:rsidTr="009F2E5B">
        <w:tc>
          <w:tcPr>
            <w:tcW w:w="9108" w:type="dxa"/>
          </w:tcPr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makeQueue</w:t>
            </w:r>
            <w:proofErr w:type="spellEnd"/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Queue A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newQueue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Stack B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new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Stack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// head of the queue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Stack C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new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Stack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// tail of the queue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</w:tc>
      </w:tr>
    </w:tbl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</w:p>
    <w:p w:rsidR="009F2E5B" w:rsidRPr="009F2E5B" w:rsidRDefault="009F2E5B" w:rsidP="009F2E5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proofErr w:type="spellStart"/>
      <w:r w:rsidRPr="009F2E5B">
        <w:rPr>
          <w:rFonts w:ascii="Calibri" w:eastAsia="Times New Roman" w:hAnsi="Calibri" w:cs="Times New Roman"/>
          <w:b/>
          <w:color w:val="000000"/>
          <w:u w:val="single"/>
          <w:lang w:val="en-US" w:eastAsia="en-GB"/>
        </w:rPr>
        <w:t>EnQueue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: 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9090"/>
      </w:tblGrid>
      <w:tr w:rsidR="009F2E5B" w:rsidTr="009F2E5B">
        <w:tc>
          <w:tcPr>
            <w:tcW w:w="9090" w:type="dxa"/>
          </w:tcPr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enQueue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Queue A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,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object o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// object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o</w:t>
            </w:r>
            <w:proofErr w:type="spellEnd"/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the object we want to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enqueue</w:t>
            </w:r>
            <w:proofErr w:type="spellEnd"/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while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(!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isEmpty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Object x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pop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push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push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o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);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While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(!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isEmpty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Object x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pop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push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:rsidR="009F2E5B" w:rsidRDefault="009F2E5B" w:rsidP="009F2E5B">
            <w:pPr>
              <w:rPr>
                <w:rFonts w:ascii="Calibri" w:eastAsia="Times New Roman" w:hAnsi="Calibri" w:cs="Times New Roman"/>
                <w:color w:val="000000"/>
                <w:lang w:val="fr-FR" w:eastAsia="en-GB"/>
              </w:rPr>
            </w:pP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</w:tc>
      </w:tr>
    </w:tbl>
    <w:p w:rsidR="009F2E5B" w:rsidRPr="009F2E5B" w:rsidRDefault="009F2E5B" w:rsidP="009F2E5B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fr-FR" w:eastAsia="en-GB"/>
        </w:rPr>
      </w:pPr>
      <w:r w:rsidRPr="009F2E5B">
        <w:rPr>
          <w:rFonts w:ascii="Calibri" w:eastAsia="Times New Roman" w:hAnsi="Calibri" w:cs="Times New Roman"/>
          <w:color w:val="000000"/>
          <w:lang w:val="fr-FR" w:eastAsia="en-GB"/>
        </w:rPr>
        <w:t> </w:t>
      </w:r>
    </w:p>
    <w:p w:rsidR="009F2E5B" w:rsidRPr="009F2E5B" w:rsidRDefault="009F2E5B" w:rsidP="009F2E5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val="fr-FR" w:eastAsia="en-GB"/>
        </w:rPr>
      </w:pPr>
      <w:proofErr w:type="spellStart"/>
      <w:r w:rsidRPr="009F2E5B">
        <w:rPr>
          <w:rFonts w:ascii="Calibri" w:eastAsia="Times New Roman" w:hAnsi="Calibri" w:cs="Times New Roman"/>
          <w:b/>
          <w:color w:val="000000"/>
          <w:u w:val="single"/>
          <w:lang w:val="fr-FR" w:eastAsia="en-GB"/>
        </w:rPr>
        <w:t>DeQueue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fr-FR" w:eastAsia="en-GB"/>
        </w:rPr>
        <w:t>: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fr-FR" w:eastAsia="en-GB"/>
        </w:rPr>
      </w:pPr>
      <w:r w:rsidRPr="009F2E5B">
        <w:rPr>
          <w:rFonts w:ascii="Calibri" w:eastAsia="Times New Roman" w:hAnsi="Calibri" w:cs="Times New Roman"/>
          <w:color w:val="000000"/>
          <w:lang w:val="fr-FR" w:eastAsia="en-GB"/>
        </w:rPr>
        <w:t> 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9090"/>
      </w:tblGrid>
      <w:tr w:rsidR="009F2E5B" w:rsidTr="009F2E5B">
        <w:tc>
          <w:tcPr>
            <w:tcW w:w="9090" w:type="dxa"/>
          </w:tcPr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Dequeue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Queue A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If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isEmpty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())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2E5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//error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Exit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9F2E5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:rsidR="009F2E5B" w:rsidRPr="009F2E5B" w:rsidRDefault="009F2E5B" w:rsidP="009F2E5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Return </w:t>
            </w:r>
            <w:proofErr w:type="spellStart"/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9F2E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pop</w:t>
            </w:r>
            <w:proofErr w:type="spellEnd"/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9F2E5B" w:rsidRDefault="009F2E5B" w:rsidP="009F2E5B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F2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</w:tc>
      </w:tr>
    </w:tbl>
    <w:p w:rsidR="009F2E5B" w:rsidRPr="009F2E5B" w:rsidRDefault="009F2E5B" w:rsidP="009F2E5B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Default="009F2E5B" w:rsidP="00C5563F">
      <w:pPr>
        <w:pStyle w:val="Heading3"/>
        <w:ind w:firstLine="540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Question 2.b</w:t>
      </w:r>
    </w:p>
    <w:p w:rsidR="009F2E5B" w:rsidRPr="009F2E5B" w:rsidRDefault="009F2E5B" w:rsidP="009F2E5B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Notice that the </w:t>
      </w:r>
      <w:proofErr w:type="spell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Enqueue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method is quite costly in terms of running time compare to </w:t>
      </w:r>
      <w:proofErr w:type="spell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Dequeue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which is a little bit more efficient.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We can rewrite these methods to improve their time bound by using amortization.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Our </w:t>
      </w:r>
      <w:proofErr w:type="spell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makeQueue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function is the same as above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fr-FR" w:eastAsia="en-GB"/>
        </w:rPr>
      </w:pPr>
      <w:proofErr w:type="spellStart"/>
      <w:r w:rsidRPr="009F2E5B">
        <w:rPr>
          <w:rFonts w:ascii="Calibri" w:eastAsia="Times New Roman" w:hAnsi="Calibri" w:cs="Times New Roman"/>
          <w:color w:val="000000"/>
          <w:lang w:val="fr-FR" w:eastAsia="en-GB"/>
        </w:rPr>
        <w:t>Enqueue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fr-FR" w:eastAsia="en-GB"/>
        </w:rPr>
        <w:t>:</w:t>
      </w:r>
    </w:p>
    <w:p w:rsidR="00C5563F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fr-FR" w:eastAsia="en-GB"/>
        </w:rPr>
      </w:pPr>
      <w:r w:rsidRPr="009F2E5B">
        <w:rPr>
          <w:rFonts w:ascii="Calibri" w:eastAsia="Times New Roman" w:hAnsi="Calibri" w:cs="Times New Roman"/>
          <w:color w:val="000000"/>
          <w:lang w:val="fr-FR" w:eastAsia="en-GB"/>
        </w:rPr>
        <w:t> 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02"/>
      </w:tblGrid>
      <w:tr w:rsidR="00C5563F" w:rsidTr="00C5563F">
        <w:tc>
          <w:tcPr>
            <w:tcW w:w="9242" w:type="dxa"/>
          </w:tcPr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proofErr w:type="gram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 w:eastAsia="en-GB"/>
              </w:rPr>
              <w:t>enQueue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fr-FR" w:eastAsia="en-GB"/>
              </w:rPr>
              <w:t>(</w:t>
            </w:r>
            <w:proofErr w:type="gramEnd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 w:eastAsia="en-GB"/>
              </w:rPr>
              <w:t>Queue A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fr-FR" w:eastAsia="en-GB"/>
              </w:rPr>
              <w:t>,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 w:eastAsia="en-GB"/>
              </w:rPr>
              <w:t xml:space="preserve"> Object o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fr-FR" w:eastAsia="en-GB"/>
              </w:rPr>
              <w:t>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Push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,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C5563F" w:rsidRDefault="00C5563F" w:rsidP="00C5563F">
            <w:pPr>
              <w:rPr>
                <w:rFonts w:ascii="Calibri" w:eastAsia="Times New Roman" w:hAnsi="Calibri" w:cs="Times New Roman"/>
                <w:color w:val="000000"/>
                <w:lang w:val="fr-FR" w:eastAsia="en-GB"/>
              </w:rPr>
            </w:pP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</w:tc>
      </w:tr>
    </w:tbl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proofErr w:type="spellStart"/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enQueue</w:t>
      </w:r>
      <w:proofErr w:type="spellEnd"/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runs in O(1).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lastRenderedPageBreak/>
        <w:t> 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proofErr w:type="spellStart"/>
      <w:r w:rsidRPr="009F2E5B">
        <w:rPr>
          <w:rFonts w:ascii="Calibri" w:eastAsia="Times New Roman" w:hAnsi="Calibri" w:cs="Times New Roman"/>
          <w:b/>
          <w:color w:val="000000"/>
          <w:u w:val="single"/>
          <w:lang w:val="en-US" w:eastAsia="en-GB"/>
        </w:rPr>
        <w:t>Dequeue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: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To improve this method let us use the fact that we can run it in </w:t>
      </w:r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O(</w:t>
      </w:r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1) if one of the stacks is empty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5563F" w:rsidTr="00C5563F">
        <w:tc>
          <w:tcPr>
            <w:tcW w:w="9242" w:type="dxa"/>
          </w:tcPr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deQueue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Queue A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If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isEmpty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While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(!</w:t>
            </w: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isEmpty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Object o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pop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</w:t>
            </w: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push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o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Return </w:t>
            </w: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pop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Else 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Return </w:t>
            </w:r>
            <w:proofErr w:type="spellStart"/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pop</w:t>
            </w:r>
            <w:proofErr w:type="spellEnd"/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</w:p>
          <w:p w:rsidR="00C5563F" w:rsidRPr="00C5563F" w:rsidRDefault="00C5563F" w:rsidP="00C5563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556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:rsidR="00C5563F" w:rsidRDefault="00C5563F" w:rsidP="00C5563F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C5563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</w:tc>
      </w:tr>
    </w:tbl>
    <w:p w:rsidR="009F2E5B" w:rsidRPr="009F2E5B" w:rsidRDefault="009F2E5B" w:rsidP="009F2E5B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If C is empty then </w:t>
      </w:r>
      <w:proofErr w:type="spell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dequeue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runs in </w:t>
      </w:r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O(</w:t>
      </w:r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1) otherwise it runs in O(n)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Hence if we want to pop n times we get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) = 1+1+1…+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(there is n ones)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In conclusion we get amortized time </w:t>
      </w:r>
      <m:oMath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) = (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+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)/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= 2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/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which is </w:t>
      </w:r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O(</w:t>
      </w:r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1).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Hence we have proved that each queue operation can be performed in </w:t>
      </w:r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O(</w:t>
      </w:r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1) amortized time.</w:t>
      </w:r>
    </w:p>
    <w:p w:rsidR="009F2E5B" w:rsidRPr="009F2E5B" w:rsidRDefault="009F2E5B" w:rsidP="009F2E5B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C5563F">
      <w:pPr>
        <w:pStyle w:val="Heading2"/>
        <w:rPr>
          <w:rFonts w:eastAsia="Times New Roman"/>
          <w:lang w:val="en-US" w:eastAsia="en-GB"/>
        </w:rPr>
      </w:pPr>
      <w:r w:rsidRPr="009F2E5B">
        <w:rPr>
          <w:rFonts w:eastAsia="Times New Roman"/>
          <w:lang w:val="en-US" w:eastAsia="en-GB"/>
        </w:rPr>
        <w:t xml:space="preserve">Question 3:  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Suppose you have an undirected graph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G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= (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,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)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, where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= |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|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, and n is even. Prove that for all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≥ 2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, if every </w:t>
      </w:r>
      <m:oMath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V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has </w:t>
      </w:r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degree(</w:t>
      </w:r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v) </w:t>
      </w:r>
      <w:r w:rsidRPr="009F2E5B">
        <w:rPr>
          <w:rFonts w:ascii="Times New Roman" w:eastAsia="Times New Roman" w:hAnsi="Times New Roman" w:cs="Times New Roman"/>
          <w:color w:val="000000"/>
          <w:lang w:val="en-US" w:eastAsia="en-GB"/>
        </w:rPr>
        <w:t>≥</w:t>
      </w: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n/2 then G is necessarily connected.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b/>
          <w:bCs/>
          <w:i/>
          <w:iCs/>
          <w:color w:val="000000"/>
          <w:u w:val="single"/>
          <w:lang w:val="en-US" w:eastAsia="en-GB"/>
        </w:rPr>
        <w:t>Proof (by contradiction):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The degree of a vertex is the number of edges connected to it.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A graph is connected if there is a path between all pairs of node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Assume that there exists some Graph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G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= (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,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)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with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 = |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|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vertices and every vertex has degree </w:t>
      </w:r>
      <m:oMath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/2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but G is not </w:t>
      </w:r>
      <w:r w:rsidR="00344EA2" w:rsidRPr="009F2E5B">
        <w:rPr>
          <w:rFonts w:ascii="Calibri" w:eastAsia="Times New Roman" w:hAnsi="Calibri" w:cs="Times New Roman"/>
          <w:color w:val="000000"/>
          <w:lang w:val="en-US" w:eastAsia="en-GB"/>
        </w:rPr>
        <w:t>connected.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For any vertex v E G, there </w:t>
      </w:r>
      <w:r w:rsidR="00344EA2" w:rsidRPr="009F2E5B">
        <w:rPr>
          <w:rFonts w:ascii="Calibri" w:eastAsia="Times New Roman" w:hAnsi="Calibri" w:cs="Times New Roman"/>
          <w:color w:val="000000"/>
          <w:lang w:val="en-US" w:eastAsia="en-GB"/>
        </w:rPr>
        <w:t>exists an edge</w:t>
      </w: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from v to at least </w:t>
      </w:r>
      <m:oMath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/2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other vertices.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Hence, the connected component* C that contains v consists of at least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1+</m:t>
        </m:r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/2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vertices. 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Now, because we assumed that G is not connected, let us consider some other vertex r which is not in C. There are at most </w:t>
      </w:r>
      <m:oMath>
        <m:r>
          <w:rPr>
            <w:rFonts w:ascii="Cambria Math" w:eastAsia="Times New Roman" w:hAnsi="Cambria Math" w:cs="Times New Roman"/>
            <w:color w:val="000000"/>
            <w:lang w:val="en-US" w:eastAsia="en-GB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color w:val="000000"/>
                    <w:lang w:val="en-US"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 w:eastAsia="en-GB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val="en-US" w:eastAsia="en-GB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 w:eastAsia="en-GB"/>
          </w:rPr>
          <m:t>-1 </m:t>
        </m:r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vertices that are not in C. Hence there is at least 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 w:eastAsia="en-GB"/>
              </w:rPr>
              <m:t>2</m:t>
            </m:r>
          </m:den>
        </m:f>
      </m:oMath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edges from the vertex r and there must be at least one edge from r to a vertex in C which implies </w:t>
      </w:r>
      <w:proofErr w:type="gramStart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that  r</w:t>
      </w:r>
      <w:proofErr w:type="gramEnd"/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 is in C and hence we have a contradiction.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 xml:space="preserve">In conclusion G is necessarily connected. 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9F2E5B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A849C6" w:rsidRDefault="00A849C6">
      <w:pPr>
        <w:rPr>
          <w:rFonts w:ascii="Calibri" w:eastAsia="Times New Roman" w:hAnsi="Calibri" w:cs="Times New Roman"/>
          <w:color w:val="000000"/>
          <w:lang w:val="en-US" w:eastAsia="en-GB"/>
        </w:rPr>
      </w:pPr>
      <w:r>
        <w:rPr>
          <w:rFonts w:ascii="Calibri" w:eastAsia="Times New Roman" w:hAnsi="Calibri" w:cs="Times New Roman"/>
          <w:color w:val="000000"/>
          <w:lang w:val="en-US" w:eastAsia="en-GB"/>
        </w:rPr>
        <w:br w:type="page"/>
      </w:r>
    </w:p>
    <w:p w:rsidR="009F2E5B" w:rsidRPr="00A849C6" w:rsidRDefault="009F2E5B" w:rsidP="00A849C6">
      <w:pPr>
        <w:pStyle w:val="ListParagraph"/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val="en-US" w:eastAsia="en-GB"/>
        </w:rPr>
      </w:pPr>
      <w:bookmarkStart w:id="0" w:name="_GoBack"/>
      <w:bookmarkEnd w:id="0"/>
      <w:r w:rsidRPr="00A849C6">
        <w:rPr>
          <w:rFonts w:ascii="Calibri" w:eastAsia="Times New Roman" w:hAnsi="Calibri" w:cs="Times New Roman"/>
          <w:b/>
          <w:color w:val="000000"/>
          <w:u w:val="single"/>
          <w:lang w:val="en-US" w:eastAsia="en-GB"/>
        </w:rPr>
        <w:lastRenderedPageBreak/>
        <w:t xml:space="preserve">Connected component: </w:t>
      </w:r>
    </w:p>
    <w:p w:rsidR="009F2E5B" w:rsidRPr="009F2E5B" w:rsidRDefault="009F2E5B" w:rsidP="009F2E5B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GB"/>
        </w:rPr>
      </w:pPr>
      <w:r w:rsidRPr="009F2E5B">
        <w:rPr>
          <w:rFonts w:ascii="Calibri" w:eastAsia="Times New Roman" w:hAnsi="Calibri" w:cs="Times New Roman"/>
          <w:color w:val="000000"/>
          <w:lang w:val="en-CA" w:eastAsia="en-GB"/>
        </w:rPr>
        <w:t xml:space="preserve"> A connected component of an undirected graph is a </w:t>
      </w:r>
      <w:proofErr w:type="spellStart"/>
      <w:r w:rsidRPr="009F2E5B">
        <w:rPr>
          <w:rFonts w:ascii="Calibri" w:eastAsia="Times New Roman" w:hAnsi="Calibri" w:cs="Times New Roman"/>
          <w:color w:val="000000"/>
          <w:lang w:val="en-CA" w:eastAsia="en-GB"/>
        </w:rPr>
        <w:t>subgraph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CA" w:eastAsia="en-GB"/>
        </w:rPr>
        <w:t xml:space="preserve"> in which any two vertices are connected to each other by paths, and which is connected to no additional vertices in the </w:t>
      </w:r>
      <w:proofErr w:type="spellStart"/>
      <w:r w:rsidRPr="009F2E5B">
        <w:rPr>
          <w:rFonts w:ascii="Calibri" w:eastAsia="Times New Roman" w:hAnsi="Calibri" w:cs="Times New Roman"/>
          <w:color w:val="000000"/>
          <w:lang w:val="en-CA" w:eastAsia="en-GB"/>
        </w:rPr>
        <w:t>supergraph</w:t>
      </w:r>
      <w:proofErr w:type="spellEnd"/>
      <w:r w:rsidRPr="009F2E5B">
        <w:rPr>
          <w:rFonts w:ascii="Calibri" w:eastAsia="Times New Roman" w:hAnsi="Calibri" w:cs="Times New Roman"/>
          <w:color w:val="000000"/>
          <w:lang w:val="en-CA" w:eastAsia="en-GB"/>
        </w:rPr>
        <w:t xml:space="preserve">. </w:t>
      </w:r>
    </w:p>
    <w:p w:rsidR="008D0B2E" w:rsidRPr="009F2E5B" w:rsidRDefault="008D0B2E">
      <w:pPr>
        <w:rPr>
          <w:lang w:val="en-CA"/>
        </w:rPr>
      </w:pPr>
    </w:p>
    <w:sectPr w:rsidR="008D0B2E" w:rsidRPr="009F2E5B" w:rsidSect="00B2753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00" w:rsidRDefault="00FE6B00" w:rsidP="00B2753C">
      <w:pPr>
        <w:spacing w:after="0" w:line="240" w:lineRule="auto"/>
      </w:pPr>
      <w:r>
        <w:separator/>
      </w:r>
    </w:p>
  </w:endnote>
  <w:endnote w:type="continuationSeparator" w:id="0">
    <w:p w:rsidR="00FE6B00" w:rsidRDefault="00FE6B00" w:rsidP="00B2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00" w:rsidRDefault="00FE6B00" w:rsidP="00B2753C">
      <w:pPr>
        <w:spacing w:after="0" w:line="240" w:lineRule="auto"/>
      </w:pPr>
      <w:r>
        <w:separator/>
      </w:r>
    </w:p>
  </w:footnote>
  <w:footnote w:type="continuationSeparator" w:id="0">
    <w:p w:rsidR="00FE6B00" w:rsidRDefault="00FE6B00" w:rsidP="00B2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53C" w:rsidRDefault="00B2753C">
    <w:pPr>
      <w:pStyle w:val="Header"/>
    </w:pPr>
    <w:r>
      <w:t>Timothée Guérin</w:t>
    </w:r>
  </w:p>
  <w:p w:rsidR="00B2753C" w:rsidRDefault="00B2753C">
    <w:pPr>
      <w:pStyle w:val="Header"/>
    </w:pPr>
    <w:r>
      <w:t>260447866</w:t>
    </w:r>
  </w:p>
  <w:p w:rsidR="00B2753C" w:rsidRDefault="00B275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2CF"/>
    <w:multiLevelType w:val="hybridMultilevel"/>
    <w:tmpl w:val="5D18F660"/>
    <w:lvl w:ilvl="0" w:tplc="48265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65AA"/>
    <w:multiLevelType w:val="multilevel"/>
    <w:tmpl w:val="091236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876B3"/>
    <w:multiLevelType w:val="multilevel"/>
    <w:tmpl w:val="21089C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5B"/>
    <w:rsid w:val="00000DE4"/>
    <w:rsid w:val="00344EA2"/>
    <w:rsid w:val="005D301C"/>
    <w:rsid w:val="008D0B2E"/>
    <w:rsid w:val="009F2E5B"/>
    <w:rsid w:val="00A849C6"/>
    <w:rsid w:val="00B2753C"/>
    <w:rsid w:val="00C5563F"/>
    <w:rsid w:val="00C643D3"/>
    <w:rsid w:val="00F12FAD"/>
    <w:rsid w:val="00F96AD2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F2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F2E5B"/>
    <w:pPr>
      <w:ind w:left="720"/>
      <w:contextualSpacing/>
    </w:pPr>
  </w:style>
  <w:style w:type="table" w:styleId="TableGrid">
    <w:name w:val="Table Grid"/>
    <w:basedOn w:val="TableNormal"/>
    <w:uiPriority w:val="59"/>
    <w:rsid w:val="009F2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9F2E5B"/>
  </w:style>
  <w:style w:type="character" w:customStyle="1" w:styleId="sc10">
    <w:name w:val="sc10"/>
    <w:basedOn w:val="DefaultParagraphFont"/>
    <w:rsid w:val="009F2E5B"/>
  </w:style>
  <w:style w:type="character" w:customStyle="1" w:styleId="sc0">
    <w:name w:val="sc0"/>
    <w:basedOn w:val="DefaultParagraphFont"/>
    <w:rsid w:val="009F2E5B"/>
  </w:style>
  <w:style w:type="character" w:customStyle="1" w:styleId="sc2">
    <w:name w:val="sc2"/>
    <w:basedOn w:val="DefaultParagraphFont"/>
    <w:rsid w:val="009F2E5B"/>
  </w:style>
  <w:style w:type="character" w:customStyle="1" w:styleId="sc5">
    <w:name w:val="sc5"/>
    <w:basedOn w:val="DefaultParagraphFont"/>
    <w:rsid w:val="009F2E5B"/>
  </w:style>
  <w:style w:type="character" w:customStyle="1" w:styleId="sc4">
    <w:name w:val="sc4"/>
    <w:basedOn w:val="DefaultParagraphFont"/>
    <w:rsid w:val="009F2E5B"/>
  </w:style>
  <w:style w:type="character" w:styleId="PlaceholderText">
    <w:name w:val="Placeholder Text"/>
    <w:basedOn w:val="DefaultParagraphFont"/>
    <w:uiPriority w:val="99"/>
    <w:semiHidden/>
    <w:rsid w:val="00B275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7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3C"/>
  </w:style>
  <w:style w:type="paragraph" w:styleId="Footer">
    <w:name w:val="footer"/>
    <w:basedOn w:val="Normal"/>
    <w:link w:val="FooterChar"/>
    <w:uiPriority w:val="99"/>
    <w:unhideWhenUsed/>
    <w:rsid w:val="00B27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F2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F2E5B"/>
    <w:pPr>
      <w:ind w:left="720"/>
      <w:contextualSpacing/>
    </w:pPr>
  </w:style>
  <w:style w:type="table" w:styleId="TableGrid">
    <w:name w:val="Table Grid"/>
    <w:basedOn w:val="TableNormal"/>
    <w:uiPriority w:val="59"/>
    <w:rsid w:val="009F2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9F2E5B"/>
  </w:style>
  <w:style w:type="character" w:customStyle="1" w:styleId="sc10">
    <w:name w:val="sc10"/>
    <w:basedOn w:val="DefaultParagraphFont"/>
    <w:rsid w:val="009F2E5B"/>
  </w:style>
  <w:style w:type="character" w:customStyle="1" w:styleId="sc0">
    <w:name w:val="sc0"/>
    <w:basedOn w:val="DefaultParagraphFont"/>
    <w:rsid w:val="009F2E5B"/>
  </w:style>
  <w:style w:type="character" w:customStyle="1" w:styleId="sc2">
    <w:name w:val="sc2"/>
    <w:basedOn w:val="DefaultParagraphFont"/>
    <w:rsid w:val="009F2E5B"/>
  </w:style>
  <w:style w:type="character" w:customStyle="1" w:styleId="sc5">
    <w:name w:val="sc5"/>
    <w:basedOn w:val="DefaultParagraphFont"/>
    <w:rsid w:val="009F2E5B"/>
  </w:style>
  <w:style w:type="character" w:customStyle="1" w:styleId="sc4">
    <w:name w:val="sc4"/>
    <w:basedOn w:val="DefaultParagraphFont"/>
    <w:rsid w:val="009F2E5B"/>
  </w:style>
  <w:style w:type="character" w:styleId="PlaceholderText">
    <w:name w:val="Placeholder Text"/>
    <w:basedOn w:val="DefaultParagraphFont"/>
    <w:uiPriority w:val="99"/>
    <w:semiHidden/>
    <w:rsid w:val="00B275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7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3C"/>
  </w:style>
  <w:style w:type="paragraph" w:styleId="Footer">
    <w:name w:val="footer"/>
    <w:basedOn w:val="Normal"/>
    <w:link w:val="FooterChar"/>
    <w:uiPriority w:val="99"/>
    <w:unhideWhenUsed/>
    <w:rsid w:val="00B27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</c:v>
                </c:pt>
              </c:strCache>
            </c:strRef>
          </c:tx>
          <c:xVal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14</c:v>
                </c:pt>
                <c:pt idx="4">
                  <c:v>71</c:v>
                </c:pt>
                <c:pt idx="5">
                  <c:v>180</c:v>
                </c:pt>
                <c:pt idx="6">
                  <c:v>425</c:v>
                </c:pt>
                <c:pt idx="7">
                  <c:v>976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Smart</c:v>
                </c:pt>
              </c:strCache>
            </c:strRef>
          </c:tx>
          <c:xVal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62016"/>
        <c:axId val="49316608"/>
      </c:scatterChart>
      <c:valAx>
        <c:axId val="47062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316608"/>
        <c:crosses val="autoZero"/>
        <c:crossBetween val="midCat"/>
      </c:valAx>
      <c:valAx>
        <c:axId val="49316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062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Brute</c:v>
                </c:pt>
              </c:strCache>
            </c:strRef>
          </c:tx>
          <c:xVal>
            <c:numRef>
              <c:f>Sheet1!$E$2:$E$9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5</c:v>
                </c:pt>
                <c:pt idx="5">
                  <c:v>128</c:v>
                </c:pt>
                <c:pt idx="6">
                  <c:v>498</c:v>
                </c:pt>
                <c:pt idx="7">
                  <c:v>6754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Smart</c:v>
                </c:pt>
              </c:strCache>
            </c:strRef>
          </c:tx>
          <c:xVal>
            <c:numRef>
              <c:f>Sheet1!$E$2:$E$9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Sheet1!$G$2:$G$9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09504"/>
        <c:axId val="49511040"/>
      </c:scatterChart>
      <c:valAx>
        <c:axId val="49509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511040"/>
        <c:crosses val="autoZero"/>
        <c:crossBetween val="midCat"/>
      </c:valAx>
      <c:valAx>
        <c:axId val="49511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5095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Brute</c:v>
                </c:pt>
              </c:strCache>
            </c:strRef>
          </c:tx>
          <c:xVal>
            <c:numRef>
              <c:f>Sheet1!$E$2:$E$9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5</c:v>
                </c:pt>
                <c:pt idx="5">
                  <c:v>128</c:v>
                </c:pt>
                <c:pt idx="6">
                  <c:v>498</c:v>
                </c:pt>
                <c:pt idx="7">
                  <c:v>6754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Smart</c:v>
                </c:pt>
              </c:strCache>
            </c:strRef>
          </c:tx>
          <c:xVal>
            <c:numRef>
              <c:f>Sheet1!$E$2:$E$9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</c:numCache>
            </c:numRef>
          </c:xVal>
          <c:yVal>
            <c:numRef>
              <c:f>Sheet1!$G$2:$G$9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83456"/>
        <c:axId val="49689344"/>
      </c:scatterChart>
      <c:valAx>
        <c:axId val="49683456"/>
        <c:scaling>
          <c:orientation val="minMax"/>
          <c:max val="20"/>
        </c:scaling>
        <c:delete val="0"/>
        <c:axPos val="b"/>
        <c:numFmt formatCode="General" sourceLinked="1"/>
        <c:majorTickMark val="out"/>
        <c:minorTickMark val="none"/>
        <c:tickLblPos val="nextTo"/>
        <c:crossAx val="49689344"/>
        <c:crosses val="autoZero"/>
        <c:crossBetween val="midCat"/>
      </c:valAx>
      <c:valAx>
        <c:axId val="49689344"/>
        <c:scaling>
          <c:orientation val="minMax"/>
          <c:max val="100"/>
          <c:min val="-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683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652</Words>
  <Characters>2844</Characters>
  <Application>Microsoft Office Word</Application>
  <DocSecurity>0</DocSecurity>
  <Lines>135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 Guerin</dc:creator>
  <cp:lastModifiedBy>Timothee Guerin</cp:lastModifiedBy>
  <cp:revision>6</cp:revision>
  <dcterms:created xsi:type="dcterms:W3CDTF">2013-02-11T21:06:00Z</dcterms:created>
  <dcterms:modified xsi:type="dcterms:W3CDTF">2013-02-11T22:21:00Z</dcterms:modified>
</cp:coreProperties>
</file>