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rFonts w:ascii="Calibri" w:hAnsi="Calibri"/>
          <w:b/>
          <w:color w:val="2E74B5"/>
          <w:sz w:val="24"/>
        </w:rPr>
        <w:t>SUPPORTPILOT</w:t>
      </w:r>
    </w:p>
    <w:p>
      <w:pPr>
        <w:spacing w:after="160"/>
      </w:pPr>
      <w:r>
        <w:rPr>
          <w:rFonts w:ascii="Calibri" w:hAnsi="Calibri"/>
          <w:b/>
          <w:color w:val="17365D"/>
          <w:sz w:val="56"/>
        </w:rPr>
        <w:t>Data, Identity, and Authorization Design</w:t>
      </w:r>
    </w:p>
    <w:p>
      <w:pPr>
        <w:spacing w:after="560"/>
      </w:pPr>
      <w:r>
        <w:rPr>
          <w:rFonts w:ascii="Calibri" w:hAnsi="Calibri"/>
          <w:color w:val="667085"/>
          <w:sz w:val="28"/>
        </w:rPr>
        <w:t>How user identity becomes an authorized database result or controlled business action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SP-DATA-001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 baseline for implementation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2026-09-07</w:t>
            </w:r>
          </w:p>
        </w:tc>
      </w:tr>
    </w:tbl>
    <w:p/>
    <w:p>
      <w:pPr>
        <w:spacing w:before="1800"/>
      </w:pPr>
      <w:r>
        <w:rPr>
          <w:b/>
          <w:color w:val="1F4D78"/>
        </w:rPr>
        <w:t>Purpose</w:t>
      </w:r>
    </w:p>
    <w:p>
      <w:r>
        <w:t>This document defines the agreed SupportPilot product and secure implementation. It is written in simple English so product, engineering, security, and operations teams can use the same design.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numPr>
          <w:ilvl w:val="0"/>
          <w:numId w:val="10"/>
        </w:numPr>
        <w:spacing w:after="80"/>
      </w:pPr>
      <w:r>
        <w:t>Identity Model</w:t>
      </w:r>
    </w:p>
    <w:p>
      <w:pPr>
        <w:numPr>
          <w:ilvl w:val="0"/>
          <w:numId w:val="10"/>
        </w:numPr>
        <w:spacing w:after="80"/>
      </w:pPr>
      <w:r>
        <w:t>Token Handling</w:t>
      </w:r>
    </w:p>
    <w:p>
      <w:pPr>
        <w:numPr>
          <w:ilvl w:val="0"/>
          <w:numId w:val="10"/>
        </w:numPr>
        <w:spacing w:after="80"/>
      </w:pPr>
      <w:r>
        <w:t>Authorization Model</w:t>
      </w:r>
    </w:p>
    <w:p>
      <w:pPr>
        <w:numPr>
          <w:ilvl w:val="0"/>
          <w:numId w:val="10"/>
        </w:numPr>
        <w:spacing w:after="80"/>
      </w:pPr>
      <w:r>
        <w:t>OPA Contract</w:t>
      </w:r>
    </w:p>
    <w:p>
      <w:pPr>
        <w:numPr>
          <w:ilvl w:val="0"/>
          <w:numId w:val="10"/>
        </w:numPr>
        <w:spacing w:after="80"/>
      </w:pPr>
      <w:r>
        <w:t>Database Roles</w:t>
      </w:r>
    </w:p>
    <w:p>
      <w:pPr>
        <w:numPr>
          <w:ilvl w:val="0"/>
          <w:numId w:val="10"/>
        </w:numPr>
        <w:spacing w:after="80"/>
      </w:pPr>
      <w:r>
        <w:t>Data Model</w:t>
      </w:r>
    </w:p>
    <w:p>
      <w:pPr>
        <w:numPr>
          <w:ilvl w:val="0"/>
          <w:numId w:val="10"/>
        </w:numPr>
        <w:spacing w:after="80"/>
      </w:pPr>
      <w:r>
        <w:t>Row Security</w:t>
      </w:r>
    </w:p>
    <w:p>
      <w:pPr>
        <w:numPr>
          <w:ilvl w:val="0"/>
          <w:numId w:val="10"/>
        </w:numPr>
        <w:spacing w:after="80"/>
      </w:pPr>
      <w:r>
        <w:t>Query Rules</w:t>
      </w:r>
    </w:p>
    <w:p>
      <w:pPr>
        <w:numPr>
          <w:ilvl w:val="0"/>
          <w:numId w:val="10"/>
        </w:numPr>
        <w:spacing w:after="80"/>
      </w:pPr>
      <w:r>
        <w:t>Audit Model</w:t>
      </w:r>
    </w:p>
    <w:p>
      <w:pPr>
        <w:numPr>
          <w:ilvl w:val="0"/>
          <w:numId w:val="10"/>
        </w:numPr>
        <w:spacing w:after="80"/>
      </w:pPr>
      <w:r>
        <w:t>Secrets</w:t>
      </w:r>
    </w:p>
    <w:p>
      <w:pPr>
        <w:numPr>
          <w:ilvl w:val="0"/>
          <w:numId w:val="10"/>
        </w:numPr>
        <w:spacing w:after="80"/>
      </w:pPr>
      <w:r>
        <w:t>Example Policies and SQL</w:t>
      </w:r>
    </w:p>
    <w:p>
      <w:pPr>
        <w:numPr>
          <w:ilvl w:val="0"/>
          <w:numId w:val="10"/>
        </w:numPr>
        <w:spacing w:after="80"/>
      </w:pPr>
      <w:r>
        <w:t>Acceptance Checks</w:t>
      </w:r>
    </w:p>
    <w:p>
      <w:r>
        <w:br w:type="page"/>
      </w:r>
    </w:p>
    <w:p>
      <w:pPr>
        <w:pStyle w:val="Heading1"/>
      </w:pPr>
      <w:r>
        <w:t>1. Identity Model</w:t>
      </w:r>
    </w:p>
    <w:p>
      <w:r>
        <w:t>Keycloak is the identity authority. Each human uses an individual account. Each runtime service uses a separate workload identity. Administrative work uses separate privileged accounts.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Identity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Used by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 user token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and SupportPilot API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Identifies the current person, session, organization memberships, and approved scopes.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workload identity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service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Calls approved platform services where a service identity is required.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workload identity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 API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Reads secrets and reaches OPA and PostgreSQL.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 workload identity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 worker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Claims approved jobs and reaches allowlisted providers.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identity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CI/CD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Deploys reviewed service versions.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identity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job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Changes database schema, grants, and row policies.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Administrator identity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 operator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Performs approved control-plane administration.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 xml:space="preserve">Identity rule: </w:t>
            </w:r>
            <w:r>
              <w:t>A chat statement such as “I am an administrator” has no effect. Only verified identity and server-side authorization data are used.</w:t>
            </w:r>
          </w:p>
        </w:tc>
      </w:tr>
    </w:tbl>
    <w:p/>
    <w:p>
      <w:pPr>
        <w:pStyle w:val="Heading1"/>
      </w:pPr>
      <w:r>
        <w:t>2. Token Handling</w:t>
      </w:r>
    </w:p>
    <w:p>
      <w:pPr>
        <w:numPr>
          <w:ilvl w:val="0"/>
          <w:numId w:val="11"/>
        </w:numPr>
        <w:spacing w:after="80" w:line="300" w:lineRule="auto"/>
      </w:pPr>
      <w:r>
        <w:t>The user authenticates with Keycloak and completes required multi-factor authentication.</w:t>
      </w:r>
    </w:p>
    <w:p>
      <w:pPr>
        <w:numPr>
          <w:ilvl w:val="0"/>
          <w:numId w:val="11"/>
        </w:numPr>
        <w:spacing w:after="80" w:line="300" w:lineRule="auto"/>
      </w:pPr>
      <w:r>
        <w:t>Onyx receives a user-bound access token through the configured OAuth flow.</w:t>
      </w:r>
    </w:p>
    <w:p>
      <w:pPr>
        <w:numPr>
          <w:ilvl w:val="0"/>
          <w:numId w:val="11"/>
        </w:numPr>
        <w:spacing w:after="80" w:line="300" w:lineRule="auto"/>
      </w:pPr>
      <w:r>
        <w:t>Onyx sends the access token to the SupportPilot API when invoking an action.</w:t>
      </w:r>
    </w:p>
    <w:p>
      <w:pPr>
        <w:numPr>
          <w:ilvl w:val="0"/>
          <w:numId w:val="11"/>
        </w:numPr>
        <w:spacing w:after="80" w:line="300" w:lineRule="auto"/>
      </w:pPr>
      <w:r>
        <w:t>The API verifies signature, issuer, audience, expiry, and required claims.</w:t>
      </w:r>
    </w:p>
    <w:p>
      <w:pPr>
        <w:numPr>
          <w:ilvl w:val="0"/>
          <w:numId w:val="11"/>
        </w:numPr>
        <w:spacing w:after="80" w:line="300" w:lineRule="auto"/>
      </w:pPr>
      <w:r>
        <w:t>The API uses the subject identifier to load current membership and resource attributes where needed.</w:t>
      </w:r>
    </w:p>
    <w:p>
      <w:pPr>
        <w:numPr>
          <w:ilvl w:val="0"/>
          <w:numId w:val="11"/>
        </w:numPr>
        <w:spacing w:after="80" w:line="300" w:lineRule="auto"/>
      </w:pPr>
      <w:r>
        <w:t>The API constructs policy input. It does not trust organization, role, or approval fields supplied by the model.</w:t>
      </w:r>
    </w:p>
    <w:p>
      <w:pPr>
        <w:pStyle w:val="Heading2"/>
      </w:pPr>
      <w:r>
        <w:t>Required token checks</w:t>
      </w:r>
    </w:p>
    <w:p>
      <w:pPr>
        <w:numPr>
          <w:ilvl w:val="0"/>
          <w:numId w:val="12"/>
        </w:numPr>
        <w:spacing w:after="80" w:line="300" w:lineRule="auto"/>
      </w:pPr>
      <w:r>
        <w:t>Expected issuer exactly matches the configured Keycloak realm.</w:t>
      </w:r>
    </w:p>
    <w:p>
      <w:pPr>
        <w:numPr>
          <w:ilvl w:val="0"/>
          <w:numId w:val="12"/>
        </w:numPr>
        <w:spacing w:after="80" w:line="300" w:lineRule="auto"/>
      </w:pPr>
      <w:r>
        <w:t>Audience includes the SupportPilot API.</w:t>
      </w:r>
    </w:p>
    <w:p>
      <w:pPr>
        <w:numPr>
          <w:ilvl w:val="0"/>
          <w:numId w:val="12"/>
        </w:numPr>
        <w:spacing w:after="80" w:line="300" w:lineRule="auto"/>
      </w:pPr>
      <w:r>
        <w:t>Signature uses an allowed algorithm and a current trusted key.</w:t>
      </w:r>
    </w:p>
    <w:p>
      <w:pPr>
        <w:numPr>
          <w:ilvl w:val="0"/>
          <w:numId w:val="12"/>
        </w:numPr>
        <w:spacing w:after="80" w:line="300" w:lineRule="auto"/>
      </w:pPr>
      <w:r>
        <w:t>Expiration and not-before times are enforced with limited clock tolerance.</w:t>
      </w:r>
    </w:p>
    <w:p>
      <w:pPr>
        <w:numPr>
          <w:ilvl w:val="0"/>
          <w:numId w:val="12"/>
        </w:numPr>
        <w:spacing w:after="80" w:line="300" w:lineRule="auto"/>
      </w:pPr>
      <w:r>
        <w:t>Token type and authorized party are checked according to the selected flow.</w:t>
      </w:r>
    </w:p>
    <w:p>
      <w:pPr>
        <w:numPr>
          <w:ilvl w:val="0"/>
          <w:numId w:val="12"/>
        </w:numPr>
        <w:spacing w:after="80" w:line="300" w:lineRule="auto"/>
      </w:pPr>
      <w:r>
        <w:t>Scopes are mapped to actions but do not replace resource-level authorization.</w:t>
      </w:r>
    </w:p>
    <w:p>
      <w:pPr>
        <w:pStyle w:val="Heading1"/>
      </w:pPr>
      <w:r>
        <w:t>3. Authorization Model</w:t>
      </w:r>
    </w:p>
    <w:p>
      <w:r>
        <w:t>Each decision uses four groups of attributes: subject, action, resource, and context.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300"/>
        <w:gridCol w:w="4760"/>
      </w:tblGrid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Group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Examples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Trusted source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ID, organization memberships, support role.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Verified token and server-side membership data.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</w:t>
            </w:r>
          </w:p>
        </w:tc>
        <w:tc>
          <w:tcPr>
            <w:tcW w:type="dxa" w:w="3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order.read, note.create, refund.propose, refund.approve.</w:t>
            </w:r>
          </w:p>
        </w:tc>
        <w:tc>
          <w:tcPr>
            <w:tcW w:type="dxa" w:w="4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Server route and tool mapping.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 organization, owner, status, amount, currency.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lookup performed before policy evaluation.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</w:t>
            </w:r>
          </w:p>
        </w:tc>
        <w:tc>
          <w:tcPr>
            <w:tcW w:type="dxa" w:w="33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 time, authentication strength, action risk, network zone.</w:t>
            </w:r>
          </w:p>
        </w:tc>
        <w:tc>
          <w:tcPr>
            <w:tcW w:type="dxa" w:w="47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Trusted server and infrastructure data.</w:t>
            </w:r>
          </w:p>
        </w:tc>
      </w:tr>
    </w:tbl>
    <w:p/>
    <w:p>
      <w:r>
        <w:t>OPA returns a decision. The SupportPilot API enforces it. A policy response should include allow, reason code, policy version, and any obligations such as field filtering or required approval.</w:t>
      </w:r>
    </w:p>
    <w:p>
      <w:pPr>
        <w:pStyle w:val="Heading1"/>
      </w:pPr>
      <w:r>
        <w:t>4. OPA Contract</w:t>
      </w:r>
    </w:p>
    <w:p>
      <w:pPr>
        <w:pStyle w:val="Heading2"/>
      </w:pPr>
      <w:r>
        <w:t>Example request</w:t>
      </w:r>
    </w:p>
    <w:p>
      <w:pPr>
        <w:pStyle w:val="Code"/>
        <w:keepLines/>
        <w:shd w:fill="F2F4F7"/>
      </w:pPr>
      <w:r>
        <w:t>{</w:t>
        <w:br/>
        <w:t xml:space="preserve">  "input": {</w:t>
        <w:br/>
        <w:t xml:space="preserve">    "subject": {</w:t>
        <w:br/>
        <w:t xml:space="preserve">      "id": "alice-id",</w:t>
        <w:br/>
        <w:t xml:space="preserve">      "organizations": ["cedar"],</w:t>
        <w:br/>
        <w:t xml:space="preserve">      "roles": ["support_agent"]</w:t>
        <w:br/>
        <w:t xml:space="preserve">    },</w:t>
        <w:br/>
        <w:t xml:space="preserve">    "action": "order.read",</w:t>
        <w:br/>
        <w:t xml:space="preserve">    "resource": {</w:t>
        <w:br/>
        <w:t xml:space="preserve">      "type": "order",</w:t>
        <w:br/>
        <w:t xml:space="preserve">      "id": "ORD-2001",</w:t>
        <w:br/>
        <w:t xml:space="preserve">      "organization_id": "cedar"</w:t>
        <w:br/>
        <w:t xml:space="preserve">    },</w:t>
        <w:br/>
        <w:t xml:space="preserve">    "context": {</w:t>
        <w:br/>
        <w:t xml:space="preserve">      "request_id": "req-123",</w:t>
        <w:br/>
        <w:t xml:space="preserve">      "authentication_level": "mfa"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Example response</w:t>
      </w:r>
    </w:p>
    <w:p>
      <w:pPr>
        <w:pStyle w:val="Code"/>
        <w:keepLines/>
        <w:shd w:fill="F2F4F7"/>
      </w:pPr>
      <w:r>
        <w:t>{</w:t>
        <w:br/>
        <w:t xml:space="preserve">  "result": {</w:t>
        <w:br/>
        <w:t xml:space="preserve">    "allow": true,</w:t>
        <w:br/>
        <w:t xml:space="preserve">    "reason": "same_organization_and_allowed_role",</w:t>
        <w:br/>
        <w:t xml:space="preserve">    "policy_version": "2026-09-07.1",</w:t>
        <w:br/>
        <w:t xml:space="preserve">    "obligations": {</w:t>
        <w:br/>
        <w:t xml:space="preserve">      "allowed_fields": ["order_number", "status", "total_amount"]</w:t>
        <w:br/>
        <w:t xml:space="preserve">    }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 xml:space="preserve">Failure rule: </w:t>
            </w:r>
            <w:r>
              <w:t>Undefined, malformed, unavailable, or timed-out policy responses are treated as deny for protected operations.</w:t>
            </w:r>
          </w:p>
        </w:tc>
      </w:tr>
    </w:tbl>
    <w:p/>
    <w:p>
      <w:pPr>
        <w:pStyle w:val="Heading1"/>
      </w:pPr>
      <w:r>
        <w:t>5. Database 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53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Database role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Used by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sp_api_role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 API</w:t>
            </w:r>
          </w:p>
        </w:tc>
        <w:tc>
          <w:tcPr>
            <w:tcW w:type="dxa" w:w="5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Connect; use runtime schema; select approved views or tables; insert allowed requests and notes; no schema administration.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sp_worker_role</w:t>
            </w:r>
          </w:p>
        </w:tc>
        <w:tc>
          <w:tcPr>
            <w:tcW w:type="dxa" w:w="22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</w:t>
            </w:r>
          </w:p>
        </w:tc>
        <w:tc>
          <w:tcPr>
            <w:tcW w:type="dxa" w:w="53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and claim approved jobs; update execution state; call only approved database functions required by actions.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sp_migrator_role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job</w:t>
            </w:r>
          </w:p>
        </w:tc>
        <w:tc>
          <w:tcPr>
            <w:tcW w:type="dxa" w:w="5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 schemas and apply versioned schema, grants, indexes, and RLS policies.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sp_auditor_role</w:t>
            </w:r>
          </w:p>
        </w:tc>
        <w:tc>
          <w:tcPr>
            <w:tcW w:type="dxa" w:w="22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audit tooling</w:t>
            </w:r>
          </w:p>
        </w:tc>
        <w:tc>
          <w:tcPr>
            <w:tcW w:type="dxa" w:w="53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 audit views; no business writes.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postgres_admin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Emergency operator</w:t>
            </w:r>
          </w:p>
        </w:tc>
        <w:tc>
          <w:tcPr>
            <w:tcW w:type="dxa" w:w="5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Administrative access under controlled procedures; never mounted into runtime containers.</w:t>
            </w:r>
          </w:p>
        </w:tc>
      </w:tr>
    </w:tbl>
    <w:p/>
    <w:p>
      <w:pPr>
        <w:pStyle w:val="Heading2"/>
      </w:pPr>
      <w:r>
        <w:t>Runtime role restrictions</w:t>
      </w:r>
    </w:p>
    <w:p>
      <w:pPr>
        <w:numPr>
          <w:ilvl w:val="0"/>
          <w:numId w:val="13"/>
        </w:numPr>
        <w:spacing w:after="80" w:line="300" w:lineRule="auto"/>
      </w:pPr>
      <w:r>
        <w:t>No SUPERUSER, CREATEDB, CREATEROLE, REPLICATION, or BYPASSRLS.</w:t>
      </w:r>
    </w:p>
    <w:p>
      <w:pPr>
        <w:numPr>
          <w:ilvl w:val="0"/>
          <w:numId w:val="13"/>
        </w:numPr>
        <w:spacing w:after="80" w:line="300" w:lineRule="auto"/>
      </w:pPr>
      <w:r>
        <w:t>Runtime roles do not own protected tables.</w:t>
      </w:r>
    </w:p>
    <w:p>
      <w:pPr>
        <w:numPr>
          <w:ilvl w:val="0"/>
          <w:numId w:val="13"/>
        </w:numPr>
        <w:spacing w:after="80" w:line="300" w:lineRule="auto"/>
      </w:pPr>
      <w:r>
        <w:t>Public schema creation is revoked where applicable.</w:t>
      </w:r>
    </w:p>
    <w:p>
      <w:pPr>
        <w:numPr>
          <w:ilvl w:val="0"/>
          <w:numId w:val="13"/>
        </w:numPr>
        <w:spacing w:after="80" w:line="300" w:lineRule="auto"/>
      </w:pPr>
      <w:r>
        <w:t>Default privileges are explicitly controlled for new tables and functions.</w:t>
      </w:r>
    </w:p>
    <w:p>
      <w:pPr>
        <w:numPr>
          <w:ilvl w:val="0"/>
          <w:numId w:val="13"/>
        </w:numPr>
        <w:spacing w:after="80" w:line="300" w:lineRule="auto"/>
      </w:pPr>
      <w:r>
        <w:t>Database access is allowed only from expected service networks.</w:t>
      </w:r>
    </w:p>
    <w:p>
      <w:pPr>
        <w:numPr>
          <w:ilvl w:val="0"/>
          <w:numId w:val="13"/>
        </w:numPr>
        <w:spacing w:after="80" w:line="300" w:lineRule="auto"/>
      </w:pPr>
      <w:r>
        <w:t>Every connection sets a clear application_name for monitoring.</w:t>
      </w:r>
    </w:p>
    <w:p>
      <w:pPr>
        <w:pStyle w:val="Heading1"/>
      </w:pPr>
      <w:r>
        <w:t>6. Data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100"/>
        <w:gridCol w:w="416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Table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Key security fields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 root.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status.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 identity reference.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id, identity_subject, status.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memberships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User-to-organization role assignment.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user_id, organization_id, role, status.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 record.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assigned_team, sensitivity.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 summary.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customer_id, status, currency, total_amount.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order_items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 line items.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order_id.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shipments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Shipment state and tracking.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order_id.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case.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customer_id, assigned_team, status.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ticket_messages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entries.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ticket_id, visibility.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internal_notes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Staff-only notes.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ticket_id, author_id.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action_requests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Proposed sensitive actions.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organization_id, requester_id, action_type, payload_hash, state.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approval_decisions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decisions.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action_request_id, approver_id, decision, policy_version.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action_jobs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 queue.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action_request_id, state, attempts, lease.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action_executions</w:t>
            </w:r>
          </w:p>
        </w:tc>
        <w:tc>
          <w:tcPr>
            <w:tcW w:type="dxa" w:w="310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 evidence.</w:t>
            </w:r>
          </w:p>
        </w:tc>
        <w:tc>
          <w:tcPr>
            <w:tcW w:type="dxa" w:w="416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job_id, idempotency_key, provider_reference, outcome.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audit_events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and business evidence.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actor, action, resource, decision, request_id, event_hash.</w:t>
            </w:r>
          </w:p>
        </w:tc>
      </w:tr>
    </w:tbl>
    <w:p/>
    <w:p>
      <w:pPr>
        <w:pStyle w:val="Heading1"/>
      </w:pPr>
      <w:r>
        <w:t>7. Row Security</w:t>
      </w:r>
    </w:p>
    <w:p>
      <w:r>
        <w:t>Protected tables contain organization_id. The API starts a transaction and sets trusted request context locally so pooled connections do not retain one user’s identity for the next request.</w:t>
      </w:r>
    </w:p>
    <w:p>
      <w:pPr>
        <w:pStyle w:val="Code"/>
        <w:keepLines/>
        <w:shd w:fill="F2F4F7"/>
      </w:pPr>
      <w:r>
        <w:t>BEGIN;</w:t>
        <w:br/>
        <w:t>SET LOCAL app.user_id = 'alice-id';</w:t>
        <w:br/>
        <w:t>SET LOCAL app.organization_id = 'cedar';</w:t>
        <w:br/>
        <w:br/>
        <w:t>SELECT order_number, status, total_amount</w:t>
        <w:br/>
        <w:t>FROM app.orders</w:t>
        <w:br/>
        <w:t>WHERE order_number = $1;</w:t>
        <w:br/>
        <w:br/>
        <w:t>COMMIT;</w:t>
      </w:r>
    </w:p>
    <w:p>
      <w:pPr>
        <w:pStyle w:val="Heading2"/>
      </w:pPr>
      <w:r>
        <w:t>Example tenant policy</w:t>
      </w:r>
    </w:p>
    <w:p>
      <w:pPr>
        <w:pStyle w:val="Code"/>
        <w:keepLines/>
        <w:shd w:fill="F2F4F7"/>
      </w:pPr>
      <w:r>
        <w:t>ALTER TABLE app.orders ENABLE ROW LEVEL SECURITY;</w:t>
        <w:br/>
        <w:t>ALTER TABLE app.orders FORCE ROW LEVEL SECURITY;</w:t>
        <w:br/>
        <w:br/>
        <w:t>CREATE POLICY orders_tenant_read</w:t>
        <w:br/>
        <w:t>ON app.orders</w:t>
        <w:br/>
        <w:t>FOR SELECT</w:t>
        <w:br/>
        <w:t>TO sp_api_role</w:t>
        <w:br/>
        <w:t>USING (</w:t>
        <w:br/>
        <w:t xml:space="preserve">  organization_id = current_setting('app.organization_id', true)::uuid</w:t>
        <w:br/>
        <w:t>);</w:t>
      </w:r>
    </w:p>
    <w:p>
      <w:pPr>
        <w:numPr>
          <w:ilvl w:val="0"/>
          <w:numId w:val="14"/>
        </w:numPr>
        <w:spacing w:after="80" w:line="300" w:lineRule="auto"/>
      </w:pPr>
      <w:r>
        <w:t>The application role must not own the table because table owners normally bypass row policies.</w:t>
      </w:r>
    </w:p>
    <w:p>
      <w:pPr>
        <w:numPr>
          <w:ilvl w:val="0"/>
          <w:numId w:val="14"/>
        </w:numPr>
        <w:spacing w:after="80" w:line="300" w:lineRule="auto"/>
      </w:pPr>
      <w:r>
        <w:t>The application role must not have BYPASSRLS.</w:t>
      </w:r>
    </w:p>
    <w:p>
      <w:pPr>
        <w:numPr>
          <w:ilvl w:val="0"/>
          <w:numId w:val="14"/>
        </w:numPr>
        <w:spacing w:after="80" w:line="300" w:lineRule="auto"/>
      </w:pPr>
      <w:r>
        <w:t>Missing request context must result in no visible rows or a controlled error.</w:t>
      </w:r>
    </w:p>
    <w:p>
      <w:pPr>
        <w:numPr>
          <w:ilvl w:val="0"/>
          <w:numId w:val="14"/>
        </w:numPr>
        <w:spacing w:after="80" w:line="300" w:lineRule="auto"/>
      </w:pPr>
      <w:r>
        <w:t>Policies for SELECT, INSERT, UPDATE, and DELETE are defined separately when their rules differ.</w:t>
      </w:r>
    </w:p>
    <w:p>
      <w:pPr>
        <w:numPr>
          <w:ilvl w:val="0"/>
          <w:numId w:val="14"/>
        </w:numPr>
        <w:spacing w:after="80" w:line="300" w:lineRule="auto"/>
      </w:pPr>
      <w:r>
        <w:t>Policy tests cover every protected table and every runtime role.</w:t>
      </w:r>
    </w:p>
    <w:p>
      <w:pPr>
        <w:pStyle w:val="Heading1"/>
      </w:pPr>
      <w:r>
        <w:t>8. Query Rules</w:t>
      </w:r>
    </w:p>
    <w:p>
      <w:pPr>
        <w:numPr>
          <w:ilvl w:val="0"/>
          <w:numId w:val="15"/>
        </w:numPr>
        <w:spacing w:after="80" w:line="300" w:lineRule="auto"/>
      </w:pPr>
      <w:r>
        <w:t>The model selects a business tool; it never supplies SQL.</w:t>
      </w:r>
    </w:p>
    <w:p>
      <w:pPr>
        <w:numPr>
          <w:ilvl w:val="0"/>
          <w:numId w:val="15"/>
        </w:numPr>
        <w:spacing w:after="80" w:line="300" w:lineRule="auto"/>
      </w:pPr>
      <w:r>
        <w:t>Each tool maps to reviewed code and parameterized statements.</w:t>
      </w:r>
    </w:p>
    <w:p>
      <w:pPr>
        <w:numPr>
          <w:ilvl w:val="0"/>
          <w:numId w:val="15"/>
        </w:numPr>
        <w:spacing w:after="80" w:line="300" w:lineRule="auto"/>
      </w:pPr>
      <w:r>
        <w:t>Identifiers are validated for syntax and length before database use.</w:t>
      </w:r>
    </w:p>
    <w:p>
      <w:pPr>
        <w:numPr>
          <w:ilvl w:val="0"/>
          <w:numId w:val="15"/>
        </w:numPr>
        <w:spacing w:after="80" w:line="300" w:lineRule="auto"/>
      </w:pPr>
      <w:r>
        <w:t>Queries select named columns instead of SELECT *.</w:t>
      </w:r>
    </w:p>
    <w:p>
      <w:pPr>
        <w:numPr>
          <w:ilvl w:val="0"/>
          <w:numId w:val="15"/>
        </w:numPr>
        <w:spacing w:after="80" w:line="300" w:lineRule="auto"/>
      </w:pPr>
      <w:r>
        <w:t>Pagination and maximum result sizes are mandatory for list and search tools.</w:t>
      </w:r>
    </w:p>
    <w:p>
      <w:pPr>
        <w:numPr>
          <w:ilvl w:val="0"/>
          <w:numId w:val="15"/>
        </w:numPr>
        <w:spacing w:after="80" w:line="300" w:lineRule="auto"/>
      </w:pPr>
      <w:r>
        <w:t>Write statements include expected current state to prevent stale updates.</w:t>
      </w:r>
    </w:p>
    <w:p>
      <w:pPr>
        <w:numPr>
          <w:ilvl w:val="0"/>
          <w:numId w:val="15"/>
        </w:numPr>
        <w:spacing w:after="80" w:line="300" w:lineRule="auto"/>
      </w:pPr>
      <w:r>
        <w:t>Transactions group business state and required audit evidence.</w:t>
      </w:r>
    </w:p>
    <w:p>
      <w:pPr>
        <w:numPr>
          <w:ilvl w:val="0"/>
          <w:numId w:val="15"/>
        </w:numPr>
        <w:spacing w:after="80" w:line="300" w:lineRule="auto"/>
      </w:pPr>
      <w:r>
        <w:t>Database errors are mapped to stable API errors without returning schema details.</w:t>
      </w:r>
    </w:p>
    <w:p>
      <w:pPr>
        <w:pStyle w:val="Heading1"/>
      </w:pPr>
      <w:r>
        <w:t>9. Audit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event_id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Unique event identifier.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occurred_at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Trusted server timestamp.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request_id / trace_id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 events across Onyx, API, OPA, database, worker, and provider.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actor_type / actor_id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 or workload identity responsible for the event.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organization_id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Tenant context.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Normalized operation such as order.read or refund.execute.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resource_type / resource_id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Target business object.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/ reason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Allowed, denied, approved, rejected, succeeded, or failed with stable reason.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policy_version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version used for the decision.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payload_hash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Integrity binding for sensitive action parameters.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result_reference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or execution reference without sensitive response bodies.</w:t>
            </w:r>
          </w:p>
        </w:tc>
      </w:tr>
      <w:tr>
        <w:trPr>
          <w:cantSplit/>
        </w:trPr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previous_event_hash / event_hash</w:t>
            </w:r>
          </w:p>
        </w:tc>
        <w:tc>
          <w:tcPr>
            <w:tcW w:type="dxa" w:w="468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Optional chain for tamper evidence.</w:t>
            </w:r>
          </w:p>
        </w:tc>
      </w:tr>
    </w:tbl>
    <w:p/>
    <w:p>
      <w:r>
        <w:t>Prompts and complete model conversations are not automatically audit evidence. Store them only when a defined purpose, access policy, retention period, and redaction process exist.</w:t>
      </w:r>
    </w:p>
    <w:p>
      <w:pPr>
        <w:pStyle w:val="Heading1"/>
      </w:pPr>
      <w:r>
        <w:t>10. Secrets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Secret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Consumer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7365D"/>
              </w:rPr>
              <w:t>Storage and handling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OpenAI API key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Mounted only into the Onyx model-provider service; never returned to users or tools.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API credential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SupportPilot API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Mounted only into the API container; rotated independently.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worker credential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Mounted only into the worker container.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credential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job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only during deployment; removed after the job exits.</w:t>
            </w:r>
          </w:p>
        </w:tc>
      </w:tr>
      <w:tr>
        <w:trPr>
          <w:cantSplit/>
        </w:trP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OAuth client secret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Onyx or backend OAuth client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Stored in the appropriate secret store; not placed in agent instructions.</w:t>
            </w:r>
          </w:p>
        </w:tc>
      </w:tr>
      <w:tr>
        <w:trPr>
          <w:cantSplit/>
        </w:trPr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credential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</w:t>
            </w:r>
          </w:p>
        </w:tc>
        <w:tc>
          <w:tcPr>
            <w:tcW w:type="dxa" w:w="3120"/>
            <w:vAlign w:val="top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Scoped to approved operations and destinations; short-lived when supported.</w:t>
            </w:r>
          </w:p>
        </w:tc>
      </w:tr>
    </w:tbl>
    <w:p/>
    <w:p>
      <w:pPr>
        <w:pStyle w:val="Heading1"/>
      </w:pPr>
      <w:r>
        <w:t>11. Example Policies and SQL</w:t>
      </w:r>
    </w:p>
    <w:p>
      <w:pPr>
        <w:pStyle w:val="Heading2"/>
      </w:pPr>
      <w:r>
        <w:t>OPA read rule</w:t>
      </w:r>
    </w:p>
    <w:p>
      <w:pPr>
        <w:pStyle w:val="Code"/>
        <w:keepLines/>
        <w:shd w:fill="F2F4F7"/>
      </w:pPr>
      <w:r>
        <w:t>package supportpilot.authz</w:t>
        <w:br/>
        <w:br/>
        <w:t>default decision := {</w:t>
        <w:br/>
        <w:t xml:space="preserve">  "allow": false,</w:t>
        <w:br/>
        <w:t xml:space="preserve">  "reason": "default_deny",</w:t>
        <w:br/>
        <w:t xml:space="preserve">  "policy_version": "2026-09-07.1"</w:t>
        <w:br/>
        <w:t>}</w:t>
        <w:br/>
        <w:br/>
        <w:t>decision := {</w:t>
        <w:br/>
        <w:t xml:space="preserve">  "allow": true,</w:t>
        <w:br/>
        <w:t xml:space="preserve">  "reason": "same_organization_and_allowed_role",</w:t>
        <w:br/>
        <w:t xml:space="preserve">  "policy_version": "2026-09-07.1"</w:t>
        <w:br/>
        <w:t>} if {</w:t>
        <w:br/>
        <w:t xml:space="preserve">  input.action == "order.read"</w:t>
        <w:br/>
        <w:t xml:space="preserve">  "support_agent" in input.subject.roles</w:t>
        <w:br/>
        <w:t xml:space="preserve">  input.resource.organization_id in input.subject.organizations</w:t>
        <w:br/>
        <w:t>}</w:t>
      </w:r>
    </w:p>
    <w:p>
      <w:pPr>
        <w:pStyle w:val="Heading2"/>
      </w:pPr>
      <w:r>
        <w:t>Parameterized tool query</w:t>
      </w:r>
    </w:p>
    <w:p>
      <w:pPr>
        <w:pStyle w:val="Code"/>
        <w:keepLines/>
        <w:shd w:fill="F2F4F7"/>
      </w:pPr>
      <w:r>
        <w:t>SELECT order_number, status, currency, total_amount, updated_at</w:t>
        <w:br/>
        <w:t>FROM app.orders</w:t>
        <w:br/>
        <w:t>WHERE order_number = $1</w:t>
        <w:br/>
        <w:t>LIMIT 1;</w:t>
      </w:r>
    </w:p>
    <w:p>
      <w:pPr>
        <w:pStyle w:val="Heading1"/>
      </w:pPr>
      <w:r>
        <w:t>12. Acceptance Checks</w:t>
      </w:r>
    </w:p>
    <w:p>
      <w:pPr>
        <w:numPr>
          <w:ilvl w:val="0"/>
          <w:numId w:val="16"/>
        </w:numPr>
        <w:spacing w:after="80" w:line="300" w:lineRule="auto"/>
      </w:pPr>
      <w:r>
        <w:t>Tokens with wrong issuer, audience, signature, expiry, or algorithm are rejected.</w:t>
      </w:r>
    </w:p>
    <w:p>
      <w:pPr>
        <w:numPr>
          <w:ilvl w:val="0"/>
          <w:numId w:val="16"/>
        </w:numPr>
        <w:spacing w:after="80" w:line="300" w:lineRule="auto"/>
      </w:pPr>
      <w:r>
        <w:t>Changing tool arguments cannot change the verified user or organization.</w:t>
      </w:r>
    </w:p>
    <w:p>
      <w:pPr>
        <w:numPr>
          <w:ilvl w:val="0"/>
          <w:numId w:val="16"/>
        </w:numPr>
        <w:spacing w:after="80" w:line="300" w:lineRule="auto"/>
      </w:pPr>
      <w:r>
        <w:t>Every cross-tenant read returns no protected data at API and database layers.</w:t>
      </w:r>
    </w:p>
    <w:p>
      <w:pPr>
        <w:numPr>
          <w:ilvl w:val="0"/>
          <w:numId w:val="16"/>
        </w:numPr>
        <w:spacing w:after="80" w:line="300" w:lineRule="auto"/>
      </w:pPr>
      <w:r>
        <w:t>The API database role cannot alter schemas, grants, policies, or roles.</w:t>
      </w:r>
    </w:p>
    <w:p>
      <w:pPr>
        <w:numPr>
          <w:ilvl w:val="0"/>
          <w:numId w:val="16"/>
        </w:numPr>
        <w:spacing w:after="80" w:line="300" w:lineRule="auto"/>
      </w:pPr>
      <w:r>
        <w:t>The worker database role cannot read broad customer data.</w:t>
      </w:r>
    </w:p>
    <w:p>
      <w:pPr>
        <w:numPr>
          <w:ilvl w:val="0"/>
          <w:numId w:val="16"/>
        </w:numPr>
        <w:spacing w:after="80" w:line="300" w:lineRule="auto"/>
      </w:pPr>
      <w:r>
        <w:t>A pooled database connection does not retain previous request context.</w:t>
      </w:r>
    </w:p>
    <w:p>
      <w:pPr>
        <w:numPr>
          <w:ilvl w:val="0"/>
          <w:numId w:val="16"/>
        </w:numPr>
        <w:spacing w:after="80" w:line="300" w:lineRule="auto"/>
      </w:pPr>
      <w:r>
        <w:t>OPA default behavior is deny and its unavailability blocks protected operations.</w:t>
      </w:r>
    </w:p>
    <w:p>
      <w:pPr>
        <w:numPr>
          <w:ilvl w:val="0"/>
          <w:numId w:val="16"/>
        </w:numPr>
        <w:spacing w:after="80" w:line="300" w:lineRule="auto"/>
      </w:pPr>
      <w:r>
        <w:t>Logs and model context do not contain database, OAuth, model-provider, or payment-provider secrets.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7085"/>
        <w:sz w:val="18"/>
      </w:rPr>
      <w:t>SupportPilot  |  Data, Identity, and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space"/>
      <w:pPr>
        <w:ind w:left="540" w:hanging="28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0" w:lineRule="auto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