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r>
        <w:rPr>
          <w:b/>
          <w:color w:val="2E74B5"/>
          <w:sz w:val="24"/>
        </w:rPr>
        <w:t>SUPPORTPILOT</w:t>
      </w:r>
    </w:p>
    <w:p>
      <w:pPr>
        <w:spacing w:after="40"/>
      </w:pPr>
      <w:r>
        <w:rPr>
          <w:b/>
          <w:color w:val="17365D"/>
          <w:sz w:val="56"/>
        </w:rPr>
        <w:t>Local Build Runbook</w:t>
      </w:r>
    </w:p>
    <w:p>
      <w:pPr>
        <w:spacing w:after="200"/>
      </w:pPr>
      <w:r>
        <w:rPr>
          <w:color w:val="667085"/>
          <w:sz w:val="28"/>
        </w:rPr>
        <w:t>Ordered steps from an empty machine to a proven authorized read</w:t>
      </w:r>
    </w:p>
    <w:tbl>
      <w:tblPr>
        <w:tblStyle w:val="TableGrid"/>
        <w:tblW w:type="auto" w:w="0"/>
        <w:tblLook w:firstColumn="1" w:firstRow="1" w:lastColumn="0" w:lastRow="0" w:noHBand="0" w:noVBand="1" w:val="04A0"/>
      </w:tblPr>
      <w:tblGrid>
        <w:gridCol w:w="4680"/>
        <w:gridCol w:w="4680"/>
      </w:tblGrid>
      <w:tr>
        <w:tc>
          <w:tcPr>
            <w:tcW w:type="dxa" w:w="2304"/>
            <w:tcMar>
              <w:top w:w="80" w:type="dxa"/>
              <w:start w:w="120" w:type="dxa"/>
              <w:bottom w:w="80" w:type="dxa"/>
              <w:end w:w="120" w:type="dxa"/>
            </w:tcMar>
            <w:shd w:fill="E8EEF5"/>
          </w:tcPr>
          <w:p>
            <w:r/>
            <w:r>
              <w:rPr>
                <w:b/>
                <w:color w:val="17365D"/>
              </w:rPr>
              <w:t>Document ID</w:t>
            </w:r>
          </w:p>
        </w:tc>
        <w:tc>
          <w:tcPr>
            <w:tcW w:type="dxa" w:w="7056"/>
            <w:tcMar>
              <w:top w:w="80" w:type="dxa"/>
              <w:start w:w="120" w:type="dxa"/>
              <w:bottom w:w="80" w:type="dxa"/>
              <w:end w:w="120" w:type="dxa"/>
            </w:tcMar>
          </w:tcPr>
          <w:p>
            <w:r/>
            <w:r>
              <w:t>SP-PLAN-003</w:t>
            </w:r>
          </w:p>
        </w:tc>
      </w:tr>
      <w:tr>
        <w:tc>
          <w:tcPr>
            <w:tcW w:type="dxa" w:w="2304"/>
            <w:tcMar>
              <w:top w:w="80" w:type="dxa"/>
              <w:start w:w="120" w:type="dxa"/>
              <w:bottom w:w="80" w:type="dxa"/>
              <w:end w:w="120" w:type="dxa"/>
            </w:tcMar>
            <w:shd w:fill="E8EEF5"/>
          </w:tcPr>
          <w:p>
            <w:r/>
            <w:r>
              <w:rPr>
                <w:b/>
                <w:color w:val="17365D"/>
              </w:rPr>
              <w:t>Status</w:t>
            </w:r>
          </w:p>
        </w:tc>
        <w:tc>
          <w:tcPr>
            <w:tcW w:type="dxa" w:w="7056"/>
            <w:tcMar>
              <w:top w:w="80" w:type="dxa"/>
              <w:start w:w="120" w:type="dxa"/>
              <w:bottom w:w="80" w:type="dxa"/>
              <w:end w:w="120" w:type="dxa"/>
            </w:tcMar>
          </w:tcPr>
          <w:p>
            <w:r/>
            <w:r>
              <w:t>Execution plan derived from the architecture baseline</w:t>
            </w:r>
          </w:p>
        </w:tc>
      </w:tr>
      <w:tr>
        <w:tc>
          <w:tcPr>
            <w:tcW w:type="dxa" w:w="2304"/>
            <w:tcMar>
              <w:top w:w="80" w:type="dxa"/>
              <w:start w:w="120" w:type="dxa"/>
              <w:bottom w:w="80" w:type="dxa"/>
              <w:end w:w="120" w:type="dxa"/>
            </w:tcMar>
            <w:shd w:fill="E8EEF5"/>
          </w:tcPr>
          <w:p>
            <w:r/>
            <w:r>
              <w:rPr>
                <w:b/>
                <w:color w:val="17365D"/>
              </w:rPr>
              <w:t>Version</w:t>
            </w:r>
          </w:p>
        </w:tc>
        <w:tc>
          <w:tcPr>
            <w:tcW w:type="dxa" w:w="7056"/>
            <w:tcMar>
              <w:top w:w="80" w:type="dxa"/>
              <w:start w:w="120" w:type="dxa"/>
              <w:bottom w:w="80" w:type="dxa"/>
              <w:end w:w="120" w:type="dxa"/>
            </w:tcMar>
          </w:tcPr>
          <w:p>
            <w:r/>
            <w:r>
              <w:t>1.0</w:t>
            </w:r>
          </w:p>
        </w:tc>
      </w:tr>
      <w:tr>
        <w:tc>
          <w:tcPr>
            <w:tcW w:type="dxa" w:w="2304"/>
            <w:tcMar>
              <w:top w:w="80" w:type="dxa"/>
              <w:start w:w="120" w:type="dxa"/>
              <w:bottom w:w="80" w:type="dxa"/>
              <w:end w:w="120" w:type="dxa"/>
            </w:tcMar>
            <w:shd w:fill="E8EEF5"/>
          </w:tcPr>
          <w:p>
            <w:r/>
            <w:r>
              <w:rPr>
                <w:b/>
                <w:color w:val="17365D"/>
              </w:rPr>
              <w:t>Date</w:t>
            </w:r>
          </w:p>
        </w:tc>
        <w:tc>
          <w:tcPr>
            <w:tcW w:type="dxa" w:w="7056"/>
            <w:tcMar>
              <w:top w:w="80" w:type="dxa"/>
              <w:start w:w="120" w:type="dxa"/>
              <w:bottom w:w="80" w:type="dxa"/>
              <w:end w:w="120" w:type="dxa"/>
            </w:tcMar>
          </w:tcPr>
          <w:p>
            <w:r/>
            <w:r>
              <w:t>2026-09-07</w:t>
            </w:r>
          </w:p>
        </w:tc>
      </w:tr>
      <w:tr>
        <w:tc>
          <w:tcPr>
            <w:tcW w:type="dxa" w:w="2304"/>
            <w:tcMar>
              <w:top w:w="80" w:type="dxa"/>
              <w:start w:w="120" w:type="dxa"/>
              <w:bottom w:w="80" w:type="dxa"/>
              <w:end w:w="120" w:type="dxa"/>
            </w:tcMar>
            <w:shd w:fill="E8EEF5"/>
          </w:tcPr>
          <w:p>
            <w:r/>
            <w:r>
              <w:rPr>
                <w:b/>
                <w:color w:val="17365D"/>
              </w:rPr>
              <w:t>Covers</w:t>
            </w:r>
          </w:p>
        </w:tc>
        <w:tc>
          <w:tcPr>
            <w:tcW w:type="dxa" w:w="7056"/>
            <w:tcMar>
              <w:top w:w="80" w:type="dxa"/>
              <w:start w:w="120" w:type="dxa"/>
              <w:bottom w:w="80" w:type="dxa"/>
              <w:end w:w="120" w:type="dxa"/>
            </w:tcMar>
          </w:tcPr>
          <w:p>
            <w:r/>
            <w:r>
              <w:t>SP-PLAN-001 phases 0 and 1; SP-PLAN-002 tasks P0-01 to P1-20</w:t>
            </w:r>
          </w:p>
        </w:tc>
      </w:tr>
      <w:tr>
        <w:tc>
          <w:tcPr>
            <w:tcW w:type="dxa" w:w="2304"/>
            <w:tcMar>
              <w:top w:w="80" w:type="dxa"/>
              <w:start w:w="120" w:type="dxa"/>
              <w:bottom w:w="80" w:type="dxa"/>
              <w:end w:w="120" w:type="dxa"/>
            </w:tcMar>
            <w:shd w:fill="E8EEF5"/>
          </w:tcPr>
          <w:p>
            <w:r/>
            <w:r>
              <w:rPr>
                <w:b/>
                <w:color w:val="17365D"/>
              </w:rPr>
              <w:t>Audience</w:t>
            </w:r>
          </w:p>
        </w:tc>
        <w:tc>
          <w:tcPr>
            <w:tcW w:type="dxa" w:w="7056"/>
            <w:tcMar>
              <w:top w:w="80" w:type="dxa"/>
              <w:start w:w="120" w:type="dxa"/>
              <w:bottom w:w="80" w:type="dxa"/>
              <w:end w:w="120" w:type="dxa"/>
            </w:tcMar>
          </w:tcPr>
          <w:p>
            <w:r/>
            <w:r>
              <w:t>Platform, identity, database, policy, and backend engineers</w:t>
            </w:r>
          </w:p>
        </w:tc>
      </w:tr>
    </w:tbl>
    <w:p/>
    <w:p>
      <w:pPr>
        <w:pStyle w:val="Heading1"/>
      </w:pPr>
      <w:r>
        <w:t>Purpose</w:t>
      </w:r>
    </w:p>
    <w:p>
      <w:r>
        <w:rPr>
          <w:b w:val="0"/>
        </w:rPr>
        <w:t>This document is the step-by-step procedure for building the SupportPilot local environment and reaching the first proven protected read. It covers phases 0 and 1 of SP-PLAN-001 in operational detail. Follow the steps in order; each step ends with a check that must pass before the next step.</w:t>
      </w:r>
    </w:p>
    <w:p>
      <w:pPr>
        <w:pStyle w:val="Heading1"/>
      </w:pPr>
      <w:r>
        <w:t>Contents</w:t>
      </w:r>
    </w:p>
    <w:p>
      <w:pPr>
        <w:pStyle w:val="ListNumber"/>
      </w:pPr>
      <w:r>
        <w:t>Prerequisites</w:t>
      </w:r>
    </w:p>
    <w:p>
      <w:pPr>
        <w:pStyle w:val="ListNumber"/>
      </w:pPr>
      <w:r>
        <w:t>Naming and Test Data Baseline</w:t>
      </w:r>
    </w:p>
    <w:p>
      <w:pPr>
        <w:pStyle w:val="ListNumber"/>
      </w:pPr>
      <w:r>
        <w:t>Step 1 Repository and Networks</w:t>
      </w:r>
    </w:p>
    <w:p>
      <w:pPr>
        <w:pStyle w:val="ListNumber"/>
      </w:pPr>
      <w:r>
        <w:t>Step 2 Secrets and Configuration</w:t>
      </w:r>
    </w:p>
    <w:p>
      <w:pPr>
        <w:pStyle w:val="ListNumber"/>
      </w:pPr>
      <w:r>
        <w:t>Step 3 Database and Roles</w:t>
      </w:r>
    </w:p>
    <w:p>
      <w:pPr>
        <w:pStyle w:val="ListNumber"/>
      </w:pPr>
      <w:r>
        <w:t>Step 4 Schema and Seed Data</w:t>
      </w:r>
    </w:p>
    <w:p>
      <w:pPr>
        <w:pStyle w:val="ListNumber"/>
      </w:pPr>
      <w:r>
        <w:t>Step 5 Keycloak Realm</w:t>
      </w:r>
    </w:p>
    <w:p>
      <w:pPr>
        <w:pStyle w:val="ListNumber"/>
      </w:pPr>
      <w:r>
        <w:t>Step 6 API Token Verification</w:t>
      </w:r>
    </w:p>
    <w:p>
      <w:pPr>
        <w:pStyle w:val="ListNumber"/>
      </w:pPr>
      <w:r>
        <w:t>Step 7 OPA Policy Bundle</w:t>
      </w:r>
    </w:p>
    <w:p>
      <w:pPr>
        <w:pStyle w:val="ListNumber"/>
      </w:pPr>
      <w:r>
        <w:t>Step 8 The First Tool</w:t>
      </w:r>
    </w:p>
    <w:p>
      <w:pPr>
        <w:pStyle w:val="ListNumber"/>
      </w:pPr>
      <w:r>
        <w:t>Step 9 Onyx Action Registration</w:t>
      </w:r>
    </w:p>
    <w:p>
      <w:pPr>
        <w:pStyle w:val="ListNumber"/>
      </w:pPr>
      <w:r>
        <w:t>Step 10 End-to-End Verification</w:t>
      </w:r>
    </w:p>
    <w:p>
      <w:pPr>
        <w:pStyle w:val="ListNumber"/>
      </w:pPr>
      <w:r>
        <w:t>Troubleshooting</w:t>
      </w:r>
    </w:p>
    <w:p>
      <w:pPr>
        <w:pStyle w:val="ListNumber"/>
      </w:pPr>
      <w:r>
        <w:t>Teardown and Reset</w:t>
      </w:r>
    </w:p>
    <w:p>
      <w:pPr>
        <w:pStyle w:val="Heading1"/>
      </w:pPr>
      <w:r>
        <w:t>1. Prerequisites</w:t>
      </w:r>
    </w:p>
    <w:tbl>
      <w:tblPr>
        <w:tblStyle w:val="TableGrid"/>
        <w:tblW w:type="auto" w:w="0"/>
        <w:tblLayout w:type="fixed"/>
        <w:tblLook w:firstColumn="1" w:firstRow="1" w:lastColumn="0" w:lastRow="0" w:noHBand="0" w:noVBand="1" w:val="04A0"/>
      </w:tblPr>
      <w:tblGrid>
        <w:gridCol w:w="3120"/>
        <w:gridCol w:w="3120"/>
        <w:gridCol w:w="3120"/>
      </w:tblGrid>
      <w:tr>
        <w:tc>
          <w:tcPr>
            <w:tcW w:type="dxa" w:w="1728"/>
            <w:tcMar>
              <w:top w:w="80" w:type="dxa"/>
              <w:start w:w="120" w:type="dxa"/>
              <w:bottom w:w="80" w:type="dxa"/>
              <w:end w:w="120" w:type="dxa"/>
            </w:tcMar>
            <w:shd w:fill="E8EEF5"/>
          </w:tcPr>
          <w:p>
            <w:r/>
            <w:r>
              <w:rPr>
                <w:b/>
                <w:color w:val="17365D"/>
              </w:rPr>
              <w:t>Item</w:t>
            </w:r>
          </w:p>
        </w:tc>
        <w:tc>
          <w:tcPr>
            <w:tcW w:type="dxa" w:w="4320"/>
            <w:tcMar>
              <w:top w:w="80" w:type="dxa"/>
              <w:start w:w="120" w:type="dxa"/>
              <w:bottom w:w="80" w:type="dxa"/>
              <w:end w:w="120" w:type="dxa"/>
            </w:tcMar>
            <w:shd w:fill="E8EEF5"/>
          </w:tcPr>
          <w:p>
            <w:r/>
            <w:r>
              <w:rPr>
                <w:b/>
                <w:color w:val="17365D"/>
              </w:rPr>
              <w:t>Requirement</w:t>
            </w:r>
          </w:p>
        </w:tc>
        <w:tc>
          <w:tcPr>
            <w:tcW w:type="dxa" w:w="3312"/>
            <w:tcMar>
              <w:top w:w="80" w:type="dxa"/>
              <w:start w:w="120" w:type="dxa"/>
              <w:bottom w:w="80" w:type="dxa"/>
              <w:end w:w="120" w:type="dxa"/>
            </w:tcMar>
            <w:shd w:fill="E8EEF5"/>
          </w:tcPr>
          <w:p>
            <w:r/>
            <w:r>
              <w:rPr>
                <w:b/>
                <w:color w:val="17365D"/>
              </w:rPr>
              <w:t>Check</w:t>
            </w:r>
          </w:p>
        </w:tc>
      </w:tr>
      <w:tr>
        <w:tc>
          <w:tcPr>
            <w:tcW w:type="dxa" w:w="1728"/>
            <w:tcMar>
              <w:top w:w="80" w:type="dxa"/>
              <w:start w:w="120" w:type="dxa"/>
              <w:bottom w:w="80" w:type="dxa"/>
              <w:end w:w="120" w:type="dxa"/>
            </w:tcMar>
          </w:tcPr>
          <w:p>
            <w:r/>
            <w:r>
              <w:rPr>
                <w:sz w:val="20"/>
              </w:rPr>
              <w:t>Container runtime</w:t>
            </w:r>
          </w:p>
        </w:tc>
        <w:tc>
          <w:tcPr>
            <w:tcW w:type="dxa" w:w="4320"/>
            <w:tcMar>
              <w:top w:w="80" w:type="dxa"/>
              <w:start w:w="120" w:type="dxa"/>
              <w:bottom w:w="80" w:type="dxa"/>
              <w:end w:w="120" w:type="dxa"/>
            </w:tcMar>
          </w:tcPr>
          <w:p>
            <w:r/>
            <w:r>
              <w:rPr>
                <w:sz w:val="20"/>
              </w:rPr>
              <w:t>Docker Engine with Compose v2 and at least 8 GB memory available.</w:t>
            </w:r>
          </w:p>
        </w:tc>
        <w:tc>
          <w:tcPr>
            <w:tcW w:type="dxa" w:w="3312"/>
            <w:tcMar>
              <w:top w:w="80" w:type="dxa"/>
              <w:start w:w="120" w:type="dxa"/>
              <w:bottom w:w="80" w:type="dxa"/>
              <w:end w:w="120" w:type="dxa"/>
            </w:tcMar>
          </w:tcPr>
          <w:p>
            <w:r/>
            <w:r>
              <w:rPr>
                <w:sz w:val="20"/>
              </w:rPr>
              <w:t>docker compose version returns v2 or later.</w:t>
            </w:r>
          </w:p>
        </w:tc>
      </w:tr>
      <w:tr>
        <w:tc>
          <w:tcPr>
            <w:tcW w:type="dxa" w:w="1728"/>
            <w:tcMar>
              <w:top w:w="80" w:type="dxa"/>
              <w:start w:w="120" w:type="dxa"/>
              <w:bottom w:w="80" w:type="dxa"/>
              <w:end w:w="120" w:type="dxa"/>
            </w:tcMar>
          </w:tcPr>
          <w:p>
            <w:r/>
            <w:r>
              <w:rPr>
                <w:sz w:val="20"/>
              </w:rPr>
              <w:t>Source control</w:t>
            </w:r>
          </w:p>
        </w:tc>
        <w:tc>
          <w:tcPr>
            <w:tcW w:type="dxa" w:w="4320"/>
            <w:tcMar>
              <w:top w:w="80" w:type="dxa"/>
              <w:start w:w="120" w:type="dxa"/>
              <w:bottom w:w="80" w:type="dxa"/>
              <w:end w:w="120" w:type="dxa"/>
            </w:tcMar>
          </w:tcPr>
          <w:p>
            <w:r/>
            <w:r>
              <w:rPr>
                <w:sz w:val="20"/>
              </w:rPr>
              <w:t>Access to the SupportPilot repository with branch protection enabled.</w:t>
            </w:r>
          </w:p>
        </w:tc>
        <w:tc>
          <w:tcPr>
            <w:tcW w:type="dxa" w:w="3312"/>
            <w:tcMar>
              <w:top w:w="80" w:type="dxa"/>
              <w:start w:w="120" w:type="dxa"/>
              <w:bottom w:w="80" w:type="dxa"/>
              <w:end w:w="120" w:type="dxa"/>
            </w:tcMar>
          </w:tcPr>
          <w:p>
            <w:r/>
            <w:r>
              <w:rPr>
                <w:sz w:val="20"/>
              </w:rPr>
              <w:t>A protected-branch push is refused without review.</w:t>
            </w:r>
          </w:p>
        </w:tc>
      </w:tr>
      <w:tr>
        <w:tc>
          <w:tcPr>
            <w:tcW w:type="dxa" w:w="1728"/>
            <w:tcMar>
              <w:top w:w="80" w:type="dxa"/>
              <w:start w:w="120" w:type="dxa"/>
              <w:bottom w:w="80" w:type="dxa"/>
              <w:end w:w="120" w:type="dxa"/>
            </w:tcMar>
          </w:tcPr>
          <w:p>
            <w:r/>
            <w:r>
              <w:rPr>
                <w:sz w:val="20"/>
              </w:rPr>
              <w:t>Model provider</w:t>
            </w:r>
          </w:p>
        </w:tc>
        <w:tc>
          <w:tcPr>
            <w:tcW w:type="dxa" w:w="4320"/>
            <w:tcMar>
              <w:top w:w="80" w:type="dxa"/>
              <w:start w:w="120" w:type="dxa"/>
              <w:bottom w:w="80" w:type="dxa"/>
              <w:end w:w="120" w:type="dxa"/>
            </w:tcMar>
          </w:tcPr>
          <w:p>
            <w:r/>
            <w:r>
              <w:rPr>
                <w:sz w:val="20"/>
              </w:rPr>
              <w:t>An API key for the model provider used by Onyx.</w:t>
            </w:r>
          </w:p>
        </w:tc>
        <w:tc>
          <w:tcPr>
            <w:tcW w:type="dxa" w:w="3312"/>
            <w:tcMar>
              <w:top w:w="80" w:type="dxa"/>
              <w:start w:w="120" w:type="dxa"/>
              <w:bottom w:w="80" w:type="dxa"/>
              <w:end w:w="120" w:type="dxa"/>
            </w:tcMar>
          </w:tcPr>
          <w:p>
            <w:r/>
            <w:r>
              <w:rPr>
                <w:sz w:val="20"/>
              </w:rPr>
              <w:t>The key is stored in the local secret directory, never in the repository.</w:t>
            </w:r>
          </w:p>
        </w:tc>
      </w:tr>
      <w:tr>
        <w:tc>
          <w:tcPr>
            <w:tcW w:type="dxa" w:w="1728"/>
            <w:tcMar>
              <w:top w:w="80" w:type="dxa"/>
              <w:start w:w="120" w:type="dxa"/>
              <w:bottom w:w="80" w:type="dxa"/>
              <w:end w:w="120" w:type="dxa"/>
            </w:tcMar>
          </w:tcPr>
          <w:p>
            <w:r/>
            <w:r>
              <w:rPr>
                <w:sz w:val="20"/>
              </w:rPr>
              <w:t>Certificates</w:t>
            </w:r>
          </w:p>
        </w:tc>
        <w:tc>
          <w:tcPr>
            <w:tcW w:type="dxa" w:w="4320"/>
            <w:tcMar>
              <w:top w:w="80" w:type="dxa"/>
              <w:start w:w="120" w:type="dxa"/>
              <w:bottom w:w="80" w:type="dxa"/>
              <w:end w:w="120" w:type="dxa"/>
            </w:tcMar>
          </w:tcPr>
          <w:p>
            <w:r/>
            <w:r>
              <w:rPr>
                <w:sz w:val="20"/>
              </w:rPr>
              <w:t>Local TLS material for the reverse proxy.</w:t>
            </w:r>
          </w:p>
        </w:tc>
        <w:tc>
          <w:tcPr>
            <w:tcW w:type="dxa" w:w="3312"/>
            <w:tcMar>
              <w:top w:w="80" w:type="dxa"/>
              <w:start w:w="120" w:type="dxa"/>
              <w:bottom w:w="80" w:type="dxa"/>
              <w:end w:w="120" w:type="dxa"/>
            </w:tcMar>
          </w:tcPr>
          <w:p>
            <w:r/>
            <w:r>
              <w:rPr>
                <w:sz w:val="20"/>
              </w:rPr>
              <w:t>Onyx and the approval portal are reachable over HTTPS only.</w:t>
            </w:r>
          </w:p>
        </w:tc>
      </w:tr>
      <w:tr>
        <w:tc>
          <w:tcPr>
            <w:tcW w:type="dxa" w:w="1728"/>
            <w:tcMar>
              <w:top w:w="80" w:type="dxa"/>
              <w:start w:w="120" w:type="dxa"/>
              <w:bottom w:w="80" w:type="dxa"/>
              <w:end w:w="120" w:type="dxa"/>
            </w:tcMar>
          </w:tcPr>
          <w:p>
            <w:r/>
            <w:r>
              <w:rPr>
                <w:sz w:val="20"/>
              </w:rPr>
              <w:t>Shell</w:t>
            </w:r>
          </w:p>
        </w:tc>
        <w:tc>
          <w:tcPr>
            <w:tcW w:type="dxa" w:w="4320"/>
            <w:tcMar>
              <w:top w:w="80" w:type="dxa"/>
              <w:start w:w="120" w:type="dxa"/>
              <w:bottom w:w="80" w:type="dxa"/>
              <w:end w:w="120" w:type="dxa"/>
            </w:tcMar>
          </w:tcPr>
          <w:p>
            <w:r/>
            <w:r>
              <w:rPr>
                <w:sz w:val="20"/>
              </w:rPr>
              <w:t>PowerShell 5.1 or later for the bootstrap and verify scripts.</w:t>
            </w:r>
          </w:p>
        </w:tc>
        <w:tc>
          <w:tcPr>
            <w:tcW w:type="dxa" w:w="3312"/>
            <w:tcMar>
              <w:top w:w="80" w:type="dxa"/>
              <w:start w:w="120" w:type="dxa"/>
              <w:bottom w:w="80" w:type="dxa"/>
              <w:end w:w="120" w:type="dxa"/>
            </w:tcMar>
          </w:tcPr>
          <w:p>
            <w:r/>
            <w:r>
              <w:rPr>
                <w:sz w:val="20"/>
              </w:rPr>
              <w:t>scripts/bootstrap-local.ps1 runs without an execution-policy error.</w:t>
            </w:r>
          </w:p>
        </w:tc>
      </w:tr>
      <w:tr>
        <w:tc>
          <w:tcPr>
            <w:tcW w:type="dxa" w:w="1728"/>
            <w:tcMar>
              <w:top w:w="80" w:type="dxa"/>
              <w:start w:w="120" w:type="dxa"/>
              <w:bottom w:w="80" w:type="dxa"/>
              <w:end w:w="120" w:type="dxa"/>
            </w:tcMar>
          </w:tcPr>
          <w:p>
            <w:r/>
            <w:r>
              <w:rPr>
                <w:sz w:val="20"/>
              </w:rPr>
              <w:t>Disk</w:t>
            </w:r>
          </w:p>
        </w:tc>
        <w:tc>
          <w:tcPr>
            <w:tcW w:type="dxa" w:w="4320"/>
            <w:tcMar>
              <w:top w:w="80" w:type="dxa"/>
              <w:start w:w="120" w:type="dxa"/>
              <w:bottom w:w="80" w:type="dxa"/>
              <w:end w:w="120" w:type="dxa"/>
            </w:tcMar>
          </w:tcPr>
          <w:p>
            <w:r/>
            <w:r>
              <w:rPr>
                <w:sz w:val="20"/>
              </w:rPr>
              <w:t>At least 20 GB free for images and the database volume.</w:t>
            </w:r>
          </w:p>
        </w:tc>
        <w:tc>
          <w:tcPr>
            <w:tcW w:type="dxa" w:w="3312"/>
            <w:tcMar>
              <w:top w:w="80" w:type="dxa"/>
              <w:start w:w="120" w:type="dxa"/>
              <w:bottom w:w="80" w:type="dxa"/>
              <w:end w:w="120" w:type="dxa"/>
            </w:tcMar>
          </w:tcPr>
          <w:p>
            <w:r/>
            <w:r>
              <w:rPr>
                <w:sz w:val="20"/>
              </w:rPr>
              <w:t>docker system df shows sufficient free space.</w:t>
            </w:r>
          </w:p>
        </w:tc>
      </w:tr>
    </w:tbl>
    <w:p/>
    <w:tbl>
      <w:tblPr>
        <w:tblStyle w:val="TableGrid"/>
        <w:tblW w:type="auto" w:w="0"/>
        <w:tblLook w:firstColumn="1" w:firstRow="1" w:lastColumn="0" w:lastRow="0" w:noHBand="0" w:noVBand="1" w:val="04A0"/>
      </w:tblPr>
      <w:tblGrid>
        <w:gridCol w:w="9360"/>
      </w:tblGrid>
      <w:tr>
        <w:tc>
          <w:tcPr>
            <w:tcW w:type="dxa" w:w="9360"/>
            <w:tcMar>
              <w:top w:w="80" w:type="dxa"/>
              <w:start w:w="120" w:type="dxa"/>
              <w:bottom w:w="80" w:type="dxa"/>
              <w:end w:w="120" w:type="dxa"/>
            </w:tcMar>
            <w:shd w:fill="E8EEF5"/>
          </w:tcPr>
          <w:p>
            <w:r/>
            <w:r>
              <w:rPr>
                <w:b/>
              </w:rPr>
              <w:t xml:space="preserve">Safety rule: </w:t>
            </w:r>
            <w:r>
              <w:t>This environment holds realistic non-production records only. Never load real customer data, real payment credentials, or a production database dump into the local environment.</w:t>
            </w:r>
          </w:p>
        </w:tc>
      </w:tr>
    </w:tbl>
    <w:p/>
    <w:p>
      <w:pPr>
        <w:pStyle w:val="Heading1"/>
      </w:pPr>
      <w:r>
        <w:t>2. Naming and Test Data Baseline</w:t>
      </w:r>
    </w:p>
    <w:p>
      <w:r>
        <w:rPr>
          <w:b w:val="0"/>
        </w:rPr>
        <w:t>Every example in this runbook and every test in SP-PLAN-004 uses the same fixed baseline. Do not rename these objects; the test suites depend on them.</w:t>
      </w:r>
    </w:p>
    <w:tbl>
      <w:tblPr>
        <w:tblStyle w:val="TableGrid"/>
        <w:tblW w:type="auto" w:w="0"/>
        <w:tblLayout w:type="fixed"/>
        <w:tblLook w:firstColumn="1" w:firstRow="1" w:lastColumn="0" w:lastRow="0" w:noHBand="0" w:noVBand="1" w:val="04A0"/>
      </w:tblPr>
      <w:tblGrid>
        <w:gridCol w:w="3120"/>
        <w:gridCol w:w="3120"/>
        <w:gridCol w:w="3120"/>
      </w:tblGrid>
      <w:tr>
        <w:tc>
          <w:tcPr>
            <w:tcW w:type="dxa" w:w="1872"/>
            <w:tcMar>
              <w:top w:w="80" w:type="dxa"/>
              <w:start w:w="120" w:type="dxa"/>
              <w:bottom w:w="80" w:type="dxa"/>
              <w:end w:w="120" w:type="dxa"/>
            </w:tcMar>
            <w:shd w:fill="E8EEF5"/>
          </w:tcPr>
          <w:p>
            <w:r/>
            <w:r>
              <w:rPr>
                <w:b/>
                <w:color w:val="17365D"/>
              </w:rPr>
              <w:t>Object</w:t>
            </w:r>
          </w:p>
        </w:tc>
        <w:tc>
          <w:tcPr>
            <w:tcW w:type="dxa" w:w="2880"/>
            <w:tcMar>
              <w:top w:w="80" w:type="dxa"/>
              <w:start w:w="120" w:type="dxa"/>
              <w:bottom w:w="80" w:type="dxa"/>
              <w:end w:w="120" w:type="dxa"/>
            </w:tcMar>
            <w:shd w:fill="E8EEF5"/>
          </w:tcPr>
          <w:p>
            <w:r/>
            <w:r>
              <w:rPr>
                <w:b/>
                <w:color w:val="17365D"/>
              </w:rPr>
              <w:t>Value</w:t>
            </w:r>
          </w:p>
        </w:tc>
        <w:tc>
          <w:tcPr>
            <w:tcW w:type="dxa" w:w="4608"/>
            <w:tcMar>
              <w:top w:w="80" w:type="dxa"/>
              <w:start w:w="120" w:type="dxa"/>
              <w:bottom w:w="80" w:type="dxa"/>
              <w:end w:w="120" w:type="dxa"/>
            </w:tcMar>
            <w:shd w:fill="E8EEF5"/>
          </w:tcPr>
          <w:p>
            <w:r/>
            <w:r>
              <w:rPr>
                <w:b/>
                <w:color w:val="17365D"/>
              </w:rPr>
              <w:t>Purpose</w:t>
            </w:r>
          </w:p>
        </w:tc>
      </w:tr>
      <w:tr>
        <w:tc>
          <w:tcPr>
            <w:tcW w:type="dxa" w:w="1872"/>
            <w:tcMar>
              <w:top w:w="80" w:type="dxa"/>
              <w:start w:w="120" w:type="dxa"/>
              <w:bottom w:w="80" w:type="dxa"/>
              <w:end w:w="120" w:type="dxa"/>
            </w:tcMar>
          </w:tcPr>
          <w:p>
            <w:r/>
            <w:r>
              <w:rPr>
                <w:sz w:val="20"/>
              </w:rPr>
              <w:t>Organization A</w:t>
            </w:r>
          </w:p>
        </w:tc>
        <w:tc>
          <w:tcPr>
            <w:tcW w:type="dxa" w:w="2880"/>
            <w:tcMar>
              <w:top w:w="80" w:type="dxa"/>
              <w:start w:w="120" w:type="dxa"/>
              <w:bottom w:w="80" w:type="dxa"/>
              <w:end w:w="120" w:type="dxa"/>
            </w:tcMar>
          </w:tcPr>
          <w:p>
            <w:r/>
            <w:r>
              <w:rPr>
                <w:sz w:val="20"/>
              </w:rPr>
              <w:t>cedar</w:t>
            </w:r>
          </w:p>
        </w:tc>
        <w:tc>
          <w:tcPr>
            <w:tcW w:type="dxa" w:w="4608"/>
            <w:tcMar>
              <w:top w:w="80" w:type="dxa"/>
              <w:start w:w="120" w:type="dxa"/>
              <w:bottom w:w="80" w:type="dxa"/>
              <w:end w:w="120" w:type="dxa"/>
            </w:tcMar>
          </w:tcPr>
          <w:p>
            <w:r/>
            <w:r>
              <w:rPr>
                <w:sz w:val="20"/>
              </w:rPr>
              <w:t>Primary tenant used for allowed-access tests.</w:t>
            </w:r>
          </w:p>
        </w:tc>
      </w:tr>
      <w:tr>
        <w:tc>
          <w:tcPr>
            <w:tcW w:type="dxa" w:w="1872"/>
            <w:tcMar>
              <w:top w:w="80" w:type="dxa"/>
              <w:start w:w="120" w:type="dxa"/>
              <w:bottom w:w="80" w:type="dxa"/>
              <w:end w:w="120" w:type="dxa"/>
            </w:tcMar>
          </w:tcPr>
          <w:p>
            <w:r/>
            <w:r>
              <w:rPr>
                <w:sz w:val="20"/>
              </w:rPr>
              <w:t>Organization B</w:t>
            </w:r>
          </w:p>
        </w:tc>
        <w:tc>
          <w:tcPr>
            <w:tcW w:type="dxa" w:w="2880"/>
            <w:tcMar>
              <w:top w:w="80" w:type="dxa"/>
              <w:start w:w="120" w:type="dxa"/>
              <w:bottom w:w="80" w:type="dxa"/>
              <w:end w:w="120" w:type="dxa"/>
            </w:tcMar>
          </w:tcPr>
          <w:p>
            <w:r/>
            <w:r>
              <w:rPr>
                <w:sz w:val="20"/>
              </w:rPr>
              <w:t>northwind</w:t>
            </w:r>
          </w:p>
        </w:tc>
        <w:tc>
          <w:tcPr>
            <w:tcW w:type="dxa" w:w="4608"/>
            <w:tcMar>
              <w:top w:w="80" w:type="dxa"/>
              <w:start w:w="120" w:type="dxa"/>
              <w:bottom w:w="80" w:type="dxa"/>
              <w:end w:w="120" w:type="dxa"/>
            </w:tcMar>
          </w:tcPr>
          <w:p>
            <w:r/>
            <w:r>
              <w:rPr>
                <w:sz w:val="20"/>
              </w:rPr>
              <w:t>Second tenant used for cross-tenant denial tests.</w:t>
            </w:r>
          </w:p>
        </w:tc>
      </w:tr>
      <w:tr>
        <w:tc>
          <w:tcPr>
            <w:tcW w:type="dxa" w:w="1872"/>
            <w:tcMar>
              <w:top w:w="80" w:type="dxa"/>
              <w:start w:w="120" w:type="dxa"/>
              <w:bottom w:w="80" w:type="dxa"/>
              <w:end w:w="120" w:type="dxa"/>
            </w:tcMar>
          </w:tcPr>
          <w:p>
            <w:r/>
            <w:r>
              <w:rPr>
                <w:sz w:val="20"/>
              </w:rPr>
              <w:t>alice</w:t>
            </w:r>
          </w:p>
        </w:tc>
        <w:tc>
          <w:tcPr>
            <w:tcW w:type="dxa" w:w="2880"/>
            <w:tcMar>
              <w:top w:w="80" w:type="dxa"/>
              <w:start w:w="120" w:type="dxa"/>
              <w:bottom w:w="80" w:type="dxa"/>
              <w:end w:w="120" w:type="dxa"/>
            </w:tcMar>
          </w:tcPr>
          <w:p>
            <w:r/>
            <w:r>
              <w:rPr>
                <w:sz w:val="20"/>
              </w:rPr>
              <w:t>support_agent in cedar</w:t>
            </w:r>
          </w:p>
        </w:tc>
        <w:tc>
          <w:tcPr>
            <w:tcW w:type="dxa" w:w="4608"/>
            <w:tcMar>
              <w:top w:w="80" w:type="dxa"/>
              <w:start w:w="120" w:type="dxa"/>
              <w:bottom w:w="80" w:type="dxa"/>
              <w:end w:w="120" w:type="dxa"/>
            </w:tcMar>
          </w:tcPr>
          <w:p>
            <w:r/>
            <w:r>
              <w:rPr>
                <w:sz w:val="20"/>
              </w:rPr>
              <w:t>Normal read and note author; refund requester.</w:t>
            </w:r>
          </w:p>
        </w:tc>
      </w:tr>
      <w:tr>
        <w:tc>
          <w:tcPr>
            <w:tcW w:type="dxa" w:w="1872"/>
            <w:tcMar>
              <w:top w:w="80" w:type="dxa"/>
              <w:start w:w="120" w:type="dxa"/>
              <w:bottom w:w="80" w:type="dxa"/>
              <w:end w:w="120" w:type="dxa"/>
            </w:tcMar>
          </w:tcPr>
          <w:p>
            <w:r/>
            <w:r>
              <w:rPr>
                <w:sz w:val="20"/>
              </w:rPr>
              <w:t>bob</w:t>
            </w:r>
          </w:p>
        </w:tc>
        <w:tc>
          <w:tcPr>
            <w:tcW w:type="dxa" w:w="2880"/>
            <w:tcMar>
              <w:top w:w="80" w:type="dxa"/>
              <w:start w:w="120" w:type="dxa"/>
              <w:bottom w:w="80" w:type="dxa"/>
              <w:end w:w="120" w:type="dxa"/>
            </w:tcMar>
          </w:tcPr>
          <w:p>
            <w:r/>
            <w:r>
              <w:rPr>
                <w:sz w:val="20"/>
              </w:rPr>
              <w:t>support_manager in cedar</w:t>
            </w:r>
          </w:p>
        </w:tc>
        <w:tc>
          <w:tcPr>
            <w:tcW w:type="dxa" w:w="4608"/>
            <w:tcMar>
              <w:top w:w="80" w:type="dxa"/>
              <w:start w:w="120" w:type="dxa"/>
              <w:bottom w:w="80" w:type="dxa"/>
              <w:end w:w="120" w:type="dxa"/>
            </w:tcMar>
          </w:tcPr>
          <w:p>
            <w:r/>
            <w:r>
              <w:rPr>
                <w:sz w:val="20"/>
              </w:rPr>
              <w:t>Supervisory reads; not a valid approver for alice's own refunds.</w:t>
            </w:r>
          </w:p>
        </w:tc>
      </w:tr>
      <w:tr>
        <w:tc>
          <w:tcPr>
            <w:tcW w:type="dxa" w:w="1872"/>
            <w:tcMar>
              <w:top w:w="80" w:type="dxa"/>
              <w:start w:w="120" w:type="dxa"/>
              <w:bottom w:w="80" w:type="dxa"/>
              <w:end w:w="120" w:type="dxa"/>
            </w:tcMar>
          </w:tcPr>
          <w:p>
            <w:r/>
            <w:r>
              <w:rPr>
                <w:sz w:val="20"/>
              </w:rPr>
              <w:t>fiona</w:t>
            </w:r>
          </w:p>
        </w:tc>
        <w:tc>
          <w:tcPr>
            <w:tcW w:type="dxa" w:w="2880"/>
            <w:tcMar>
              <w:top w:w="80" w:type="dxa"/>
              <w:start w:w="120" w:type="dxa"/>
              <w:bottom w:w="80" w:type="dxa"/>
              <w:end w:w="120" w:type="dxa"/>
            </w:tcMar>
          </w:tcPr>
          <w:p>
            <w:r/>
            <w:r>
              <w:rPr>
                <w:sz w:val="20"/>
              </w:rPr>
              <w:t>finance_approver in cedar</w:t>
            </w:r>
          </w:p>
        </w:tc>
        <w:tc>
          <w:tcPr>
            <w:tcW w:type="dxa" w:w="4608"/>
            <w:tcMar>
              <w:top w:w="80" w:type="dxa"/>
              <w:start w:w="120" w:type="dxa"/>
              <w:bottom w:w="80" w:type="dxa"/>
              <w:end w:w="120" w:type="dxa"/>
            </w:tcMar>
          </w:tcPr>
          <w:p>
            <w:r/>
            <w:r>
              <w:rPr>
                <w:sz w:val="20"/>
              </w:rPr>
              <w:t>Independent approver for refund actions.</w:t>
            </w:r>
          </w:p>
        </w:tc>
      </w:tr>
      <w:tr>
        <w:tc>
          <w:tcPr>
            <w:tcW w:type="dxa" w:w="1872"/>
            <w:tcMar>
              <w:top w:w="80" w:type="dxa"/>
              <w:start w:w="120" w:type="dxa"/>
              <w:bottom w:w="80" w:type="dxa"/>
              <w:end w:w="120" w:type="dxa"/>
            </w:tcMar>
          </w:tcPr>
          <w:p>
            <w:r/>
            <w:r>
              <w:rPr>
                <w:sz w:val="20"/>
              </w:rPr>
              <w:t>dana</w:t>
            </w:r>
          </w:p>
        </w:tc>
        <w:tc>
          <w:tcPr>
            <w:tcW w:type="dxa" w:w="2880"/>
            <w:tcMar>
              <w:top w:w="80" w:type="dxa"/>
              <w:start w:w="120" w:type="dxa"/>
              <w:bottom w:w="80" w:type="dxa"/>
              <w:end w:w="120" w:type="dxa"/>
            </w:tcMar>
          </w:tcPr>
          <w:p>
            <w:r/>
            <w:r>
              <w:rPr>
                <w:sz w:val="20"/>
              </w:rPr>
              <w:t>auditor</w:t>
            </w:r>
          </w:p>
        </w:tc>
        <w:tc>
          <w:tcPr>
            <w:tcW w:type="dxa" w:w="4608"/>
            <w:tcMar>
              <w:top w:w="80" w:type="dxa"/>
              <w:start w:w="120" w:type="dxa"/>
              <w:bottom w:w="80" w:type="dxa"/>
              <w:end w:w="120" w:type="dxa"/>
            </w:tcMar>
          </w:tcPr>
          <w:p>
            <w:r/>
            <w:r>
              <w:rPr>
                <w:sz w:val="20"/>
              </w:rPr>
              <w:t>Reads audit evidence only; no business writes.</w:t>
            </w:r>
          </w:p>
        </w:tc>
      </w:tr>
      <w:tr>
        <w:tc>
          <w:tcPr>
            <w:tcW w:type="dxa" w:w="1872"/>
            <w:tcMar>
              <w:top w:w="80" w:type="dxa"/>
              <w:start w:w="120" w:type="dxa"/>
              <w:bottom w:w="80" w:type="dxa"/>
              <w:end w:w="120" w:type="dxa"/>
            </w:tcMar>
          </w:tcPr>
          <w:p>
            <w:r/>
            <w:r>
              <w:rPr>
                <w:sz w:val="20"/>
              </w:rPr>
              <w:t>mallory</w:t>
            </w:r>
          </w:p>
        </w:tc>
        <w:tc>
          <w:tcPr>
            <w:tcW w:type="dxa" w:w="2880"/>
            <w:tcMar>
              <w:top w:w="80" w:type="dxa"/>
              <w:start w:w="120" w:type="dxa"/>
              <w:bottom w:w="80" w:type="dxa"/>
              <w:end w:w="120" w:type="dxa"/>
            </w:tcMar>
          </w:tcPr>
          <w:p>
            <w:r/>
            <w:r>
              <w:rPr>
                <w:sz w:val="20"/>
              </w:rPr>
              <w:t>support_agent in northwind</w:t>
            </w:r>
          </w:p>
        </w:tc>
        <w:tc>
          <w:tcPr>
            <w:tcW w:type="dxa" w:w="4608"/>
            <w:tcMar>
              <w:top w:w="80" w:type="dxa"/>
              <w:start w:w="120" w:type="dxa"/>
              <w:bottom w:w="80" w:type="dxa"/>
              <w:end w:w="120" w:type="dxa"/>
            </w:tcMar>
          </w:tcPr>
          <w:p>
            <w:r/>
            <w:r>
              <w:rPr>
                <w:sz w:val="20"/>
              </w:rPr>
              <w:t>Attempts cross-tenant access in negative tests.</w:t>
            </w:r>
          </w:p>
        </w:tc>
      </w:tr>
      <w:tr>
        <w:tc>
          <w:tcPr>
            <w:tcW w:type="dxa" w:w="1872"/>
            <w:tcMar>
              <w:top w:w="80" w:type="dxa"/>
              <w:start w:w="120" w:type="dxa"/>
              <w:bottom w:w="80" w:type="dxa"/>
              <w:end w:w="120" w:type="dxa"/>
            </w:tcMar>
          </w:tcPr>
          <w:p>
            <w:r/>
            <w:r>
              <w:rPr>
                <w:sz w:val="20"/>
              </w:rPr>
              <w:t>Order</w:t>
            </w:r>
          </w:p>
        </w:tc>
        <w:tc>
          <w:tcPr>
            <w:tcW w:type="dxa" w:w="2880"/>
            <w:tcMar>
              <w:top w:w="80" w:type="dxa"/>
              <w:start w:w="120" w:type="dxa"/>
              <w:bottom w:w="80" w:type="dxa"/>
              <w:end w:w="120" w:type="dxa"/>
            </w:tcMar>
          </w:tcPr>
          <w:p>
            <w:r/>
            <w:r>
              <w:rPr>
                <w:sz w:val="20"/>
              </w:rPr>
              <w:t>ORD-2001 in cedar</w:t>
            </w:r>
          </w:p>
        </w:tc>
        <w:tc>
          <w:tcPr>
            <w:tcW w:type="dxa" w:w="4608"/>
            <w:tcMar>
              <w:top w:w="80" w:type="dxa"/>
              <w:start w:w="120" w:type="dxa"/>
              <w:bottom w:w="80" w:type="dxa"/>
              <w:end w:w="120" w:type="dxa"/>
            </w:tcMar>
          </w:tcPr>
          <w:p>
            <w:r/>
            <w:r>
              <w:rPr>
                <w:sz w:val="20"/>
              </w:rPr>
              <w:t>The order used in the first protected read.</w:t>
            </w:r>
          </w:p>
        </w:tc>
      </w:tr>
      <w:tr>
        <w:tc>
          <w:tcPr>
            <w:tcW w:type="dxa" w:w="1872"/>
            <w:tcMar>
              <w:top w:w="80" w:type="dxa"/>
              <w:start w:w="120" w:type="dxa"/>
              <w:bottom w:w="80" w:type="dxa"/>
              <w:end w:w="120" w:type="dxa"/>
            </w:tcMar>
          </w:tcPr>
          <w:p>
            <w:r/>
            <w:r>
              <w:rPr>
                <w:sz w:val="20"/>
              </w:rPr>
              <w:t>Order</w:t>
            </w:r>
          </w:p>
        </w:tc>
        <w:tc>
          <w:tcPr>
            <w:tcW w:type="dxa" w:w="2880"/>
            <w:tcMar>
              <w:top w:w="80" w:type="dxa"/>
              <w:start w:w="120" w:type="dxa"/>
              <w:bottom w:w="80" w:type="dxa"/>
              <w:end w:w="120" w:type="dxa"/>
            </w:tcMar>
          </w:tcPr>
          <w:p>
            <w:r/>
            <w:r>
              <w:rPr>
                <w:sz w:val="20"/>
              </w:rPr>
              <w:t>ORD-3001 in northwind</w:t>
            </w:r>
          </w:p>
        </w:tc>
        <w:tc>
          <w:tcPr>
            <w:tcW w:type="dxa" w:w="4608"/>
            <w:tcMar>
              <w:top w:w="80" w:type="dxa"/>
              <w:start w:w="120" w:type="dxa"/>
              <w:bottom w:w="80" w:type="dxa"/>
              <w:end w:w="120" w:type="dxa"/>
            </w:tcMar>
          </w:tcPr>
          <w:p>
            <w:r/>
            <w:r>
              <w:rPr>
                <w:sz w:val="20"/>
              </w:rPr>
              <w:t>The order alice must never be able to read.</w:t>
            </w:r>
          </w:p>
        </w:tc>
      </w:tr>
      <w:tr>
        <w:tc>
          <w:tcPr>
            <w:tcW w:type="dxa" w:w="1872"/>
            <w:tcMar>
              <w:top w:w="80" w:type="dxa"/>
              <w:start w:w="120" w:type="dxa"/>
              <w:bottom w:w="80" w:type="dxa"/>
              <w:end w:w="120" w:type="dxa"/>
            </w:tcMar>
          </w:tcPr>
          <w:p>
            <w:r/>
            <w:r>
              <w:rPr>
                <w:sz w:val="20"/>
              </w:rPr>
              <w:t>Ticket</w:t>
            </w:r>
          </w:p>
        </w:tc>
        <w:tc>
          <w:tcPr>
            <w:tcW w:type="dxa" w:w="2880"/>
            <w:tcMar>
              <w:top w:w="80" w:type="dxa"/>
              <w:start w:w="120" w:type="dxa"/>
              <w:bottom w:w="80" w:type="dxa"/>
              <w:end w:w="120" w:type="dxa"/>
            </w:tcMar>
          </w:tcPr>
          <w:p>
            <w:r/>
            <w:r>
              <w:rPr>
                <w:sz w:val="20"/>
              </w:rPr>
              <w:t>TKT-1001 in cedar</w:t>
            </w:r>
          </w:p>
        </w:tc>
        <w:tc>
          <w:tcPr>
            <w:tcW w:type="dxa" w:w="4608"/>
            <w:tcMar>
              <w:top w:w="80" w:type="dxa"/>
              <w:start w:w="120" w:type="dxa"/>
              <w:bottom w:w="80" w:type="dxa"/>
              <w:end w:w="120" w:type="dxa"/>
            </w:tcMar>
          </w:tcPr>
          <w:p>
            <w:r/>
            <w:r>
              <w:rPr>
                <w:sz w:val="20"/>
              </w:rPr>
              <w:t>Carries the stored prompt-injection test content.</w:t>
            </w:r>
          </w:p>
        </w:tc>
      </w:tr>
    </w:tbl>
    <w:p/>
    <w:p>
      <w:pPr>
        <w:pStyle w:val="Heading1"/>
      </w:pPr>
      <w:r>
        <w:t>3. Step 1 Repository and Networks</w:t>
      </w:r>
    </w:p>
    <w:p>
      <w:pPr>
        <w:pStyle w:val="ListNumber"/>
      </w:pPr>
      <w:r>
        <w:t>Create the repository tree exactly as defined in SP-BUILD-001 section 2.</w:t>
      </w:r>
    </w:p>
    <w:p>
      <w:pPr>
        <w:pStyle w:val="ListNumber"/>
      </w:pPr>
      <w:r>
        <w:t>Add code owners for policy, database, openapi, and infrastructure directories so those changes require review.</w:t>
      </w:r>
    </w:p>
    <w:p>
      <w:pPr>
        <w:pStyle w:val="ListNumber"/>
      </w:pPr>
      <w:r>
        <w:t>Pin every base image to a digest and record the digest in compose.yaml.</w:t>
      </w:r>
    </w:p>
    <w:p>
      <w:pPr>
        <w:pStyle w:val="ListNumber"/>
      </w:pPr>
      <w:r>
        <w:t>Define four networks and attach each service only to the networks it needs.</w:t>
      </w:r>
    </w:p>
    <w:tbl>
      <w:tblPr>
        <w:tblStyle w:val="TableGrid"/>
        <w:tblW w:type="auto" w:w="0"/>
        <w:tblLook w:firstColumn="1" w:firstRow="1" w:lastColumn="0" w:lastRow="0" w:noHBand="0" w:noVBand="1" w:val="04A0"/>
      </w:tblPr>
      <w:tblGrid>
        <w:gridCol w:w="9360"/>
      </w:tblGrid>
      <w:tr>
        <w:tc>
          <w:tcPr>
            <w:tcW w:type="dxa" w:w="9360"/>
            <w:tcMar>
              <w:top w:w="80" w:type="dxa"/>
              <w:start w:w="120" w:type="dxa"/>
              <w:bottom w:w="80" w:type="dxa"/>
              <w:end w:w="120" w:type="dxa"/>
            </w:tcMar>
            <w:shd w:fill="F3F5F8"/>
          </w:tcPr>
          <w:p>
            <w:pPr>
              <w:spacing w:after="0"/>
            </w:pPr>
            <w:r/>
            <w:r>
              <w:rPr>
                <w:rFonts w:ascii="Consolas" w:hAnsi="Consolas"/>
                <w:sz w:val="18"/>
              </w:rPr>
              <w:t>networks:</w:t>
            </w:r>
          </w:p>
          <w:p>
            <w:pPr>
              <w:spacing w:after="0"/>
            </w:pPr>
            <w:r>
              <w:rPr>
                <w:rFonts w:ascii="Consolas" w:hAnsi="Consolas"/>
                <w:sz w:val="18"/>
              </w:rPr>
              <w:t xml:space="preserve">  edge:        # reverse proxy and user-facing services only</w:t>
            </w:r>
          </w:p>
          <w:p>
            <w:pPr>
              <w:spacing w:after="0"/>
            </w:pPr>
            <w:r>
              <w:rPr>
                <w:rFonts w:ascii="Consolas" w:hAnsi="Consolas"/>
                <w:sz w:val="18"/>
              </w:rPr>
              <w:t xml:space="preserve">  app:         # Onyx to API, approval portal to API</w:t>
            </w:r>
          </w:p>
          <w:p>
            <w:pPr>
              <w:spacing w:after="0"/>
            </w:pPr>
            <w:r>
              <w:rPr>
                <w:rFonts w:ascii="Consolas" w:hAnsi="Consolas"/>
                <w:sz w:val="18"/>
              </w:rPr>
              <w:t xml:space="preserve">  policy:      # API to OPA only</w:t>
            </w:r>
          </w:p>
          <w:p>
            <w:pPr>
              <w:spacing w:after="0"/>
            </w:pPr>
            <w:r>
              <w:rPr>
                <w:rFonts w:ascii="Consolas" w:hAnsi="Consolas"/>
                <w:sz w:val="18"/>
              </w:rPr>
              <w:t xml:space="preserve">  data:        # API and worker to PostgreSQL only</w:t>
            </w:r>
          </w:p>
        </w:tc>
      </w:tr>
    </w:tbl>
    <w:p/>
    <w:p>
      <w:r>
        <w:rPr>
          <w:b w:val="0"/>
        </w:rPr>
        <w:t>Check: from a container on the edge network, PostgreSQL and OPA must be unreachable. Prove this with a connection attempt that fails, and record the output as evidence for task P0-05.</w:t>
      </w:r>
    </w:p>
    <w:p>
      <w:pPr>
        <w:pStyle w:val="Heading1"/>
      </w:pPr>
      <w:r>
        <w:t>4. Step 2 Secrets and Configuration</w:t>
      </w:r>
    </w:p>
    <w:p>
      <w:pPr>
        <w:pStyle w:val="ListNumber"/>
      </w:pPr>
      <w:r>
        <w:t>Create a local secret directory outside the repository tree and add it to the ignore file.</w:t>
      </w:r>
    </w:p>
    <w:p>
      <w:pPr>
        <w:pStyle w:val="ListNumber"/>
      </w:pPr>
      <w:r>
        <w:t>Create one secret file per consumer: API database credential, worker database credential, migration credential, OAuth client secret, model provider key.</w:t>
      </w:r>
    </w:p>
    <w:p>
      <w:pPr>
        <w:pStyle w:val="ListNumber"/>
      </w:pPr>
      <w:r>
        <w:t>Mount each secret file only into the service that needs it.</w:t>
      </w:r>
    </w:p>
    <w:p>
      <w:pPr>
        <w:pStyle w:val="ListNumber"/>
      </w:pPr>
      <w:r>
        <w:t>Create .env.example with names and safe defaults only, and keep the real .env untracked.</w:t>
      </w:r>
    </w:p>
    <w:tbl>
      <w:tblPr>
        <w:tblStyle w:val="TableGrid"/>
        <w:tblW w:type="auto" w:w="0"/>
        <w:tblLook w:firstColumn="1" w:firstRow="1" w:lastColumn="0" w:lastRow="0" w:noHBand="0" w:noVBand="1" w:val="04A0"/>
      </w:tblPr>
      <w:tblGrid>
        <w:gridCol w:w="9360"/>
      </w:tblGrid>
      <w:tr>
        <w:tc>
          <w:tcPr>
            <w:tcW w:type="dxa" w:w="9360"/>
            <w:tcMar>
              <w:top w:w="80" w:type="dxa"/>
              <w:start w:w="120" w:type="dxa"/>
              <w:bottom w:w="80" w:type="dxa"/>
              <w:end w:w="120" w:type="dxa"/>
            </w:tcMar>
            <w:shd w:fill="F3F5F8"/>
          </w:tcPr>
          <w:p>
            <w:pPr>
              <w:spacing w:after="0"/>
            </w:pPr>
            <w:r/>
            <w:r>
              <w:rPr>
                <w:rFonts w:ascii="Consolas" w:hAnsi="Consolas"/>
                <w:sz w:val="18"/>
              </w:rPr>
              <w:t># .env.example - names and safe defaults only</w:t>
            </w:r>
          </w:p>
          <w:p>
            <w:pPr>
              <w:spacing w:after="0"/>
            </w:pPr>
            <w:r>
              <w:rPr>
                <w:rFonts w:ascii="Consolas" w:hAnsi="Consolas"/>
                <w:sz w:val="18"/>
              </w:rPr>
              <w:t>KEYCLOAK_ISSUER=https://localhost:8443/realms/supportpilot</w:t>
            </w:r>
          </w:p>
          <w:p>
            <w:pPr>
              <w:spacing w:after="0"/>
            </w:pPr>
            <w:r>
              <w:rPr>
                <w:rFonts w:ascii="Consolas" w:hAnsi="Consolas"/>
                <w:sz w:val="18"/>
              </w:rPr>
              <w:t>SUPPORTPILOT_AUDIENCE=supportpilot-api</w:t>
            </w:r>
          </w:p>
          <w:p>
            <w:pPr>
              <w:spacing w:after="0"/>
            </w:pPr>
            <w:r>
              <w:rPr>
                <w:rFonts w:ascii="Consolas" w:hAnsi="Consolas"/>
                <w:sz w:val="18"/>
              </w:rPr>
              <w:t>OPA_URL=http://supportpilot-opa:8181/v1/data/supportpilot/authz/decision</w:t>
            </w:r>
          </w:p>
          <w:p>
            <w:pPr>
              <w:spacing w:after="0"/>
            </w:pPr>
            <w:r>
              <w:rPr>
                <w:rFonts w:ascii="Consolas" w:hAnsi="Consolas"/>
                <w:sz w:val="18"/>
              </w:rPr>
              <w:t>DATABASE_HOST=supportpilot-postgres</w:t>
            </w:r>
          </w:p>
          <w:p>
            <w:pPr>
              <w:spacing w:after="0"/>
            </w:pPr>
            <w:r>
              <w:rPr>
                <w:rFonts w:ascii="Consolas" w:hAnsi="Consolas"/>
                <w:sz w:val="18"/>
              </w:rPr>
              <w:t>DATABASE_NAME=supportpilot</w:t>
            </w:r>
          </w:p>
          <w:p>
            <w:pPr>
              <w:spacing w:after="0"/>
            </w:pPr>
            <w:r>
              <w:rPr>
                <w:rFonts w:ascii="Consolas" w:hAnsi="Consolas"/>
                <w:sz w:val="18"/>
              </w:rPr>
              <w:t>API_DATABASE_SECRET_FILE=/run/secrets/api_db_password</w:t>
            </w:r>
          </w:p>
          <w:p>
            <w:pPr>
              <w:spacing w:after="0"/>
            </w:pPr>
            <w:r>
              <w:rPr>
                <w:rFonts w:ascii="Consolas" w:hAnsi="Consolas"/>
                <w:sz w:val="18"/>
              </w:rPr>
              <w:t>WORKER_DATABASE_SECRET_FILE=/run/secrets/worker_db_password</w:t>
            </w:r>
          </w:p>
          <w:p>
            <w:pPr>
              <w:spacing w:after="0"/>
            </w:pPr>
            <w:r>
              <w:rPr>
                <w:rFonts w:ascii="Consolas" w:hAnsi="Consolas"/>
                <w:sz w:val="18"/>
              </w:rPr>
              <w:t>ACTION_MAX_AMOUNT=500.00</w:t>
            </w:r>
          </w:p>
          <w:p>
            <w:pPr>
              <w:spacing w:after="0"/>
            </w:pPr>
            <w:r>
              <w:rPr>
                <w:rFonts w:ascii="Consolas" w:hAnsi="Consolas"/>
                <w:sz w:val="18"/>
              </w:rPr>
              <w:t>AGENT_MAX_TOOL_CALLS=8</w:t>
            </w:r>
          </w:p>
          <w:p>
            <w:pPr>
              <w:spacing w:after="0"/>
            </w:pPr>
            <w:r>
              <w:rPr>
                <w:rFonts w:ascii="Consolas" w:hAnsi="Consolas"/>
                <w:sz w:val="18"/>
              </w:rPr>
              <w:t>AUDIT_RETENTION_DAYS=365</w:t>
            </w:r>
          </w:p>
        </w:tc>
      </w:tr>
    </w:tbl>
    <w:p/>
    <w:p>
      <w:r>
        <w:rPr>
          <w:b w:val="0"/>
        </w:rPr>
        <w:t>Check: grep the repository for each secret value and confirm no match. The secret scan added in task P0-11 must also pass.</w:t>
      </w:r>
    </w:p>
    <w:p>
      <w:pPr>
        <w:pStyle w:val="Heading1"/>
      </w:pPr>
      <w:r>
        <w:t>5. Step 3 Database and Roles</w:t>
      </w:r>
    </w:p>
    <w:p>
      <w:r>
        <w:rPr>
          <w:b w:val="0"/>
        </w:rPr>
        <w:t>Roles are created by the migration identity. Runtime services never create or alter roles. The migration role owns the schema so that runtime roles cannot bypass row policies through ownership.</w:t>
      </w:r>
    </w:p>
    <w:tbl>
      <w:tblPr>
        <w:tblStyle w:val="TableGrid"/>
        <w:tblW w:type="auto" w:w="0"/>
        <w:tblLook w:firstColumn="1" w:firstRow="1" w:lastColumn="0" w:lastRow="0" w:noHBand="0" w:noVBand="1" w:val="04A0"/>
      </w:tblPr>
      <w:tblGrid>
        <w:gridCol w:w="9360"/>
      </w:tblGrid>
      <w:tr>
        <w:tc>
          <w:tcPr>
            <w:tcW w:type="dxa" w:w="9360"/>
            <w:tcMar>
              <w:top w:w="80" w:type="dxa"/>
              <w:start w:w="120" w:type="dxa"/>
              <w:bottom w:w="80" w:type="dxa"/>
              <w:end w:w="120" w:type="dxa"/>
            </w:tcMar>
            <w:shd w:fill="F3F5F8"/>
          </w:tcPr>
          <w:p>
            <w:pPr>
              <w:spacing w:after="0"/>
            </w:pPr>
            <w:r/>
            <w:r>
              <w:rPr>
                <w:rFonts w:ascii="Consolas" w:hAnsi="Consolas"/>
                <w:sz w:val="18"/>
              </w:rPr>
              <w:t>CREATE ROLE sp_migrator_role LOGIN PASSWORD :'migrator_password';</w:t>
            </w:r>
          </w:p>
          <w:p>
            <w:pPr>
              <w:spacing w:after="0"/>
            </w:pPr>
            <w:r>
              <w:rPr>
                <w:rFonts w:ascii="Consolas" w:hAnsi="Consolas"/>
                <w:sz w:val="18"/>
              </w:rPr>
              <w:t>CREATE ROLE sp_api_role      LOGIN PASSWORD :'api_password'    NOSUPERUSER NOCREATEDB NOCREATEROLE NOBYPASSRLS;</w:t>
            </w:r>
          </w:p>
          <w:p>
            <w:pPr>
              <w:spacing w:after="0"/>
            </w:pPr>
            <w:r>
              <w:rPr>
                <w:rFonts w:ascii="Consolas" w:hAnsi="Consolas"/>
                <w:sz w:val="18"/>
              </w:rPr>
              <w:t>CREATE ROLE sp_worker_role   LOGIN PASSWORD :'worker_password' NOSUPERUSER NOCREATEDB NOCREATEROLE NOBYPASSRLS;</w:t>
            </w:r>
          </w:p>
          <w:p>
            <w:pPr>
              <w:spacing w:after="0"/>
            </w:pPr>
            <w:r>
              <w:rPr>
                <w:rFonts w:ascii="Consolas" w:hAnsi="Consolas"/>
                <w:sz w:val="18"/>
              </w:rPr>
              <w:t>CREATE ROLE sp_auditor_role  LOGIN PASSWORD :'auditor_password' NOSUPERUSER NOCREATEDB NOCREATEROLE NOBYPASSRLS;</w:t>
            </w:r>
          </w:p>
          <w:p>
            <w:pPr>
              <w:spacing w:after="0"/>
            </w:pPr>
            <w:r>
              <w:rPr>
                <w:rFonts w:ascii="Consolas" w:hAnsi="Consolas"/>
                <w:sz w:val="18"/>
              </w:rPr>
            </w:r>
          </w:p>
          <w:p>
            <w:pPr>
              <w:spacing w:after="0"/>
            </w:pPr>
            <w:r>
              <w:rPr>
                <w:rFonts w:ascii="Consolas" w:hAnsi="Consolas"/>
                <w:sz w:val="18"/>
              </w:rPr>
              <w:t>REVOKE CREATE ON SCHEMA public FROM PUBLIC;</w:t>
            </w:r>
          </w:p>
          <w:p>
            <w:pPr>
              <w:spacing w:after="0"/>
            </w:pPr>
            <w:r>
              <w:rPr>
                <w:rFonts w:ascii="Consolas" w:hAnsi="Consolas"/>
                <w:sz w:val="18"/>
              </w:rPr>
              <w:t>CREATE SCHEMA app AUTHORIZATION sp_migrator_role;</w:t>
            </w:r>
          </w:p>
          <w:p>
            <w:pPr>
              <w:spacing w:after="0"/>
            </w:pPr>
            <w:r>
              <w:rPr>
                <w:rFonts w:ascii="Consolas" w:hAnsi="Consolas"/>
                <w:sz w:val="18"/>
              </w:rPr>
            </w:r>
          </w:p>
          <w:p>
            <w:pPr>
              <w:spacing w:after="0"/>
            </w:pPr>
            <w:r>
              <w:rPr>
                <w:rFonts w:ascii="Consolas" w:hAnsi="Consolas"/>
                <w:sz w:val="18"/>
              </w:rPr>
              <w:t>GRANT USAGE ON SCHEMA app TO sp_api_role, sp_worker_role, sp_auditor_role;</w:t>
            </w:r>
          </w:p>
          <w:p>
            <w:pPr>
              <w:spacing w:after="0"/>
            </w:pPr>
            <w:r>
              <w:rPr>
                <w:rFonts w:ascii="Consolas" w:hAnsi="Consolas"/>
                <w:sz w:val="18"/>
              </w:rPr>
              <w:t>ALTER DEFAULT PRIVILEGES FOR ROLE sp_migrator_role IN SCHEMA app</w:t>
            </w:r>
          </w:p>
          <w:p>
            <w:pPr>
              <w:spacing w:after="0"/>
            </w:pPr>
            <w:r>
              <w:rPr>
                <w:rFonts w:ascii="Consolas" w:hAnsi="Consolas"/>
                <w:sz w:val="18"/>
              </w:rPr>
              <w:t xml:space="preserve">  REVOKE ALL ON TABLES FROM PUBLIC;</w:t>
            </w:r>
          </w:p>
        </w:tc>
      </w:tr>
    </w:tbl>
    <w:p/>
    <w:p>
      <w:r>
        <w:rPr>
          <w:b w:val="0"/>
        </w:rPr>
        <w:t>Check: connect as sp_api_role and confirm that CREATE TABLE, ALTER TABLE, CREATE POLICY, and CREATE ROLE all fail. Record the four failures as evidence for task P1-07.</w:t>
      </w:r>
    </w:p>
    <w:p>
      <w:pPr>
        <w:pStyle w:val="Heading1"/>
      </w:pPr>
      <w:r>
        <w:t>6. Step 4 Schema and Seed Data</w:t>
      </w:r>
    </w:p>
    <w:p>
      <w:pPr>
        <w:pStyle w:val="ListNumber"/>
      </w:pPr>
      <w:r>
        <w:t>Apply the phase 1 migration for organizations, users, memberships, customers, and orders.</w:t>
      </w:r>
    </w:p>
    <w:p>
      <w:pPr>
        <w:pStyle w:val="ListNumber"/>
      </w:pPr>
      <w:r>
        <w:t>Enable and force row-level security on every protected table.</w:t>
      </w:r>
    </w:p>
    <w:p>
      <w:pPr>
        <w:pStyle w:val="ListNumber"/>
      </w:pPr>
      <w:r>
        <w:t>Create a tenant policy per table and per runtime role.</w:t>
      </w:r>
    </w:p>
    <w:p>
      <w:pPr>
        <w:pStyle w:val="ListNumber"/>
      </w:pPr>
      <w:r>
        <w:t>Grant only the column-level and statement-level rights each role needs.</w:t>
      </w:r>
    </w:p>
    <w:p>
      <w:pPr>
        <w:pStyle w:val="ListNumber"/>
      </w:pPr>
      <w:r>
        <w:t>Load the seed data described in section 2 of this runbook.</w:t>
      </w:r>
    </w:p>
    <w:tbl>
      <w:tblPr>
        <w:tblStyle w:val="TableGrid"/>
        <w:tblW w:type="auto" w:w="0"/>
        <w:tblLook w:firstColumn="1" w:firstRow="1" w:lastColumn="0" w:lastRow="0" w:noHBand="0" w:noVBand="1" w:val="04A0"/>
      </w:tblPr>
      <w:tblGrid>
        <w:gridCol w:w="9360"/>
      </w:tblGrid>
      <w:tr>
        <w:tc>
          <w:tcPr>
            <w:tcW w:type="dxa" w:w="9360"/>
            <w:tcMar>
              <w:top w:w="80" w:type="dxa"/>
              <w:start w:w="120" w:type="dxa"/>
              <w:bottom w:w="80" w:type="dxa"/>
              <w:end w:w="120" w:type="dxa"/>
            </w:tcMar>
            <w:shd w:fill="F3F5F8"/>
          </w:tcPr>
          <w:p>
            <w:pPr>
              <w:spacing w:after="0"/>
            </w:pPr>
            <w:r/>
            <w:r>
              <w:rPr>
                <w:rFonts w:ascii="Consolas" w:hAnsi="Consolas"/>
                <w:sz w:val="18"/>
              </w:rPr>
              <w:t>ALTER TABLE app.orders ENABLE ROW LEVEL SECURITY;</w:t>
            </w:r>
          </w:p>
          <w:p>
            <w:pPr>
              <w:spacing w:after="0"/>
            </w:pPr>
            <w:r>
              <w:rPr>
                <w:rFonts w:ascii="Consolas" w:hAnsi="Consolas"/>
                <w:sz w:val="18"/>
              </w:rPr>
              <w:t>ALTER TABLE app.orders FORCE  ROW LEVEL SECURITY;</w:t>
            </w:r>
          </w:p>
          <w:p>
            <w:pPr>
              <w:spacing w:after="0"/>
            </w:pPr>
            <w:r>
              <w:rPr>
                <w:rFonts w:ascii="Consolas" w:hAnsi="Consolas"/>
                <w:sz w:val="18"/>
              </w:rPr>
            </w:r>
          </w:p>
          <w:p>
            <w:pPr>
              <w:spacing w:after="0"/>
            </w:pPr>
            <w:r>
              <w:rPr>
                <w:rFonts w:ascii="Consolas" w:hAnsi="Consolas"/>
                <w:sz w:val="18"/>
              </w:rPr>
              <w:t>CREATE POLICY orders_tenant_read</w:t>
            </w:r>
          </w:p>
          <w:p>
            <w:pPr>
              <w:spacing w:after="0"/>
            </w:pPr>
            <w:r>
              <w:rPr>
                <w:rFonts w:ascii="Consolas" w:hAnsi="Consolas"/>
                <w:sz w:val="18"/>
              </w:rPr>
              <w:t>ON app.orders</w:t>
            </w:r>
          </w:p>
          <w:p>
            <w:pPr>
              <w:spacing w:after="0"/>
            </w:pPr>
            <w:r>
              <w:rPr>
                <w:rFonts w:ascii="Consolas" w:hAnsi="Consolas"/>
                <w:sz w:val="18"/>
              </w:rPr>
              <w:t>FOR SELECT</w:t>
            </w:r>
          </w:p>
          <w:p>
            <w:pPr>
              <w:spacing w:after="0"/>
            </w:pPr>
            <w:r>
              <w:rPr>
                <w:rFonts w:ascii="Consolas" w:hAnsi="Consolas"/>
                <w:sz w:val="18"/>
              </w:rPr>
              <w:t>TO sp_api_role</w:t>
            </w:r>
          </w:p>
          <w:p>
            <w:pPr>
              <w:spacing w:after="0"/>
            </w:pPr>
            <w:r>
              <w:rPr>
                <w:rFonts w:ascii="Consolas" w:hAnsi="Consolas"/>
                <w:sz w:val="18"/>
              </w:rPr>
              <w:t>USING (organization_id = current_setting('app.organization_id', true)::uuid);</w:t>
            </w:r>
          </w:p>
          <w:p>
            <w:pPr>
              <w:spacing w:after="0"/>
            </w:pPr>
            <w:r>
              <w:rPr>
                <w:rFonts w:ascii="Consolas" w:hAnsi="Consolas"/>
                <w:sz w:val="18"/>
              </w:rPr>
            </w:r>
          </w:p>
          <w:p>
            <w:pPr>
              <w:spacing w:after="0"/>
            </w:pPr>
            <w:r>
              <w:rPr>
                <w:rFonts w:ascii="Consolas" w:hAnsi="Consolas"/>
                <w:sz w:val="18"/>
              </w:rPr>
              <w:t>GRANT SELECT (order_number, status, currency, total_amount, updated_at)</w:t>
            </w:r>
          </w:p>
          <w:p>
            <w:pPr>
              <w:spacing w:after="0"/>
            </w:pPr>
            <w:r>
              <w:rPr>
                <w:rFonts w:ascii="Consolas" w:hAnsi="Consolas"/>
                <w:sz w:val="18"/>
              </w:rPr>
              <w:t>ON app.orders TO sp_api_role;</w:t>
            </w:r>
          </w:p>
        </w:tc>
      </w:tr>
    </w:tbl>
    <w:p/>
    <w:p>
      <w:r>
        <w:rPr>
          <w:b w:val="0"/>
        </w:rPr>
        <w:t>Check: as sp_api_role without any request context, SELECT from app.orders must return zero rows. With context set to cedar it returns cedar rows only. Record both results as evidence for task P1-08.</w:t>
      </w:r>
    </w:p>
    <w:p>
      <w:pPr>
        <w:pStyle w:val="Heading1"/>
      </w:pPr>
      <w:r>
        <w:t>7. Step 5 Keycloak Realm</w:t>
      </w:r>
    </w:p>
    <w:p>
      <w:pPr>
        <w:pStyle w:val="ListNumber"/>
      </w:pPr>
      <w:r>
        <w:t>Create the supportpilot realm and set token lifetimes to short, reviewed values.</w:t>
      </w:r>
    </w:p>
    <w:p>
      <w:pPr>
        <w:pStyle w:val="ListNumber"/>
      </w:pPr>
      <w:r>
        <w:t>Create the Onyx client for the user login flow and the client used to obtain the user-bound action token.</w:t>
      </w:r>
    </w:p>
    <w:p>
      <w:pPr>
        <w:pStyle w:val="ListNumber"/>
      </w:pPr>
      <w:r>
        <w:t>Register the exact redirect addresses; wildcard redirects are not permitted.</w:t>
      </w:r>
    </w:p>
    <w:p>
      <w:pPr>
        <w:pStyle w:val="ListNumber"/>
      </w:pPr>
      <w:r>
        <w:t>Create groups for support_agent, support_manager, finance_approver, auditor, and map them to token roles.</w:t>
      </w:r>
    </w:p>
    <w:p>
      <w:pPr>
        <w:pStyle w:val="ListNumber"/>
      </w:pPr>
      <w:r>
        <w:t>Create the users from section 2 and assign group membership.</w:t>
      </w:r>
    </w:p>
    <w:p>
      <w:pPr>
        <w:pStyle w:val="ListNumber"/>
      </w:pPr>
      <w:r>
        <w:t>Enable the required multi-factor policy and confirm it applies to every human account.</w:t>
      </w:r>
    </w:p>
    <w:p>
      <w:pPr>
        <w:pStyle w:val="ListNumber"/>
      </w:pPr>
      <w:r>
        <w:t>Export the realm and commit the export so the environment is reproducible.</w:t>
      </w:r>
    </w:p>
    <w:p>
      <w:r>
        <w:rPr>
          <w:b w:val="0"/>
        </w:rPr>
        <w:t>Check: sign in as alice and inspect the issued token. The issuer, audience, expiry, and role claims must match the values expected by the API configuration. Confirm that memberships in the token are treated as a hint only; the API still loads membership from the database.</w:t>
      </w:r>
    </w:p>
    <w:p>
      <w:pPr>
        <w:pStyle w:val="Heading1"/>
      </w:pPr>
      <w:r>
        <w:t>8. Step 6 API Token Verification</w:t>
      </w:r>
    </w:p>
    <w:p>
      <w:r>
        <w:rPr>
          <w:b w:val="0"/>
        </w:rPr>
        <w:t>Token verification is built before any business endpoint exists, so that no endpoint can ever be reached without it.</w:t>
      </w:r>
    </w:p>
    <w:p>
      <w:pPr>
        <w:pStyle w:val="ListBullet"/>
      </w:pPr>
      <w:r>
        <w:t>Verify signature with a current key from the realm key set and refuse disallowed algorithms.</w:t>
      </w:r>
    </w:p>
    <w:p>
      <w:pPr>
        <w:pStyle w:val="ListBullet"/>
      </w:pPr>
      <w:r>
        <w:t>Require an exact issuer match and require the SupportPilot audience.</w:t>
      </w:r>
    </w:p>
    <w:p>
      <w:pPr>
        <w:pStyle w:val="ListBullet"/>
      </w:pPr>
      <w:r>
        <w:t>Enforce expiry and not-before with a small, fixed clock tolerance.</w:t>
      </w:r>
    </w:p>
    <w:p>
      <w:pPr>
        <w:pStyle w:val="ListBullet"/>
      </w:pPr>
      <w:r>
        <w:t>Check token type and authorized party according to the selected flow.</w:t>
      </w:r>
    </w:p>
    <w:p>
      <w:pPr>
        <w:pStyle w:val="ListBullet"/>
      </w:pPr>
      <w:r>
        <w:t>Map scopes to actions, but never treat a scope as resource-level authorization.</w:t>
      </w:r>
    </w:p>
    <w:p>
      <w:pPr>
        <w:pStyle w:val="ListBullet"/>
      </w:pPr>
      <w:r>
        <w:t>Load the current membership for the subject from the database on every request.</w:t>
      </w:r>
    </w:p>
    <w:p>
      <w:pPr>
        <w:pStyle w:val="ListBullet"/>
      </w:pPr>
      <w:r>
        <w:t>Reject the request before policy evaluation and before any database read when a check fails.</w:t>
      </w:r>
    </w:p>
    <w:p>
      <w:r>
        <w:rPr>
          <w:b w:val="0"/>
        </w:rPr>
        <w:t>Check: run the negative token set from SP-PLAN-004 section 4. Wrong issuer, wrong audience, bad signature, disallowed algorithm, expired token, and missing claims must all be rejected with a stable error and no database access in the trace.</w:t>
      </w:r>
    </w:p>
    <w:p>
      <w:pPr>
        <w:pStyle w:val="Heading1"/>
      </w:pPr>
      <w:r>
        <w:t>9. Step 7 OPA Policy Bundle</w:t>
      </w:r>
    </w:p>
    <w:p>
      <w:pPr>
        <w:pStyle w:val="ListNumber"/>
      </w:pPr>
      <w:r>
        <w:t>Run OPA on the policy network only, with the bundle mounted read-only.</w:t>
      </w:r>
    </w:p>
    <w:p>
      <w:pPr>
        <w:pStyle w:val="ListNumber"/>
      </w:pPr>
      <w:r>
        <w:t>Define the decision document with default deny, reason code, and policy version.</w:t>
      </w:r>
    </w:p>
    <w:p>
      <w:pPr>
        <w:pStyle w:val="ListNumber"/>
      </w:pPr>
      <w:r>
        <w:t>Write unit tests for allow and deny before wiring the API to OPA.</w:t>
      </w:r>
    </w:p>
    <w:p>
      <w:pPr>
        <w:pStyle w:val="ListNumber"/>
      </w:pPr>
      <w:r>
        <w:t>Configure a short request timeout in the API and treat every abnormal response as deny.</w:t>
      </w:r>
    </w:p>
    <w:p>
      <w:pPr>
        <w:pStyle w:val="ListNumber"/>
      </w:pPr>
      <w:r>
        <w:t>Record the policy version and reason code on every decision the API logs.</w:t>
      </w:r>
    </w:p>
    <w:tbl>
      <w:tblPr>
        <w:tblStyle w:val="TableGrid"/>
        <w:tblW w:type="auto" w:w="0"/>
        <w:tblLook w:firstColumn="1" w:firstRow="1" w:lastColumn="0" w:lastRow="0" w:noHBand="0" w:noVBand="1" w:val="04A0"/>
      </w:tblPr>
      <w:tblGrid>
        <w:gridCol w:w="9360"/>
      </w:tblGrid>
      <w:tr>
        <w:tc>
          <w:tcPr>
            <w:tcW w:type="dxa" w:w="9360"/>
            <w:tcMar>
              <w:top w:w="80" w:type="dxa"/>
              <w:start w:w="120" w:type="dxa"/>
              <w:bottom w:w="80" w:type="dxa"/>
              <w:end w:w="120" w:type="dxa"/>
            </w:tcMar>
            <w:shd w:fill="F3F5F8"/>
          </w:tcPr>
          <w:p>
            <w:pPr>
              <w:spacing w:after="0"/>
            </w:pPr>
            <w:r/>
            <w:r>
              <w:rPr>
                <w:rFonts w:ascii="Consolas" w:hAnsi="Consolas"/>
                <w:sz w:val="18"/>
              </w:rPr>
              <w:t>package supportpilot.authz</w:t>
            </w:r>
          </w:p>
          <w:p>
            <w:pPr>
              <w:spacing w:after="0"/>
            </w:pPr>
            <w:r>
              <w:rPr>
                <w:rFonts w:ascii="Consolas" w:hAnsi="Consolas"/>
                <w:sz w:val="18"/>
              </w:rPr>
            </w:r>
          </w:p>
          <w:p>
            <w:pPr>
              <w:spacing w:after="0"/>
            </w:pPr>
            <w:r>
              <w:rPr>
                <w:rFonts w:ascii="Consolas" w:hAnsi="Consolas"/>
                <w:sz w:val="18"/>
              </w:rPr>
              <w:t>default decision := {</w:t>
            </w:r>
          </w:p>
          <w:p>
            <w:pPr>
              <w:spacing w:after="0"/>
            </w:pPr>
            <w:r>
              <w:rPr>
                <w:rFonts w:ascii="Consolas" w:hAnsi="Consolas"/>
                <w:sz w:val="18"/>
              </w:rPr>
              <w:t xml:space="preserve">  "allow": false,</w:t>
            </w:r>
          </w:p>
          <w:p>
            <w:pPr>
              <w:spacing w:after="0"/>
            </w:pPr>
            <w:r>
              <w:rPr>
                <w:rFonts w:ascii="Consolas" w:hAnsi="Consolas"/>
                <w:sz w:val="18"/>
              </w:rPr>
              <w:t xml:space="preserve">  "reason": "default_deny",</w:t>
            </w:r>
          </w:p>
          <w:p>
            <w:pPr>
              <w:spacing w:after="0"/>
            </w:pPr>
            <w:r>
              <w:rPr>
                <w:rFonts w:ascii="Consolas" w:hAnsi="Consolas"/>
                <w:sz w:val="18"/>
              </w:rPr>
              <w:t xml:space="preserve">  "policy_version": "2026-09-07.1"</w:t>
            </w:r>
          </w:p>
          <w:p>
            <w:pPr>
              <w:spacing w:after="0"/>
            </w:pPr>
            <w:r>
              <w:rPr>
                <w:rFonts w:ascii="Consolas" w:hAnsi="Consolas"/>
                <w:sz w:val="18"/>
              </w:rPr>
              <w:t>}</w:t>
            </w:r>
          </w:p>
          <w:p>
            <w:pPr>
              <w:spacing w:after="0"/>
            </w:pPr>
            <w:r>
              <w:rPr>
                <w:rFonts w:ascii="Consolas" w:hAnsi="Consolas"/>
                <w:sz w:val="18"/>
              </w:rPr>
            </w:r>
          </w:p>
          <w:p>
            <w:pPr>
              <w:spacing w:after="0"/>
            </w:pPr>
            <w:r>
              <w:rPr>
                <w:rFonts w:ascii="Consolas" w:hAnsi="Consolas"/>
                <w:sz w:val="18"/>
              </w:rPr>
              <w:t>decision := {</w:t>
            </w:r>
          </w:p>
          <w:p>
            <w:pPr>
              <w:spacing w:after="0"/>
            </w:pPr>
            <w:r>
              <w:rPr>
                <w:rFonts w:ascii="Consolas" w:hAnsi="Consolas"/>
                <w:sz w:val="18"/>
              </w:rPr>
              <w:t xml:space="preserve">  "allow": true,</w:t>
            </w:r>
          </w:p>
          <w:p>
            <w:pPr>
              <w:spacing w:after="0"/>
            </w:pPr>
            <w:r>
              <w:rPr>
                <w:rFonts w:ascii="Consolas" w:hAnsi="Consolas"/>
                <w:sz w:val="18"/>
              </w:rPr>
              <w:t xml:space="preserve">  "reason": "same_organization_and_allowed_role",</w:t>
            </w:r>
          </w:p>
          <w:p>
            <w:pPr>
              <w:spacing w:after="0"/>
            </w:pPr>
            <w:r>
              <w:rPr>
                <w:rFonts w:ascii="Consolas" w:hAnsi="Consolas"/>
                <w:sz w:val="18"/>
              </w:rPr>
              <w:t xml:space="preserve">  "policy_version": "2026-09-07.1"</w:t>
            </w:r>
          </w:p>
          <w:p>
            <w:pPr>
              <w:spacing w:after="0"/>
            </w:pPr>
            <w:r>
              <w:rPr>
                <w:rFonts w:ascii="Consolas" w:hAnsi="Consolas"/>
                <w:sz w:val="18"/>
              </w:rPr>
              <w:t>} if {</w:t>
            </w:r>
          </w:p>
          <w:p>
            <w:pPr>
              <w:spacing w:after="0"/>
            </w:pPr>
            <w:r>
              <w:rPr>
                <w:rFonts w:ascii="Consolas" w:hAnsi="Consolas"/>
                <w:sz w:val="18"/>
              </w:rPr>
              <w:t xml:space="preserve">  input.action == "order.read"</w:t>
            </w:r>
          </w:p>
          <w:p>
            <w:pPr>
              <w:spacing w:after="0"/>
            </w:pPr>
            <w:r>
              <w:rPr>
                <w:rFonts w:ascii="Consolas" w:hAnsi="Consolas"/>
                <w:sz w:val="18"/>
              </w:rPr>
              <w:t xml:space="preserve">  "support_agent" in input.subject.roles</w:t>
            </w:r>
          </w:p>
          <w:p>
            <w:pPr>
              <w:spacing w:after="0"/>
            </w:pPr>
            <w:r>
              <w:rPr>
                <w:rFonts w:ascii="Consolas" w:hAnsi="Consolas"/>
                <w:sz w:val="18"/>
              </w:rPr>
              <w:t xml:space="preserve">  input.resource.organization_id in input.subject.organizations</w:t>
            </w:r>
          </w:p>
          <w:p>
            <w:pPr>
              <w:spacing w:after="0"/>
            </w:pPr>
            <w:r>
              <w:rPr>
                <w:rFonts w:ascii="Consolas" w:hAnsi="Consolas"/>
                <w:sz w:val="18"/>
              </w:rPr>
              <w:t>}</w:t>
            </w:r>
          </w:p>
        </w:tc>
      </w:tr>
    </w:tbl>
    <w:p/>
    <w:p>
      <w:r>
        <w:rPr>
          <w:b w:val="0"/>
        </w:rPr>
        <w:t>Check: stop the OPA container and repeat an allowed request. The API must deny with a controlled error and must not fall back to any local allow path. Record this as evidence for task P1-12 and test case T-005.</w:t>
      </w:r>
    </w:p>
    <w:p>
      <w:pPr>
        <w:pStyle w:val="Heading1"/>
      </w:pPr>
      <w:r>
        <w:t>10. Step 8 The First Tool</w:t>
      </w:r>
    </w:p>
    <w:p>
      <w:r>
        <w:rPr>
          <w:b w:val="0"/>
        </w:rPr>
        <w:t>The get_order endpoint is built in a fixed order so that no step can be skipped under time pressure.</w:t>
      </w:r>
    </w:p>
    <w:p>
      <w:pPr>
        <w:pStyle w:val="ListNumber"/>
      </w:pPr>
      <w:r>
        <w:t>Validate the path parameter against the strict pattern before any lookup.</w:t>
      </w:r>
    </w:p>
    <w:p>
      <w:pPr>
        <w:pStyle w:val="ListNumber"/>
      </w:pPr>
      <w:r>
        <w:t>Load the order attributes with the trusted resource lookup, including its organization.</w:t>
      </w:r>
    </w:p>
    <w:p>
      <w:pPr>
        <w:pStyle w:val="ListNumber"/>
      </w:pPr>
      <w:r>
        <w:t>Build the policy input from the verified subject, the mapped action, and the loaded resource.</w:t>
      </w:r>
    </w:p>
    <w:p>
      <w:pPr>
        <w:pStyle w:val="ListNumber"/>
      </w:pPr>
      <w:r>
        <w:t>Call OPA and stop on deny with a stable reason code and an audit event.</w:t>
      </w:r>
    </w:p>
    <w:p>
      <w:pPr>
        <w:pStyle w:val="ListNumber"/>
      </w:pPr>
      <w:r>
        <w:t>Open a transaction, set the request context locally, and run the parameterized query.</w:t>
      </w:r>
    </w:p>
    <w:p>
      <w:pPr>
        <w:pStyle w:val="ListNumber"/>
      </w:pPr>
      <w:r>
        <w:t>Apply any field obligations returned by policy before building the response.</w:t>
      </w:r>
    </w:p>
    <w:p>
      <w:pPr>
        <w:pStyle w:val="ListNumber"/>
      </w:pPr>
      <w:r>
        <w:t>Write the audit event inside the same transaction and commit.</w:t>
      </w:r>
    </w:p>
    <w:p>
      <w:pPr>
        <w:pStyle w:val="ListNumber"/>
      </w:pPr>
      <w:r>
        <w:t>Return only the fields in the bounded response schema.</w:t>
      </w:r>
    </w:p>
    <w:tbl>
      <w:tblPr>
        <w:tblStyle w:val="TableGrid"/>
        <w:tblW w:type="auto" w:w="0"/>
        <w:tblLook w:firstColumn="1" w:firstRow="1" w:lastColumn="0" w:lastRow="0" w:noHBand="0" w:noVBand="1" w:val="04A0"/>
      </w:tblPr>
      <w:tblGrid>
        <w:gridCol w:w="9360"/>
      </w:tblGrid>
      <w:tr>
        <w:tc>
          <w:tcPr>
            <w:tcW w:type="dxa" w:w="9360"/>
            <w:tcMar>
              <w:top w:w="80" w:type="dxa"/>
              <w:start w:w="120" w:type="dxa"/>
              <w:bottom w:w="80" w:type="dxa"/>
              <w:end w:w="120" w:type="dxa"/>
            </w:tcMar>
            <w:shd w:fill="F3F5F8"/>
          </w:tcPr>
          <w:p>
            <w:pPr>
              <w:spacing w:after="0"/>
            </w:pPr>
            <w:r/>
            <w:r>
              <w:rPr>
                <w:rFonts w:ascii="Consolas" w:hAnsi="Consolas"/>
                <w:sz w:val="18"/>
              </w:rPr>
              <w:t>BEGIN;</w:t>
            </w:r>
          </w:p>
          <w:p>
            <w:pPr>
              <w:spacing w:after="0"/>
            </w:pPr>
            <w:r>
              <w:rPr>
                <w:rFonts w:ascii="Consolas" w:hAnsi="Consolas"/>
                <w:sz w:val="18"/>
              </w:rPr>
              <w:t>SET LOCAL app.user_id         = 'alice-id';</w:t>
            </w:r>
          </w:p>
          <w:p>
            <w:pPr>
              <w:spacing w:after="0"/>
            </w:pPr>
            <w:r>
              <w:rPr>
                <w:rFonts w:ascii="Consolas" w:hAnsi="Consolas"/>
                <w:sz w:val="18"/>
              </w:rPr>
              <w:t>SET LOCAL app.organization_id = 'cedar';</w:t>
            </w:r>
          </w:p>
          <w:p>
            <w:pPr>
              <w:spacing w:after="0"/>
            </w:pPr>
            <w:r>
              <w:rPr>
                <w:rFonts w:ascii="Consolas" w:hAnsi="Consolas"/>
                <w:sz w:val="18"/>
              </w:rPr>
            </w:r>
          </w:p>
          <w:p>
            <w:pPr>
              <w:spacing w:after="0"/>
            </w:pPr>
            <w:r>
              <w:rPr>
                <w:rFonts w:ascii="Consolas" w:hAnsi="Consolas"/>
                <w:sz w:val="18"/>
              </w:rPr>
              <w:t>SELECT order_number, status, currency, total_amount, updated_at</w:t>
            </w:r>
          </w:p>
          <w:p>
            <w:pPr>
              <w:spacing w:after="0"/>
            </w:pPr>
            <w:r>
              <w:rPr>
                <w:rFonts w:ascii="Consolas" w:hAnsi="Consolas"/>
                <w:sz w:val="18"/>
              </w:rPr>
              <w:t>FROM app.orders</w:t>
            </w:r>
          </w:p>
          <w:p>
            <w:pPr>
              <w:spacing w:after="0"/>
            </w:pPr>
            <w:r>
              <w:rPr>
                <w:rFonts w:ascii="Consolas" w:hAnsi="Consolas"/>
                <w:sz w:val="18"/>
              </w:rPr>
              <w:t>WHERE order_number = $1</w:t>
            </w:r>
          </w:p>
          <w:p>
            <w:pPr>
              <w:spacing w:after="0"/>
            </w:pPr>
            <w:r>
              <w:rPr>
                <w:rFonts w:ascii="Consolas" w:hAnsi="Consolas"/>
                <w:sz w:val="18"/>
              </w:rPr>
              <w:t>LIMIT 1;</w:t>
            </w:r>
          </w:p>
          <w:p>
            <w:pPr>
              <w:spacing w:after="0"/>
            </w:pPr>
            <w:r>
              <w:rPr>
                <w:rFonts w:ascii="Consolas" w:hAnsi="Consolas"/>
                <w:sz w:val="18"/>
              </w:rPr>
            </w:r>
          </w:p>
          <w:p>
            <w:pPr>
              <w:spacing w:after="0"/>
            </w:pPr>
            <w:r>
              <w:rPr>
                <w:rFonts w:ascii="Consolas" w:hAnsi="Consolas"/>
                <w:sz w:val="18"/>
              </w:rPr>
              <w:t>COMMIT;</w:t>
            </w:r>
          </w:p>
        </w:tc>
      </w:tr>
    </w:tbl>
    <w:p/>
    <w:p>
      <w:r>
        <w:rPr>
          <w:b w:val="0"/>
        </w:rPr>
        <w:t>Check: request ORD-2001 as alice and receive the allowed fields. Request ORD-3001 as alice and receive the same not-found style response as an unknown order, with a denial recorded in the audit trail.</w:t>
      </w:r>
    </w:p>
    <w:p>
      <w:pPr>
        <w:pStyle w:val="Heading1"/>
      </w:pPr>
      <w:r>
        <w:t>11. Step 9 Onyx Action Registration</w:t>
      </w:r>
    </w:p>
    <w:p>
      <w:pPr>
        <w:pStyle w:val="ListNumber"/>
      </w:pPr>
      <w:r>
        <w:t>Publish the OpenAPI 3.1 document containing only the approved operations.</w:t>
      </w:r>
    </w:p>
    <w:p>
      <w:pPr>
        <w:pStyle w:val="ListNumber"/>
      </w:pPr>
      <w:r>
        <w:t>Give each operation a narrow operation identifier, a clear description, and a bounded response schema.</w:t>
      </w:r>
    </w:p>
    <w:p>
      <w:pPr>
        <w:pStyle w:val="ListNumber"/>
      </w:pPr>
      <w:r>
        <w:t>Configure individual OAuth so SupportPilot receives the user identity rather than a service identity.</w:t>
      </w:r>
    </w:p>
    <w:p>
      <w:pPr>
        <w:pStyle w:val="ListNumber"/>
      </w:pPr>
      <w:r>
        <w:t>Register the action with the SupportPilot agent in Onyx.</w:t>
      </w:r>
    </w:p>
    <w:p>
      <w:pPr>
        <w:pStyle w:val="ListNumber"/>
      </w:pPr>
      <w:r>
        <w:t>Write agent instructions that describe when to use a tool and how to report a tool error without claiming authority the agent does not have.</w:t>
      </w:r>
    </w:p>
    <w:p>
      <w:pPr>
        <w:pStyle w:val="ListNumber"/>
      </w:pPr>
      <w:r>
        <w:t>Set the tool-call, time, token, and cost budgets for one user turn.</w:t>
      </w:r>
    </w:p>
    <w:tbl>
      <w:tblPr>
        <w:tblStyle w:val="TableGrid"/>
        <w:tblW w:type="auto" w:w="0"/>
        <w:tblLook w:firstColumn="1" w:firstRow="1" w:lastColumn="0" w:lastRow="0" w:noHBand="0" w:noVBand="1" w:val="04A0"/>
      </w:tblPr>
      <w:tblGrid>
        <w:gridCol w:w="9360"/>
      </w:tblGrid>
      <w:tr>
        <w:tc>
          <w:tcPr>
            <w:tcW w:type="dxa" w:w="9360"/>
            <w:tcMar>
              <w:top w:w="80" w:type="dxa"/>
              <w:start w:w="120" w:type="dxa"/>
              <w:bottom w:w="80" w:type="dxa"/>
              <w:end w:w="120" w:type="dxa"/>
            </w:tcMar>
            <w:shd w:fill="F3F5F8"/>
          </w:tcPr>
          <w:p>
            <w:pPr>
              <w:spacing w:after="0"/>
            </w:pPr>
            <w:r/>
            <w:r>
              <w:rPr>
                <w:rFonts w:ascii="Consolas" w:hAnsi="Consolas"/>
                <w:sz w:val="18"/>
              </w:rPr>
              <w:t>paths:</w:t>
            </w:r>
          </w:p>
          <w:p>
            <w:pPr>
              <w:spacing w:after="0"/>
            </w:pPr>
            <w:r>
              <w:rPr>
                <w:rFonts w:ascii="Consolas" w:hAnsi="Consolas"/>
                <w:sz w:val="18"/>
              </w:rPr>
              <w:t xml:space="preserve">  /v1/orders/{order_number}:</w:t>
            </w:r>
          </w:p>
          <w:p>
            <w:pPr>
              <w:spacing w:after="0"/>
            </w:pPr>
            <w:r>
              <w:rPr>
                <w:rFonts w:ascii="Consolas" w:hAnsi="Consolas"/>
                <w:sz w:val="18"/>
              </w:rPr>
              <w:t xml:space="preserve">    get:</w:t>
            </w:r>
          </w:p>
          <w:p>
            <w:pPr>
              <w:spacing w:after="0"/>
            </w:pPr>
            <w:r>
              <w:rPr>
                <w:rFonts w:ascii="Consolas" w:hAnsi="Consolas"/>
                <w:sz w:val="18"/>
              </w:rPr>
              <w:t xml:space="preserve">      operationId: get_order</w:t>
            </w:r>
          </w:p>
          <w:p>
            <w:pPr>
              <w:spacing w:after="0"/>
            </w:pPr>
            <w:r>
              <w:rPr>
                <w:rFonts w:ascii="Consolas" w:hAnsi="Consolas"/>
                <w:sz w:val="18"/>
              </w:rPr>
              <w:t xml:space="preserve">      summary: Get an order visible to the authenticated user</w:t>
            </w:r>
          </w:p>
          <w:p>
            <w:pPr>
              <w:spacing w:after="0"/>
            </w:pPr>
            <w:r>
              <w:rPr>
                <w:rFonts w:ascii="Consolas" w:hAnsi="Consolas"/>
                <w:sz w:val="18"/>
              </w:rPr>
              <w:t xml:space="preserve">      parameters:</w:t>
            </w:r>
          </w:p>
          <w:p>
            <w:pPr>
              <w:spacing w:after="0"/>
            </w:pPr>
            <w:r>
              <w:rPr>
                <w:rFonts w:ascii="Consolas" w:hAnsi="Consolas"/>
                <w:sz w:val="18"/>
              </w:rPr>
              <w:t xml:space="preserve">        - name: order_number</w:t>
            </w:r>
          </w:p>
          <w:p>
            <w:pPr>
              <w:spacing w:after="0"/>
            </w:pPr>
            <w:r>
              <w:rPr>
                <w:rFonts w:ascii="Consolas" w:hAnsi="Consolas"/>
                <w:sz w:val="18"/>
              </w:rPr>
              <w:t xml:space="preserve">          in: path</w:t>
            </w:r>
          </w:p>
          <w:p>
            <w:pPr>
              <w:spacing w:after="0"/>
            </w:pPr>
            <w:r>
              <w:rPr>
                <w:rFonts w:ascii="Consolas" w:hAnsi="Consolas"/>
                <w:sz w:val="18"/>
              </w:rPr>
              <w:t xml:space="preserve">          required: true</w:t>
            </w:r>
          </w:p>
          <w:p>
            <w:pPr>
              <w:spacing w:after="0"/>
            </w:pPr>
            <w:r>
              <w:rPr>
                <w:rFonts w:ascii="Consolas" w:hAnsi="Consolas"/>
                <w:sz w:val="18"/>
              </w:rPr>
              <w:t xml:space="preserve">          schema:</w:t>
            </w:r>
          </w:p>
          <w:p>
            <w:pPr>
              <w:spacing w:after="0"/>
            </w:pPr>
            <w:r>
              <w:rPr>
                <w:rFonts w:ascii="Consolas" w:hAnsi="Consolas"/>
                <w:sz w:val="18"/>
              </w:rPr>
              <w:t xml:space="preserve">            type: string</w:t>
            </w:r>
          </w:p>
          <w:p>
            <w:pPr>
              <w:spacing w:after="0"/>
            </w:pPr>
            <w:r>
              <w:rPr>
                <w:rFonts w:ascii="Consolas" w:hAnsi="Consolas"/>
                <w:sz w:val="18"/>
              </w:rPr>
              <w:t xml:space="preserve">            pattern: "^ORD-[0-9]{4,12}$"</w:t>
            </w:r>
          </w:p>
          <w:p>
            <w:pPr>
              <w:spacing w:after="0"/>
            </w:pPr>
            <w:r>
              <w:rPr>
                <w:rFonts w:ascii="Consolas" w:hAnsi="Consolas"/>
                <w:sz w:val="18"/>
              </w:rPr>
              <w:t xml:space="preserve">      responses:</w:t>
            </w:r>
          </w:p>
          <w:p>
            <w:pPr>
              <w:spacing w:after="0"/>
            </w:pPr>
            <w:r>
              <w:rPr>
                <w:rFonts w:ascii="Consolas" w:hAnsi="Consolas"/>
                <w:sz w:val="18"/>
              </w:rPr>
              <w:t xml:space="preserve">        "200":</w:t>
            </w:r>
          </w:p>
          <w:p>
            <w:pPr>
              <w:spacing w:after="0"/>
            </w:pPr>
            <w:r>
              <w:rPr>
                <w:rFonts w:ascii="Consolas" w:hAnsi="Consolas"/>
                <w:sz w:val="18"/>
              </w:rPr>
              <w:t xml:space="preserve">          description: Authorized order result</w:t>
            </w:r>
          </w:p>
          <w:p>
            <w:pPr>
              <w:spacing w:after="0"/>
            </w:pPr>
            <w:r>
              <w:rPr>
                <w:rFonts w:ascii="Consolas" w:hAnsi="Consolas"/>
                <w:sz w:val="18"/>
              </w:rPr>
              <w:t xml:space="preserve">        "404":</w:t>
            </w:r>
          </w:p>
          <w:p>
            <w:pPr>
              <w:spacing w:after="0"/>
            </w:pPr>
            <w:r>
              <w:rPr>
                <w:rFonts w:ascii="Consolas" w:hAnsi="Consolas"/>
                <w:sz w:val="18"/>
              </w:rPr>
              <w:t xml:space="preserve">          description: Not found or not allowed</w:t>
            </w:r>
          </w:p>
        </w:tc>
      </w:tr>
    </w:tbl>
    <w:p/>
    <w:p>
      <w:r>
        <w:rPr>
          <w:b w:val="0"/>
        </w:rPr>
        <w:t>Check: confirm in Onyx that the agent has exactly the registered operations and no generic SQL, shell, HTTP, or file tool. Confirm the action forwards the user token.</w:t>
      </w:r>
    </w:p>
    <w:p>
      <w:pPr>
        <w:pStyle w:val="Heading1"/>
      </w:pPr>
      <w:r>
        <w:t>12. Step 10 End-to-End Verification</w:t>
      </w:r>
    </w:p>
    <w:p>
      <w:r>
        <w:rPr>
          <w:b w:val="0"/>
        </w:rPr>
        <w:t>verify-local.ps1 runs these checks and prints one pass or fail line per check. A phase is not complete until every line passes.</w:t>
      </w:r>
    </w:p>
    <w:tbl>
      <w:tblPr>
        <w:tblStyle w:val="TableGrid"/>
        <w:tblW w:type="auto" w:w="0"/>
        <w:tblLayout w:type="fixed"/>
        <w:tblLook w:firstColumn="1" w:firstRow="1" w:lastColumn="0" w:lastRow="0" w:noHBand="0" w:noVBand="1" w:val="04A0"/>
      </w:tblPr>
      <w:tblGrid>
        <w:gridCol w:w="3120"/>
        <w:gridCol w:w="3120"/>
        <w:gridCol w:w="3120"/>
      </w:tblGrid>
      <w:tr>
        <w:tc>
          <w:tcPr>
            <w:tcW w:type="dxa" w:w="1008"/>
            <w:tcMar>
              <w:top w:w="80" w:type="dxa"/>
              <w:start w:w="120" w:type="dxa"/>
              <w:bottom w:w="80" w:type="dxa"/>
              <w:end w:w="120" w:type="dxa"/>
            </w:tcMar>
            <w:shd w:fill="E8EEF5"/>
          </w:tcPr>
          <w:p>
            <w:r/>
            <w:r>
              <w:rPr>
                <w:b/>
                <w:color w:val="17365D"/>
              </w:rPr>
              <w:t>Check</w:t>
            </w:r>
          </w:p>
        </w:tc>
        <w:tc>
          <w:tcPr>
            <w:tcW w:type="dxa" w:w="4464"/>
            <w:tcMar>
              <w:top w:w="80" w:type="dxa"/>
              <w:start w:w="120" w:type="dxa"/>
              <w:bottom w:w="80" w:type="dxa"/>
              <w:end w:w="120" w:type="dxa"/>
            </w:tcMar>
            <w:shd w:fill="E8EEF5"/>
          </w:tcPr>
          <w:p>
            <w:r/>
            <w:r>
              <w:rPr>
                <w:b/>
                <w:color w:val="17365D"/>
              </w:rPr>
              <w:t>Action</w:t>
            </w:r>
          </w:p>
        </w:tc>
        <w:tc>
          <w:tcPr>
            <w:tcW w:type="dxa" w:w="3888"/>
            <w:tcMar>
              <w:top w:w="80" w:type="dxa"/>
              <w:start w:w="120" w:type="dxa"/>
              <w:bottom w:w="80" w:type="dxa"/>
              <w:end w:w="120" w:type="dxa"/>
            </w:tcMar>
            <w:shd w:fill="E8EEF5"/>
          </w:tcPr>
          <w:p>
            <w:r/>
            <w:r>
              <w:rPr>
                <w:b/>
                <w:color w:val="17365D"/>
              </w:rPr>
              <w:t>Expected result</w:t>
            </w:r>
          </w:p>
        </w:tc>
      </w:tr>
      <w:tr>
        <w:tc>
          <w:tcPr>
            <w:tcW w:type="dxa" w:w="1008"/>
            <w:tcMar>
              <w:top w:w="80" w:type="dxa"/>
              <w:start w:w="120" w:type="dxa"/>
              <w:bottom w:w="80" w:type="dxa"/>
              <w:end w:w="120" w:type="dxa"/>
            </w:tcMar>
          </w:tcPr>
          <w:p>
            <w:r/>
            <w:r>
              <w:rPr>
                <w:sz w:val="20"/>
              </w:rPr>
              <w:t>V-01</w:t>
            </w:r>
          </w:p>
        </w:tc>
        <w:tc>
          <w:tcPr>
            <w:tcW w:type="dxa" w:w="4464"/>
            <w:tcMar>
              <w:top w:w="80" w:type="dxa"/>
              <w:start w:w="120" w:type="dxa"/>
              <w:bottom w:w="80" w:type="dxa"/>
              <w:end w:w="120" w:type="dxa"/>
            </w:tcMar>
          </w:tcPr>
          <w:p>
            <w:r/>
            <w:r>
              <w:rPr>
                <w:sz w:val="20"/>
              </w:rPr>
              <w:t>All containers healthy and the migration job exited successfully.</w:t>
            </w:r>
          </w:p>
        </w:tc>
        <w:tc>
          <w:tcPr>
            <w:tcW w:type="dxa" w:w="3888"/>
            <w:tcMar>
              <w:top w:w="80" w:type="dxa"/>
              <w:start w:w="120" w:type="dxa"/>
              <w:bottom w:w="80" w:type="dxa"/>
              <w:end w:w="120" w:type="dxa"/>
            </w:tcMar>
          </w:tcPr>
          <w:p>
            <w:r/>
            <w:r>
              <w:rPr>
                <w:sz w:val="20"/>
              </w:rPr>
              <w:t>Healthy status for every service.</w:t>
            </w:r>
          </w:p>
        </w:tc>
      </w:tr>
      <w:tr>
        <w:tc>
          <w:tcPr>
            <w:tcW w:type="dxa" w:w="1008"/>
            <w:tcMar>
              <w:top w:w="80" w:type="dxa"/>
              <w:start w:w="120" w:type="dxa"/>
              <w:bottom w:w="80" w:type="dxa"/>
              <w:end w:w="120" w:type="dxa"/>
            </w:tcMar>
          </w:tcPr>
          <w:p>
            <w:r/>
            <w:r>
              <w:rPr>
                <w:sz w:val="20"/>
              </w:rPr>
              <w:t>V-02</w:t>
            </w:r>
          </w:p>
        </w:tc>
        <w:tc>
          <w:tcPr>
            <w:tcW w:type="dxa" w:w="4464"/>
            <w:tcMar>
              <w:top w:w="80" w:type="dxa"/>
              <w:start w:w="120" w:type="dxa"/>
              <w:bottom w:w="80" w:type="dxa"/>
              <w:end w:w="120" w:type="dxa"/>
            </w:tcMar>
          </w:tcPr>
          <w:p>
            <w:r/>
            <w:r>
              <w:rPr>
                <w:sz w:val="20"/>
              </w:rPr>
              <w:t>Edge network cannot reach PostgreSQL or OPA.</w:t>
            </w:r>
          </w:p>
        </w:tc>
        <w:tc>
          <w:tcPr>
            <w:tcW w:type="dxa" w:w="3888"/>
            <w:tcMar>
              <w:top w:w="80" w:type="dxa"/>
              <w:start w:w="120" w:type="dxa"/>
              <w:bottom w:w="80" w:type="dxa"/>
              <w:end w:w="120" w:type="dxa"/>
            </w:tcMar>
          </w:tcPr>
          <w:p>
            <w:r/>
            <w:r>
              <w:rPr>
                <w:sz w:val="20"/>
              </w:rPr>
              <w:t>Connection refused or timed out.</w:t>
            </w:r>
          </w:p>
        </w:tc>
      </w:tr>
      <w:tr>
        <w:tc>
          <w:tcPr>
            <w:tcW w:type="dxa" w:w="1008"/>
            <w:tcMar>
              <w:top w:w="80" w:type="dxa"/>
              <w:start w:w="120" w:type="dxa"/>
              <w:bottom w:w="80" w:type="dxa"/>
              <w:end w:w="120" w:type="dxa"/>
            </w:tcMar>
          </w:tcPr>
          <w:p>
            <w:r/>
            <w:r>
              <w:rPr>
                <w:sz w:val="20"/>
              </w:rPr>
              <w:t>V-03</w:t>
            </w:r>
          </w:p>
        </w:tc>
        <w:tc>
          <w:tcPr>
            <w:tcW w:type="dxa" w:w="4464"/>
            <w:tcMar>
              <w:top w:w="80" w:type="dxa"/>
              <w:start w:w="120" w:type="dxa"/>
              <w:bottom w:w="80" w:type="dxa"/>
              <w:end w:w="120" w:type="dxa"/>
            </w:tcMar>
          </w:tcPr>
          <w:p>
            <w:r/>
            <w:r>
              <w:rPr>
                <w:sz w:val="20"/>
              </w:rPr>
              <w:t>sp_api_role attempts schema and role changes.</w:t>
            </w:r>
          </w:p>
        </w:tc>
        <w:tc>
          <w:tcPr>
            <w:tcW w:type="dxa" w:w="3888"/>
            <w:tcMar>
              <w:top w:w="80" w:type="dxa"/>
              <w:start w:w="120" w:type="dxa"/>
              <w:bottom w:w="80" w:type="dxa"/>
              <w:end w:w="120" w:type="dxa"/>
            </w:tcMar>
          </w:tcPr>
          <w:p>
            <w:r/>
            <w:r>
              <w:rPr>
                <w:sz w:val="20"/>
              </w:rPr>
              <w:t>All attempts fail.</w:t>
            </w:r>
          </w:p>
        </w:tc>
      </w:tr>
      <w:tr>
        <w:tc>
          <w:tcPr>
            <w:tcW w:type="dxa" w:w="1008"/>
            <w:tcMar>
              <w:top w:w="80" w:type="dxa"/>
              <w:start w:w="120" w:type="dxa"/>
              <w:bottom w:w="80" w:type="dxa"/>
              <w:end w:w="120" w:type="dxa"/>
            </w:tcMar>
          </w:tcPr>
          <w:p>
            <w:r/>
            <w:r>
              <w:rPr>
                <w:sz w:val="20"/>
              </w:rPr>
              <w:t>V-04</w:t>
            </w:r>
          </w:p>
        </w:tc>
        <w:tc>
          <w:tcPr>
            <w:tcW w:type="dxa" w:w="4464"/>
            <w:tcMar>
              <w:top w:w="80" w:type="dxa"/>
              <w:start w:w="120" w:type="dxa"/>
              <w:bottom w:w="80" w:type="dxa"/>
              <w:end w:w="120" w:type="dxa"/>
            </w:tcMar>
          </w:tcPr>
          <w:p>
            <w:r/>
            <w:r>
              <w:rPr>
                <w:sz w:val="20"/>
              </w:rPr>
              <w:t>SELECT from a protected table without request context.</w:t>
            </w:r>
          </w:p>
        </w:tc>
        <w:tc>
          <w:tcPr>
            <w:tcW w:type="dxa" w:w="3888"/>
            <w:tcMar>
              <w:top w:w="80" w:type="dxa"/>
              <w:start w:w="120" w:type="dxa"/>
              <w:bottom w:w="80" w:type="dxa"/>
              <w:end w:w="120" w:type="dxa"/>
            </w:tcMar>
          </w:tcPr>
          <w:p>
            <w:r/>
            <w:r>
              <w:rPr>
                <w:sz w:val="20"/>
              </w:rPr>
              <w:t>Zero rows.</w:t>
            </w:r>
          </w:p>
        </w:tc>
      </w:tr>
      <w:tr>
        <w:tc>
          <w:tcPr>
            <w:tcW w:type="dxa" w:w="1008"/>
            <w:tcMar>
              <w:top w:w="80" w:type="dxa"/>
              <w:start w:w="120" w:type="dxa"/>
              <w:bottom w:w="80" w:type="dxa"/>
              <w:end w:w="120" w:type="dxa"/>
            </w:tcMar>
          </w:tcPr>
          <w:p>
            <w:r/>
            <w:r>
              <w:rPr>
                <w:sz w:val="20"/>
              </w:rPr>
              <w:t>V-05</w:t>
            </w:r>
          </w:p>
        </w:tc>
        <w:tc>
          <w:tcPr>
            <w:tcW w:type="dxa" w:w="4464"/>
            <w:tcMar>
              <w:top w:w="80" w:type="dxa"/>
              <w:start w:w="120" w:type="dxa"/>
              <w:bottom w:w="80" w:type="dxa"/>
              <w:end w:w="120" w:type="dxa"/>
            </w:tcMar>
          </w:tcPr>
          <w:p>
            <w:r/>
            <w:r>
              <w:rPr>
                <w:sz w:val="20"/>
              </w:rPr>
              <w:t>alice signs in and calls get_order for ORD-2001 through Onyx.</w:t>
            </w:r>
          </w:p>
        </w:tc>
        <w:tc>
          <w:tcPr>
            <w:tcW w:type="dxa" w:w="3888"/>
            <w:tcMar>
              <w:top w:w="80" w:type="dxa"/>
              <w:start w:w="120" w:type="dxa"/>
              <w:bottom w:w="80" w:type="dxa"/>
              <w:end w:w="120" w:type="dxa"/>
            </w:tcMar>
          </w:tcPr>
          <w:p>
            <w:r/>
            <w:r>
              <w:rPr>
                <w:sz w:val="20"/>
              </w:rPr>
              <w:t>Allowed fields returned; audit event written.</w:t>
            </w:r>
          </w:p>
        </w:tc>
      </w:tr>
      <w:tr>
        <w:tc>
          <w:tcPr>
            <w:tcW w:type="dxa" w:w="1008"/>
            <w:tcMar>
              <w:top w:w="80" w:type="dxa"/>
              <w:start w:w="120" w:type="dxa"/>
              <w:bottom w:w="80" w:type="dxa"/>
              <w:end w:w="120" w:type="dxa"/>
            </w:tcMar>
          </w:tcPr>
          <w:p>
            <w:r/>
            <w:r>
              <w:rPr>
                <w:sz w:val="20"/>
              </w:rPr>
              <w:t>V-06</w:t>
            </w:r>
          </w:p>
        </w:tc>
        <w:tc>
          <w:tcPr>
            <w:tcW w:type="dxa" w:w="4464"/>
            <w:tcMar>
              <w:top w:w="80" w:type="dxa"/>
              <w:start w:w="120" w:type="dxa"/>
              <w:bottom w:w="80" w:type="dxa"/>
              <w:end w:w="120" w:type="dxa"/>
            </w:tcMar>
          </w:tcPr>
          <w:p>
            <w:r/>
            <w:r>
              <w:rPr>
                <w:sz w:val="20"/>
              </w:rPr>
              <w:t>alice calls get_order for ORD-3001.</w:t>
            </w:r>
          </w:p>
        </w:tc>
        <w:tc>
          <w:tcPr>
            <w:tcW w:type="dxa" w:w="3888"/>
            <w:tcMar>
              <w:top w:w="80" w:type="dxa"/>
              <w:start w:w="120" w:type="dxa"/>
              <w:bottom w:w="80" w:type="dxa"/>
              <w:end w:w="120" w:type="dxa"/>
            </w:tcMar>
          </w:tcPr>
          <w:p>
            <w:r/>
            <w:r>
              <w:rPr>
                <w:sz w:val="20"/>
              </w:rPr>
              <w:t>No protected data; denial recorded.</w:t>
            </w:r>
          </w:p>
        </w:tc>
      </w:tr>
      <w:tr>
        <w:tc>
          <w:tcPr>
            <w:tcW w:type="dxa" w:w="1008"/>
            <w:tcMar>
              <w:top w:w="80" w:type="dxa"/>
              <w:start w:w="120" w:type="dxa"/>
              <w:bottom w:w="80" w:type="dxa"/>
              <w:end w:w="120" w:type="dxa"/>
            </w:tcMar>
          </w:tcPr>
          <w:p>
            <w:r/>
            <w:r>
              <w:rPr>
                <w:sz w:val="20"/>
              </w:rPr>
              <w:t>V-07</w:t>
            </w:r>
          </w:p>
        </w:tc>
        <w:tc>
          <w:tcPr>
            <w:tcW w:type="dxa" w:w="4464"/>
            <w:tcMar>
              <w:top w:w="80" w:type="dxa"/>
              <w:start w:w="120" w:type="dxa"/>
              <w:bottom w:w="80" w:type="dxa"/>
              <w:end w:w="120" w:type="dxa"/>
            </w:tcMar>
          </w:tcPr>
          <w:p>
            <w:r/>
            <w:r>
              <w:rPr>
                <w:sz w:val="20"/>
              </w:rPr>
              <w:t>alice states in chat that she is an administrator and repeats the request.</w:t>
            </w:r>
          </w:p>
        </w:tc>
        <w:tc>
          <w:tcPr>
            <w:tcW w:type="dxa" w:w="3888"/>
            <w:tcMar>
              <w:top w:w="80" w:type="dxa"/>
              <w:start w:w="120" w:type="dxa"/>
              <w:bottom w:w="80" w:type="dxa"/>
              <w:end w:w="120" w:type="dxa"/>
            </w:tcMar>
          </w:tcPr>
          <w:p>
            <w:r/>
            <w:r>
              <w:rPr>
                <w:sz w:val="20"/>
              </w:rPr>
              <w:t>Authorization unchanged.</w:t>
            </w:r>
          </w:p>
        </w:tc>
      </w:tr>
      <w:tr>
        <w:tc>
          <w:tcPr>
            <w:tcW w:type="dxa" w:w="1008"/>
            <w:tcMar>
              <w:top w:w="80" w:type="dxa"/>
              <w:start w:w="120" w:type="dxa"/>
              <w:bottom w:w="80" w:type="dxa"/>
              <w:end w:w="120" w:type="dxa"/>
            </w:tcMar>
          </w:tcPr>
          <w:p>
            <w:r/>
            <w:r>
              <w:rPr>
                <w:sz w:val="20"/>
              </w:rPr>
              <w:t>V-08</w:t>
            </w:r>
          </w:p>
        </w:tc>
        <w:tc>
          <w:tcPr>
            <w:tcW w:type="dxa" w:w="4464"/>
            <w:tcMar>
              <w:top w:w="80" w:type="dxa"/>
              <w:start w:w="120" w:type="dxa"/>
              <w:bottom w:w="80" w:type="dxa"/>
              <w:end w:w="120" w:type="dxa"/>
            </w:tcMar>
          </w:tcPr>
          <w:p>
            <w:r/>
            <w:r>
              <w:rPr>
                <w:sz w:val="20"/>
              </w:rPr>
              <w:t>A token with the wrong audience is used.</w:t>
            </w:r>
          </w:p>
        </w:tc>
        <w:tc>
          <w:tcPr>
            <w:tcW w:type="dxa" w:w="3888"/>
            <w:tcMar>
              <w:top w:w="80" w:type="dxa"/>
              <w:start w:w="120" w:type="dxa"/>
              <w:bottom w:w="80" w:type="dxa"/>
              <w:end w:w="120" w:type="dxa"/>
            </w:tcMar>
          </w:tcPr>
          <w:p>
            <w:r/>
            <w:r>
              <w:rPr>
                <w:sz w:val="20"/>
              </w:rPr>
              <w:t>Rejected before policy and database access.</w:t>
            </w:r>
          </w:p>
        </w:tc>
      </w:tr>
      <w:tr>
        <w:tc>
          <w:tcPr>
            <w:tcW w:type="dxa" w:w="1008"/>
            <w:tcMar>
              <w:top w:w="80" w:type="dxa"/>
              <w:start w:w="120" w:type="dxa"/>
              <w:bottom w:w="80" w:type="dxa"/>
              <w:end w:w="120" w:type="dxa"/>
            </w:tcMar>
          </w:tcPr>
          <w:p>
            <w:r/>
            <w:r>
              <w:rPr>
                <w:sz w:val="20"/>
              </w:rPr>
              <w:t>V-09</w:t>
            </w:r>
          </w:p>
        </w:tc>
        <w:tc>
          <w:tcPr>
            <w:tcW w:type="dxa" w:w="4464"/>
            <w:tcMar>
              <w:top w:w="80" w:type="dxa"/>
              <w:start w:w="120" w:type="dxa"/>
              <w:bottom w:w="80" w:type="dxa"/>
              <w:end w:w="120" w:type="dxa"/>
            </w:tcMar>
          </w:tcPr>
          <w:p>
            <w:r/>
            <w:r>
              <w:rPr>
                <w:sz w:val="20"/>
              </w:rPr>
              <w:t>OPA is stopped and an allowed request is repeated.</w:t>
            </w:r>
          </w:p>
        </w:tc>
        <w:tc>
          <w:tcPr>
            <w:tcW w:type="dxa" w:w="3888"/>
            <w:tcMar>
              <w:top w:w="80" w:type="dxa"/>
              <w:start w:w="120" w:type="dxa"/>
              <w:bottom w:w="80" w:type="dxa"/>
              <w:end w:w="120" w:type="dxa"/>
            </w:tcMar>
          </w:tcPr>
          <w:p>
            <w:r/>
            <w:r>
              <w:rPr>
                <w:sz w:val="20"/>
              </w:rPr>
              <w:t>Controlled denial with no fallback allow.</w:t>
            </w:r>
          </w:p>
        </w:tc>
      </w:tr>
      <w:tr>
        <w:tc>
          <w:tcPr>
            <w:tcW w:type="dxa" w:w="1008"/>
            <w:tcMar>
              <w:top w:w="80" w:type="dxa"/>
              <w:start w:w="120" w:type="dxa"/>
              <w:bottom w:w="80" w:type="dxa"/>
              <w:end w:w="120" w:type="dxa"/>
            </w:tcMar>
          </w:tcPr>
          <w:p>
            <w:r/>
            <w:r>
              <w:rPr>
                <w:sz w:val="20"/>
              </w:rPr>
              <w:t>V-10</w:t>
            </w:r>
          </w:p>
        </w:tc>
        <w:tc>
          <w:tcPr>
            <w:tcW w:type="dxa" w:w="4464"/>
            <w:tcMar>
              <w:top w:w="80" w:type="dxa"/>
              <w:start w:w="120" w:type="dxa"/>
              <w:bottom w:w="80" w:type="dxa"/>
              <w:end w:w="120" w:type="dxa"/>
            </w:tcMar>
          </w:tcPr>
          <w:p>
            <w:r/>
            <w:r>
              <w:rPr>
                <w:sz w:val="20"/>
              </w:rPr>
              <w:t>A tool parameter contains SQL syntax.</w:t>
            </w:r>
          </w:p>
        </w:tc>
        <w:tc>
          <w:tcPr>
            <w:tcW w:type="dxa" w:w="3888"/>
            <w:tcMar>
              <w:top w:w="80" w:type="dxa"/>
              <w:start w:w="120" w:type="dxa"/>
              <w:bottom w:w="80" w:type="dxa"/>
              <w:end w:w="120" w:type="dxa"/>
            </w:tcMar>
          </w:tcPr>
          <w:p>
            <w:r/>
            <w:r>
              <w:rPr>
                <w:sz w:val="20"/>
              </w:rPr>
              <w:t>Schema rejects it or it is treated as data.</w:t>
            </w:r>
          </w:p>
        </w:tc>
      </w:tr>
      <w:tr>
        <w:tc>
          <w:tcPr>
            <w:tcW w:type="dxa" w:w="1008"/>
            <w:tcMar>
              <w:top w:w="80" w:type="dxa"/>
              <w:start w:w="120" w:type="dxa"/>
              <w:bottom w:w="80" w:type="dxa"/>
              <w:end w:w="120" w:type="dxa"/>
            </w:tcMar>
          </w:tcPr>
          <w:p>
            <w:r/>
            <w:r>
              <w:rPr>
                <w:sz w:val="20"/>
              </w:rPr>
              <w:t>V-11</w:t>
            </w:r>
          </w:p>
        </w:tc>
        <w:tc>
          <w:tcPr>
            <w:tcW w:type="dxa" w:w="4464"/>
            <w:tcMar>
              <w:top w:w="80" w:type="dxa"/>
              <w:start w:w="120" w:type="dxa"/>
              <w:bottom w:w="80" w:type="dxa"/>
              <w:end w:w="120" w:type="dxa"/>
            </w:tcMar>
          </w:tcPr>
          <w:p>
            <w:r/>
            <w:r>
              <w:rPr>
                <w:sz w:val="20"/>
              </w:rPr>
              <w:t>TKT-1001 injected content is read by the agent.</w:t>
            </w:r>
          </w:p>
        </w:tc>
        <w:tc>
          <w:tcPr>
            <w:tcW w:type="dxa" w:w="3888"/>
            <w:tcMar>
              <w:top w:w="80" w:type="dxa"/>
              <w:start w:w="120" w:type="dxa"/>
              <w:bottom w:w="80" w:type="dxa"/>
              <w:end w:w="120" w:type="dxa"/>
            </w:tcMar>
          </w:tcPr>
          <w:p>
            <w:r/>
            <w:r>
              <w:rPr>
                <w:sz w:val="20"/>
              </w:rPr>
              <w:t>No new tool, no policy change, no secret disclosure.</w:t>
            </w:r>
          </w:p>
        </w:tc>
      </w:tr>
      <w:tr>
        <w:tc>
          <w:tcPr>
            <w:tcW w:type="dxa" w:w="1008"/>
            <w:tcMar>
              <w:top w:w="80" w:type="dxa"/>
              <w:start w:w="120" w:type="dxa"/>
              <w:bottom w:w="80" w:type="dxa"/>
              <w:end w:w="120" w:type="dxa"/>
            </w:tcMar>
          </w:tcPr>
          <w:p>
            <w:r/>
            <w:r>
              <w:rPr>
                <w:sz w:val="20"/>
              </w:rPr>
              <w:t>V-12</w:t>
            </w:r>
          </w:p>
        </w:tc>
        <w:tc>
          <w:tcPr>
            <w:tcW w:type="dxa" w:w="4464"/>
            <w:tcMar>
              <w:top w:w="80" w:type="dxa"/>
              <w:start w:w="120" w:type="dxa"/>
              <w:bottom w:w="80" w:type="dxa"/>
              <w:end w:w="120" w:type="dxa"/>
            </w:tcMar>
          </w:tcPr>
          <w:p>
            <w:r/>
            <w:r>
              <w:rPr>
                <w:sz w:val="20"/>
              </w:rPr>
              <w:t>Two sequential requests from different users reuse one pooled connection.</w:t>
            </w:r>
          </w:p>
        </w:tc>
        <w:tc>
          <w:tcPr>
            <w:tcW w:type="dxa" w:w="3888"/>
            <w:tcMar>
              <w:top w:w="80" w:type="dxa"/>
              <w:start w:w="120" w:type="dxa"/>
              <w:bottom w:w="80" w:type="dxa"/>
              <w:end w:w="120" w:type="dxa"/>
            </w:tcMar>
          </w:tcPr>
          <w:p>
            <w:r/>
            <w:r>
              <w:rPr>
                <w:sz w:val="20"/>
              </w:rPr>
              <w:t>No context from the first request remains.</w:t>
            </w:r>
          </w:p>
        </w:tc>
      </w:tr>
    </w:tbl>
    <w:p/>
    <w:p>
      <w:pPr>
        <w:pStyle w:val="Heading1"/>
      </w:pPr>
      <w:r>
        <w:t>13. Troubleshooting</w:t>
      </w:r>
    </w:p>
    <w:tbl>
      <w:tblPr>
        <w:tblStyle w:val="TableGrid"/>
        <w:tblW w:type="auto" w:w="0"/>
        <w:tblLayout w:type="fixed"/>
        <w:tblLook w:firstColumn="1" w:firstRow="1" w:lastColumn="0" w:lastRow="0" w:noHBand="0" w:noVBand="1" w:val="04A0"/>
      </w:tblPr>
      <w:tblGrid>
        <w:gridCol w:w="3120"/>
        <w:gridCol w:w="3120"/>
        <w:gridCol w:w="3120"/>
      </w:tblGrid>
      <w:tr>
        <w:tc>
          <w:tcPr>
            <w:tcW w:type="dxa" w:w="2448"/>
            <w:tcMar>
              <w:top w:w="80" w:type="dxa"/>
              <w:start w:w="120" w:type="dxa"/>
              <w:bottom w:w="80" w:type="dxa"/>
              <w:end w:w="120" w:type="dxa"/>
            </w:tcMar>
            <w:shd w:fill="E8EEF5"/>
          </w:tcPr>
          <w:p>
            <w:r/>
            <w:r>
              <w:rPr>
                <w:b/>
                <w:color w:val="17365D"/>
              </w:rPr>
              <w:t>Symptom</w:t>
            </w:r>
          </w:p>
        </w:tc>
        <w:tc>
          <w:tcPr>
            <w:tcW w:type="dxa" w:w="2880"/>
            <w:tcMar>
              <w:top w:w="80" w:type="dxa"/>
              <w:start w:w="120" w:type="dxa"/>
              <w:bottom w:w="80" w:type="dxa"/>
              <w:end w:w="120" w:type="dxa"/>
            </w:tcMar>
            <w:shd w:fill="E8EEF5"/>
          </w:tcPr>
          <w:p>
            <w:r/>
            <w:r>
              <w:rPr>
                <w:b/>
                <w:color w:val="17365D"/>
              </w:rPr>
              <w:t>Likely cause</w:t>
            </w:r>
          </w:p>
        </w:tc>
        <w:tc>
          <w:tcPr>
            <w:tcW w:type="dxa" w:w="4032"/>
            <w:tcMar>
              <w:top w:w="80" w:type="dxa"/>
              <w:start w:w="120" w:type="dxa"/>
              <w:bottom w:w="80" w:type="dxa"/>
              <w:end w:w="120" w:type="dxa"/>
            </w:tcMar>
            <w:shd w:fill="E8EEF5"/>
          </w:tcPr>
          <w:p>
            <w:r/>
            <w:r>
              <w:rPr>
                <w:b/>
                <w:color w:val="17365D"/>
              </w:rPr>
              <w:t>Correct fix</w:t>
            </w:r>
          </w:p>
        </w:tc>
      </w:tr>
      <w:tr>
        <w:tc>
          <w:tcPr>
            <w:tcW w:type="dxa" w:w="2448"/>
            <w:tcMar>
              <w:top w:w="80" w:type="dxa"/>
              <w:start w:w="120" w:type="dxa"/>
              <w:bottom w:w="80" w:type="dxa"/>
              <w:end w:w="120" w:type="dxa"/>
            </w:tcMar>
          </w:tcPr>
          <w:p>
            <w:r/>
            <w:r>
              <w:rPr>
                <w:sz w:val="20"/>
              </w:rPr>
              <w:t>Every protected read returns zero rows.</w:t>
            </w:r>
          </w:p>
        </w:tc>
        <w:tc>
          <w:tcPr>
            <w:tcW w:type="dxa" w:w="2880"/>
            <w:tcMar>
              <w:top w:w="80" w:type="dxa"/>
              <w:start w:w="120" w:type="dxa"/>
              <w:bottom w:w="80" w:type="dxa"/>
              <w:end w:w="120" w:type="dxa"/>
            </w:tcMar>
          </w:tcPr>
          <w:p>
            <w:r/>
            <w:r>
              <w:rPr>
                <w:sz w:val="20"/>
              </w:rPr>
              <w:t>Request context is not set inside the transaction.</w:t>
            </w:r>
          </w:p>
        </w:tc>
        <w:tc>
          <w:tcPr>
            <w:tcW w:type="dxa" w:w="4032"/>
            <w:tcMar>
              <w:top w:w="80" w:type="dxa"/>
              <w:start w:w="120" w:type="dxa"/>
              <w:bottom w:w="80" w:type="dxa"/>
              <w:end w:w="120" w:type="dxa"/>
            </w:tcMar>
          </w:tcPr>
          <w:p>
            <w:r/>
            <w:r>
              <w:rPr>
                <w:sz w:val="20"/>
              </w:rPr>
              <w:t>Set the context with SET LOCAL in the same transaction; do not disable RLS.</w:t>
            </w:r>
          </w:p>
        </w:tc>
      </w:tr>
      <w:tr>
        <w:tc>
          <w:tcPr>
            <w:tcW w:type="dxa" w:w="2448"/>
            <w:tcMar>
              <w:top w:w="80" w:type="dxa"/>
              <w:start w:w="120" w:type="dxa"/>
              <w:bottom w:w="80" w:type="dxa"/>
              <w:end w:w="120" w:type="dxa"/>
            </w:tcMar>
          </w:tcPr>
          <w:p>
            <w:r/>
            <w:r>
              <w:rPr>
                <w:sz w:val="20"/>
              </w:rPr>
              <w:t>The API can read every organization.</w:t>
            </w:r>
          </w:p>
        </w:tc>
        <w:tc>
          <w:tcPr>
            <w:tcW w:type="dxa" w:w="2880"/>
            <w:tcMar>
              <w:top w:w="80" w:type="dxa"/>
              <w:start w:w="120" w:type="dxa"/>
              <w:bottom w:w="80" w:type="dxa"/>
              <w:end w:w="120" w:type="dxa"/>
            </w:tcMar>
          </w:tcPr>
          <w:p>
            <w:r/>
            <w:r>
              <w:rPr>
                <w:sz w:val="20"/>
              </w:rPr>
              <w:t>The API role owns the table or holds BYPASSRLS.</w:t>
            </w:r>
          </w:p>
        </w:tc>
        <w:tc>
          <w:tcPr>
            <w:tcW w:type="dxa" w:w="4032"/>
            <w:tcMar>
              <w:top w:w="80" w:type="dxa"/>
              <w:start w:w="120" w:type="dxa"/>
              <w:bottom w:w="80" w:type="dxa"/>
              <w:end w:w="120" w:type="dxa"/>
            </w:tcMar>
          </w:tcPr>
          <w:p>
            <w:r/>
            <w:r>
              <w:rPr>
                <w:sz w:val="20"/>
              </w:rPr>
              <w:t>Move ownership to the migration role and remove the bypass privilege.</w:t>
            </w:r>
          </w:p>
        </w:tc>
      </w:tr>
      <w:tr>
        <w:tc>
          <w:tcPr>
            <w:tcW w:type="dxa" w:w="2448"/>
            <w:tcMar>
              <w:top w:w="80" w:type="dxa"/>
              <w:start w:w="120" w:type="dxa"/>
              <w:bottom w:w="80" w:type="dxa"/>
              <w:end w:w="120" w:type="dxa"/>
            </w:tcMar>
          </w:tcPr>
          <w:p>
            <w:r/>
            <w:r>
              <w:rPr>
                <w:sz w:val="20"/>
              </w:rPr>
              <w:t>Token verification fails after a restart.</w:t>
            </w:r>
          </w:p>
        </w:tc>
        <w:tc>
          <w:tcPr>
            <w:tcW w:type="dxa" w:w="2880"/>
            <w:tcMar>
              <w:top w:w="80" w:type="dxa"/>
              <w:start w:w="120" w:type="dxa"/>
              <w:bottom w:w="80" w:type="dxa"/>
              <w:end w:w="120" w:type="dxa"/>
            </w:tcMar>
          </w:tcPr>
          <w:p>
            <w:r/>
            <w:r>
              <w:rPr>
                <w:sz w:val="20"/>
              </w:rPr>
              <w:t>Key cache is empty or the realm was recreated.</w:t>
            </w:r>
          </w:p>
        </w:tc>
        <w:tc>
          <w:tcPr>
            <w:tcW w:type="dxa" w:w="4032"/>
            <w:tcMar>
              <w:top w:w="80" w:type="dxa"/>
              <w:start w:w="120" w:type="dxa"/>
              <w:bottom w:w="80" w:type="dxa"/>
              <w:end w:w="120" w:type="dxa"/>
            </w:tcMar>
          </w:tcPr>
          <w:p>
            <w:r/>
            <w:r>
              <w:rPr>
                <w:sz w:val="20"/>
              </w:rPr>
              <w:t>Refresh the key set; do not relax issuer or audience checks.</w:t>
            </w:r>
          </w:p>
        </w:tc>
      </w:tr>
      <w:tr>
        <w:tc>
          <w:tcPr>
            <w:tcW w:type="dxa" w:w="2448"/>
            <w:tcMar>
              <w:top w:w="80" w:type="dxa"/>
              <w:start w:w="120" w:type="dxa"/>
              <w:bottom w:w="80" w:type="dxa"/>
              <w:end w:w="120" w:type="dxa"/>
            </w:tcMar>
          </w:tcPr>
          <w:p>
            <w:r/>
            <w:r>
              <w:rPr>
                <w:sz w:val="20"/>
              </w:rPr>
              <w:t>OPA returns undefined.</w:t>
            </w:r>
          </w:p>
        </w:tc>
        <w:tc>
          <w:tcPr>
            <w:tcW w:type="dxa" w:w="2880"/>
            <w:tcMar>
              <w:top w:w="80" w:type="dxa"/>
              <w:start w:w="120" w:type="dxa"/>
              <w:bottom w:w="80" w:type="dxa"/>
              <w:end w:w="120" w:type="dxa"/>
            </w:tcMar>
          </w:tcPr>
          <w:p>
            <w:r/>
            <w:r>
              <w:rPr>
                <w:sz w:val="20"/>
              </w:rPr>
              <w:t>The decision document path or input shape is wrong.</w:t>
            </w:r>
          </w:p>
        </w:tc>
        <w:tc>
          <w:tcPr>
            <w:tcW w:type="dxa" w:w="4032"/>
            <w:tcMar>
              <w:top w:w="80" w:type="dxa"/>
              <w:start w:w="120" w:type="dxa"/>
              <w:bottom w:w="80" w:type="dxa"/>
              <w:end w:w="120" w:type="dxa"/>
            </w:tcMar>
          </w:tcPr>
          <w:p>
            <w:r/>
            <w:r>
              <w:rPr>
                <w:sz w:val="20"/>
              </w:rPr>
              <w:t>Fix the path and input; keep the deny-on-undefined behavior.</w:t>
            </w:r>
          </w:p>
        </w:tc>
      </w:tr>
      <w:tr>
        <w:tc>
          <w:tcPr>
            <w:tcW w:type="dxa" w:w="2448"/>
            <w:tcMar>
              <w:top w:w="80" w:type="dxa"/>
              <w:start w:w="120" w:type="dxa"/>
              <w:bottom w:w="80" w:type="dxa"/>
              <w:end w:w="120" w:type="dxa"/>
            </w:tcMar>
          </w:tcPr>
          <w:p>
            <w:r/>
            <w:r>
              <w:rPr>
                <w:sz w:val="20"/>
              </w:rPr>
              <w:t>Onyx sends a service identity instead of a user token.</w:t>
            </w:r>
          </w:p>
        </w:tc>
        <w:tc>
          <w:tcPr>
            <w:tcW w:type="dxa" w:w="2880"/>
            <w:tcMar>
              <w:top w:w="80" w:type="dxa"/>
              <w:start w:w="120" w:type="dxa"/>
              <w:bottom w:w="80" w:type="dxa"/>
              <w:end w:w="120" w:type="dxa"/>
            </w:tcMar>
          </w:tcPr>
          <w:p>
            <w:r/>
            <w:r>
              <w:rPr>
                <w:sz w:val="20"/>
              </w:rPr>
              <w:t>Action authentication is not configured for individual OAuth.</w:t>
            </w:r>
          </w:p>
        </w:tc>
        <w:tc>
          <w:tcPr>
            <w:tcW w:type="dxa" w:w="4032"/>
            <w:tcMar>
              <w:top w:w="80" w:type="dxa"/>
              <w:start w:w="120" w:type="dxa"/>
              <w:bottom w:w="80" w:type="dxa"/>
              <w:end w:w="120" w:type="dxa"/>
            </w:tcMar>
          </w:tcPr>
          <w:p>
            <w:r/>
            <w:r>
              <w:rPr>
                <w:sz w:val="20"/>
              </w:rPr>
              <w:t>Reconfigure the action; never accept a service token as a user identity.</w:t>
            </w:r>
          </w:p>
        </w:tc>
      </w:tr>
      <w:tr>
        <w:tc>
          <w:tcPr>
            <w:tcW w:type="dxa" w:w="2448"/>
            <w:tcMar>
              <w:top w:w="80" w:type="dxa"/>
              <w:start w:w="120" w:type="dxa"/>
              <w:bottom w:w="80" w:type="dxa"/>
              <w:end w:w="120" w:type="dxa"/>
            </w:tcMar>
          </w:tcPr>
          <w:p>
            <w:r/>
            <w:r>
              <w:rPr>
                <w:sz w:val="20"/>
              </w:rPr>
              <w:t>The model invents order data.</w:t>
            </w:r>
          </w:p>
        </w:tc>
        <w:tc>
          <w:tcPr>
            <w:tcW w:type="dxa" w:w="2880"/>
            <w:tcMar>
              <w:top w:w="80" w:type="dxa"/>
              <w:start w:w="120" w:type="dxa"/>
              <w:bottom w:w="80" w:type="dxa"/>
              <w:end w:w="120" w:type="dxa"/>
            </w:tcMar>
          </w:tcPr>
          <w:p>
            <w:r/>
            <w:r>
              <w:rPr>
                <w:sz w:val="20"/>
              </w:rPr>
              <w:t>The tool result was empty and the instructions allow speculation.</w:t>
            </w:r>
          </w:p>
        </w:tc>
        <w:tc>
          <w:tcPr>
            <w:tcW w:type="dxa" w:w="4032"/>
            <w:tcMar>
              <w:top w:w="80" w:type="dxa"/>
              <w:start w:w="120" w:type="dxa"/>
              <w:bottom w:w="80" w:type="dxa"/>
              <w:end w:w="120" w:type="dxa"/>
            </w:tcMar>
          </w:tcPr>
          <w:p>
            <w:r/>
            <w:r>
              <w:rPr>
                <w:sz w:val="20"/>
              </w:rPr>
              <w:t>Tighten agent instructions and return a clear not-found result; never fabricate business data.</w:t>
            </w:r>
          </w:p>
        </w:tc>
      </w:tr>
      <w:tr>
        <w:tc>
          <w:tcPr>
            <w:tcW w:type="dxa" w:w="2448"/>
            <w:tcMar>
              <w:top w:w="80" w:type="dxa"/>
              <w:start w:w="120" w:type="dxa"/>
              <w:bottom w:w="80" w:type="dxa"/>
              <w:end w:w="120" w:type="dxa"/>
            </w:tcMar>
          </w:tcPr>
          <w:p>
            <w:r/>
            <w:r>
              <w:rPr>
                <w:sz w:val="20"/>
              </w:rPr>
              <w:t>The agent loops on a failing tool.</w:t>
            </w:r>
          </w:p>
        </w:tc>
        <w:tc>
          <w:tcPr>
            <w:tcW w:type="dxa" w:w="2880"/>
            <w:tcMar>
              <w:top w:w="80" w:type="dxa"/>
              <w:start w:w="120" w:type="dxa"/>
              <w:bottom w:w="80" w:type="dxa"/>
              <w:end w:w="120" w:type="dxa"/>
            </w:tcMar>
          </w:tcPr>
          <w:p>
            <w:r/>
            <w:r>
              <w:rPr>
                <w:sz w:val="20"/>
              </w:rPr>
              <w:t>No tool-call budget is configured.</w:t>
            </w:r>
          </w:p>
        </w:tc>
        <w:tc>
          <w:tcPr>
            <w:tcW w:type="dxa" w:w="4032"/>
            <w:tcMar>
              <w:top w:w="80" w:type="dxa"/>
              <w:start w:w="120" w:type="dxa"/>
              <w:bottom w:w="80" w:type="dxa"/>
              <w:end w:w="120" w:type="dxa"/>
            </w:tcMar>
          </w:tcPr>
          <w:p>
            <w:r/>
            <w:r>
              <w:rPr>
                <w:sz w:val="20"/>
              </w:rPr>
              <w:t>Set the budget in the agent configuration and confirm the loop stops.</w:t>
            </w:r>
          </w:p>
        </w:tc>
      </w:tr>
    </w:tbl>
    <w:p/>
    <w:p>
      <w:pPr>
        <w:pStyle w:val="Heading1"/>
      </w:pPr>
      <w:r>
        <w:t>14. Teardown and Reset</w:t>
      </w:r>
    </w:p>
    <w:p>
      <w:pPr>
        <w:pStyle w:val="ListNumber"/>
      </w:pPr>
      <w:r>
        <w:t>Stop the services and remove containers, keeping the named database volume if the data is still needed.</w:t>
      </w:r>
    </w:p>
    <w:p>
      <w:pPr>
        <w:pStyle w:val="ListNumber"/>
      </w:pPr>
      <w:r>
        <w:t>Remove the database volume only when a full reset is intended; the seed script rebuilds the baseline.</w:t>
      </w:r>
    </w:p>
    <w:p>
      <w:pPr>
        <w:pStyle w:val="ListNumber"/>
      </w:pPr>
      <w:r>
        <w:t>Rotate local secret files after any suspected exposure, even in the local environment.</w:t>
      </w:r>
    </w:p>
    <w:p>
      <w:pPr>
        <w:pStyle w:val="ListNumber"/>
      </w:pPr>
      <w:r>
        <w:t>Re-run bootstrap-local.ps1 and then verify-local.ps1; a reset is complete only when every check passes again.</w:t>
      </w:r>
    </w:p>
    <w:tbl>
      <w:tblPr>
        <w:tblStyle w:val="TableGrid"/>
        <w:tblW w:type="auto" w:w="0"/>
        <w:tblLook w:firstColumn="1" w:firstRow="1" w:lastColumn="0" w:lastRow="0" w:noHBand="0" w:noVBand="1" w:val="04A0"/>
      </w:tblPr>
      <w:tblGrid>
        <w:gridCol w:w="9360"/>
      </w:tblGrid>
      <w:tr>
        <w:tc>
          <w:tcPr>
            <w:tcW w:type="dxa" w:w="9360"/>
            <w:tcMar>
              <w:top w:w="80" w:type="dxa"/>
              <w:start w:w="120" w:type="dxa"/>
              <w:bottom w:w="80" w:type="dxa"/>
              <w:end w:w="120" w:type="dxa"/>
            </w:tcMar>
            <w:shd w:fill="E8EEF5"/>
          </w:tcPr>
          <w:p>
            <w:r/>
            <w:r>
              <w:rPr>
                <w:b/>
              </w:rPr>
              <w:t xml:space="preserve">Reset rule: </w:t>
            </w:r>
            <w:r>
              <w:t>Never repair a failing environment by weakening a control. Removing row-level security, granting a bypass privilege, or disabling token checks to make a demonstration work invalidates every test result produced afterwards.</w:t>
            </w:r>
          </w:p>
        </w:tc>
      </w:tr>
    </w:tbl>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2E74B5"/>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