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11EC" w:rsidRDefault="00000000">
      <w:pPr>
        <w:spacing w:after="160"/>
      </w:pPr>
      <w:r>
        <w:rPr>
          <w:b/>
          <w:bCs/>
          <w:sz w:val="32"/>
          <w:szCs w:val="32"/>
        </w:rPr>
        <w:t>LLM Sycophancy and Working with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542"/>
        <w:gridCol w:w="1542"/>
        <w:gridCol w:w="3855"/>
      </w:tblGrid>
      <w:tr w:rsidR="00FA11EC">
        <w:tblPrEx>
          <w:tblCellMar>
            <w:top w:w="0" w:type="dxa"/>
            <w:bottom w:w="0" w:type="dxa"/>
          </w:tblCellMar>
        </w:tblPrEx>
        <w:tc>
          <w:tcPr>
            <w:tcW w:w="2699" w:type="dxa"/>
            <w:tcBorders>
              <w:top w:val="single" w:sz="8" w:space="0" w:color="1A1A1A"/>
              <w:left w:val="none" w:sz="0" w:space="0" w:color="FFFFFF"/>
              <w:bottom w:val="single" w:sz="8" w:space="0" w:color="1A1A1A"/>
              <w:right w:val="none" w:sz="0" w:space="0" w:color="FFFFFF"/>
            </w:tcBorders>
            <w:tcMar>
              <w:top w:w="70" w:type="dxa"/>
              <w:left w:w="0" w:type="dxa"/>
              <w:bottom w:w="70" w:type="dxa"/>
              <w:right w:w="140" w:type="dxa"/>
            </w:tcMar>
          </w:tcPr>
          <w:p w:rsidR="00FA11EC" w:rsidRDefault="00000000">
            <w:r>
              <w:rPr>
                <w:color w:val="1F3A5F"/>
              </w:rPr>
              <w:t>Audience</w:t>
            </w:r>
          </w:p>
          <w:p w:rsidR="00FA11EC" w:rsidRDefault="00000000">
            <w:r>
              <w:t>University students</w:t>
            </w:r>
          </w:p>
        </w:tc>
        <w:tc>
          <w:tcPr>
            <w:tcW w:w="1542" w:type="dxa"/>
            <w:tcBorders>
              <w:top w:val="single" w:sz="8" w:space="0" w:color="1A1A1A"/>
              <w:left w:val="none" w:sz="0" w:space="0" w:color="FFFFFF"/>
              <w:bottom w:val="single" w:sz="8" w:space="0" w:color="1A1A1A"/>
              <w:right w:val="none" w:sz="0" w:space="0" w:color="FFFFFF"/>
            </w:tcBorders>
            <w:tcMar>
              <w:top w:w="70" w:type="dxa"/>
              <w:left w:w="0" w:type="dxa"/>
              <w:bottom w:w="70" w:type="dxa"/>
              <w:right w:w="140" w:type="dxa"/>
            </w:tcMar>
          </w:tcPr>
          <w:p w:rsidR="00FA11EC" w:rsidRDefault="00000000">
            <w:r>
              <w:rPr>
                <w:color w:val="1F3A5F"/>
              </w:rPr>
              <w:t>Duration</w:t>
            </w:r>
          </w:p>
          <w:p w:rsidR="00FA11EC" w:rsidRDefault="00000000">
            <w:r>
              <w:t>45 mins</w:t>
            </w:r>
          </w:p>
        </w:tc>
        <w:tc>
          <w:tcPr>
            <w:tcW w:w="1542" w:type="dxa"/>
            <w:tcBorders>
              <w:top w:val="single" w:sz="8" w:space="0" w:color="1A1A1A"/>
              <w:left w:val="none" w:sz="0" w:space="0" w:color="FFFFFF"/>
              <w:bottom w:val="single" w:sz="8" w:space="0" w:color="1A1A1A"/>
              <w:right w:val="none" w:sz="0" w:space="0" w:color="FFFFFF"/>
            </w:tcBorders>
            <w:tcMar>
              <w:top w:w="70" w:type="dxa"/>
              <w:left w:w="0" w:type="dxa"/>
              <w:bottom w:w="70" w:type="dxa"/>
              <w:right w:w="140" w:type="dxa"/>
            </w:tcMar>
          </w:tcPr>
          <w:p w:rsidR="00FA11EC" w:rsidRDefault="00000000">
            <w:r>
              <w:rPr>
                <w:color w:val="1F3A5F"/>
              </w:rPr>
              <w:t>Class size</w:t>
            </w:r>
          </w:p>
          <w:p w:rsidR="00FA11EC" w:rsidRDefault="00000000">
            <w:r>
              <w:t xml:space="preserve">10–40+ </w:t>
            </w:r>
          </w:p>
        </w:tc>
        <w:tc>
          <w:tcPr>
            <w:tcW w:w="3855" w:type="dxa"/>
            <w:tcBorders>
              <w:top w:val="single" w:sz="8" w:space="0" w:color="1A1A1A"/>
              <w:left w:val="none" w:sz="0" w:space="0" w:color="FFFFFF"/>
              <w:bottom w:val="single" w:sz="8" w:space="0" w:color="1A1A1A"/>
              <w:right w:val="none" w:sz="0" w:space="0" w:color="FFFFFF"/>
            </w:tcBorders>
            <w:tcMar>
              <w:top w:w="70" w:type="dxa"/>
              <w:left w:w="0" w:type="dxa"/>
              <w:bottom w:w="70" w:type="dxa"/>
              <w:right w:w="140" w:type="dxa"/>
            </w:tcMar>
          </w:tcPr>
          <w:p w:rsidR="00FA11EC" w:rsidRDefault="00000000">
            <w:r>
              <w:rPr>
                <w:color w:val="1F3A5F"/>
              </w:rPr>
              <w:t>Delivery</w:t>
            </w:r>
          </w:p>
          <w:p w:rsidR="00FA11EC" w:rsidRDefault="00000000">
            <w:r>
              <w:t>In person or live online</w:t>
            </w:r>
          </w:p>
        </w:tc>
      </w:tr>
    </w:tbl>
    <w:p w:rsidR="00FA11EC" w:rsidRDefault="00000000">
      <w:pPr>
        <w:keepNext/>
        <w:spacing w:before="260" w:after="90"/>
      </w:pPr>
      <w:r>
        <w:rPr>
          <w:b/>
          <w:bCs/>
          <w:color w:val="1F3A5F"/>
          <w:sz w:val="23"/>
          <w:szCs w:val="23"/>
        </w:rPr>
        <w:t>1. Module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2120"/>
        <w:gridCol w:w="2120"/>
        <w:gridCol w:w="2796"/>
      </w:tblGrid>
      <w:tr w:rsidR="00FA11EC">
        <w:tblPrEx>
          <w:tblCellMar>
            <w:top w:w="0" w:type="dxa"/>
            <w:bottom w:w="0" w:type="dxa"/>
          </w:tblCellMar>
        </w:tblPrEx>
        <w:trPr>
          <w:cantSplit/>
          <w:tblHeader/>
        </w:trPr>
        <w:tc>
          <w:tcPr>
            <w:tcW w:w="2602"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Required materials</w:t>
            </w:r>
          </w:p>
        </w:tc>
        <w:tc>
          <w:tcPr>
            <w:tcW w:w="2120"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Prerequisites</w:t>
            </w:r>
          </w:p>
        </w:tc>
        <w:tc>
          <w:tcPr>
            <w:tcW w:w="2120"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Teaching strategies</w:t>
            </w:r>
          </w:p>
        </w:tc>
        <w:tc>
          <w:tcPr>
            <w:tcW w:w="2796"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Importance</w:t>
            </w:r>
          </w:p>
        </w:tc>
      </w:tr>
      <w:tr w:rsidR="00FA11EC">
        <w:tblPrEx>
          <w:tblCellMar>
            <w:top w:w="0" w:type="dxa"/>
            <w:bottom w:w="0" w:type="dxa"/>
          </w:tblCellMar>
        </w:tblPrEx>
        <w:trPr>
          <w:cantSplit/>
        </w:trPr>
        <w:tc>
          <w:tcPr>
            <w:tcW w:w="2602"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pPr>
              <w:pStyle w:val="ListParagraph"/>
              <w:numPr>
                <w:ilvl w:val="0"/>
                <w:numId w:val="2"/>
              </w:numPr>
              <w:spacing w:after="40"/>
            </w:pPr>
            <w:r>
              <w:t>One laptop per student with a general-purpose AI assistant</w:t>
            </w:r>
          </w:p>
          <w:p w:rsidR="00FA11EC" w:rsidRDefault="00000000">
            <w:pPr>
              <w:pStyle w:val="ListParagraph"/>
              <w:numPr>
                <w:ilvl w:val="0"/>
                <w:numId w:val="2"/>
              </w:numPr>
              <w:spacing w:after="40"/>
            </w:pPr>
            <w:r>
              <w:t>Paper, a notebook or a notes app for recording ratings</w:t>
            </w:r>
          </w:p>
        </w:tc>
        <w:tc>
          <w:tcPr>
            <w:tcW w:w="2120"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pPr>
              <w:pStyle w:val="ListParagraph"/>
              <w:numPr>
                <w:ilvl w:val="0"/>
                <w:numId w:val="2"/>
              </w:numPr>
              <w:spacing w:after="40"/>
            </w:pPr>
            <w:r>
              <w:t>Has used an AI assistant at least once</w:t>
            </w:r>
          </w:p>
        </w:tc>
        <w:tc>
          <w:tcPr>
            <w:tcW w:w="2120"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pPr>
              <w:pStyle w:val="ListParagraph"/>
              <w:numPr>
                <w:ilvl w:val="0"/>
                <w:numId w:val="2"/>
              </w:numPr>
              <w:spacing w:after="40"/>
            </w:pPr>
            <w:r>
              <w:t>Inquiry-based learning</w:t>
            </w:r>
          </w:p>
          <w:p w:rsidR="00FA11EC" w:rsidRDefault="00000000">
            <w:pPr>
              <w:pStyle w:val="ListParagraph"/>
              <w:numPr>
                <w:ilvl w:val="0"/>
                <w:numId w:val="2"/>
              </w:numPr>
              <w:spacing w:after="40"/>
            </w:pPr>
            <w:r>
              <w:t>Collaborative learning</w:t>
            </w:r>
          </w:p>
        </w:tc>
        <w:tc>
          <w:tcPr>
            <w:tcW w:w="2796"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pPr>
              <w:pStyle w:val="ListParagraph"/>
              <w:numPr>
                <w:ilvl w:val="0"/>
                <w:numId w:val="2"/>
              </w:numPr>
              <w:spacing w:after="40"/>
            </w:pPr>
            <w:r>
              <w:t>AI sides with users far more often than people do</w:t>
            </w:r>
          </w:p>
          <w:p w:rsidR="00FA11EC" w:rsidRDefault="00000000">
            <w:pPr>
              <w:pStyle w:val="ListParagraph"/>
              <w:numPr>
                <w:ilvl w:val="0"/>
                <w:numId w:val="2"/>
              </w:numPr>
              <w:spacing w:after="40"/>
            </w:pPr>
            <w:r>
              <w:t>Agreement can make people more certain and less willing to navigate disagreement</w:t>
            </w:r>
          </w:p>
          <w:p w:rsidR="00FA11EC" w:rsidRDefault="00000000">
            <w:pPr>
              <w:pStyle w:val="ListParagraph"/>
              <w:numPr>
                <w:ilvl w:val="0"/>
                <w:numId w:val="2"/>
              </w:numPr>
              <w:spacing w:after="40"/>
            </w:pPr>
            <w:r>
              <w:t>Over time, this can weaken students' ability to work with others</w:t>
            </w:r>
          </w:p>
        </w:tc>
      </w:tr>
    </w:tbl>
    <w:p w:rsidR="00FA11EC" w:rsidRDefault="00000000">
      <w:pPr>
        <w:keepNext/>
        <w:spacing w:before="260" w:after="90"/>
      </w:pPr>
      <w:r>
        <w:rPr>
          <w:b/>
          <w:bCs/>
          <w:color w:val="1F3A5F"/>
          <w:sz w:val="23"/>
          <w:szCs w:val="23"/>
        </w:rPr>
        <w:t>2. Intended learning outcomes</w:t>
      </w:r>
    </w:p>
    <w:p w:rsidR="00FA11EC" w:rsidRDefault="00000000">
      <w:pPr>
        <w:spacing w:after="100"/>
      </w:pPr>
      <w:r>
        <w:rPr>
          <w:color w:val="1F3A5F"/>
        </w:rPr>
        <w:t>Performance standard.</w:t>
      </w:r>
      <w:r>
        <w:t xml:space="preserve"> Learners demonstrate understanding of LLM sycophancy by measuring how AI agreement changes their own certainty in a topic. Students will reach a shared position in a topic with a peer who disagrees.</w:t>
      </w:r>
    </w:p>
    <w:p w:rsidR="00FA11EC" w:rsidRDefault="00000000">
      <w:pPr>
        <w:spacing w:after="100"/>
      </w:pPr>
      <w:r>
        <w:t>By the end of the session, learners will be able to:</w:t>
      </w:r>
    </w:p>
    <w:p w:rsidR="00FA11EC" w:rsidRDefault="00000000">
      <w:pPr>
        <w:pStyle w:val="ListParagraph"/>
        <w:numPr>
          <w:ilvl w:val="0"/>
          <w:numId w:val="3"/>
        </w:numPr>
        <w:spacing w:after="40"/>
      </w:pPr>
      <w:r>
        <w:t>Define LLM sycophancy and explain why AI training rewards it.</w:t>
      </w:r>
    </w:p>
    <w:p w:rsidR="00FA11EC" w:rsidRDefault="00000000">
      <w:pPr>
        <w:pStyle w:val="ListParagraph"/>
        <w:numPr>
          <w:ilvl w:val="0"/>
          <w:numId w:val="3"/>
        </w:numPr>
        <w:spacing w:after="40"/>
      </w:pPr>
      <w:r>
        <w:t>Describe evidence that AI agreement raises certainty and lowers willingness to navigate disagreements.</w:t>
      </w:r>
    </w:p>
    <w:p w:rsidR="00FA11EC" w:rsidRDefault="00000000">
      <w:pPr>
        <w:pStyle w:val="ListParagraph"/>
        <w:numPr>
          <w:ilvl w:val="0"/>
          <w:numId w:val="3"/>
        </w:numPr>
        <w:spacing w:after="40"/>
      </w:pPr>
      <w:r>
        <w:t>Detect sycophancy in their own AI conversations by recording when the AI agrees or pushes back.</w:t>
      </w:r>
    </w:p>
    <w:p w:rsidR="00FA11EC" w:rsidRDefault="00000000">
      <w:pPr>
        <w:pStyle w:val="ListParagraph"/>
        <w:numPr>
          <w:ilvl w:val="0"/>
          <w:numId w:val="3"/>
        </w:numPr>
        <w:spacing w:after="40"/>
      </w:pPr>
      <w:r>
        <w:t>Collaborate with a peer who disagrees to reach a shared position.</w:t>
      </w:r>
    </w:p>
    <w:p w:rsidR="00FA11EC" w:rsidRDefault="00000000">
      <w:pPr>
        <w:pStyle w:val="ListParagraph"/>
        <w:numPr>
          <w:ilvl w:val="0"/>
          <w:numId w:val="3"/>
        </w:numPr>
        <w:spacing w:after="40"/>
      </w:pPr>
      <w:r>
        <w:t>Write a prompt that asks AI to challenge their view rather than confirm it.</w:t>
      </w:r>
    </w:p>
    <w:p w:rsidR="00FA11EC" w:rsidRDefault="00000000">
      <w:pPr>
        <w:keepNext/>
        <w:spacing w:before="260" w:after="90"/>
      </w:pPr>
      <w:r>
        <w:rPr>
          <w:b/>
          <w:bCs/>
          <w:color w:val="1F3A5F"/>
          <w:sz w:val="23"/>
          <w:szCs w:val="23"/>
        </w:rPr>
        <w:t>3. Key concepts</w:t>
      </w:r>
    </w:p>
    <w:p w:rsidR="00FA11EC" w:rsidRDefault="00000000">
      <w:pPr>
        <w:spacing w:after="100"/>
      </w:pPr>
      <w:r>
        <w:t>Sycophancy is when an AI tells users what they want to hear instead of what is accurate or helpful.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662"/>
        <w:gridCol w:w="3566"/>
      </w:tblGrid>
      <w:tr w:rsidR="00FA11EC">
        <w:tblPrEx>
          <w:tblCellMar>
            <w:top w:w="0" w:type="dxa"/>
            <w:bottom w:w="0" w:type="dxa"/>
          </w:tblCellMar>
        </w:tblPrEx>
        <w:trPr>
          <w:cantSplit/>
          <w:tblHeader/>
        </w:trPr>
        <w:tc>
          <w:tcPr>
            <w:tcW w:w="2410"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Term</w:t>
            </w:r>
          </w:p>
        </w:tc>
        <w:tc>
          <w:tcPr>
            <w:tcW w:w="3662"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Definition</w:t>
            </w:r>
          </w:p>
        </w:tc>
        <w:tc>
          <w:tcPr>
            <w:tcW w:w="3566"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Example</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Sycophancy</w:t>
            </w:r>
          </w:p>
        </w:tc>
        <w:tc>
          <w:tcPr>
            <w:tcW w:w="3662"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Agreeing with the user's stated view over the truth</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The AI drops a correct answer after “Are you sure?”</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Social sycophancy</w:t>
            </w:r>
          </w:p>
        </w:tc>
        <w:tc>
          <w:tcPr>
            <w:tcW w:w="3662"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Protecting the user's self-image: validating, endorsing, avoiding blame</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 xml:space="preserve">Telling someone they were right in an argument </w:t>
            </w:r>
            <w:r w:rsidR="00FB7EC8">
              <w:t>a</w:t>
            </w:r>
            <w:r>
              <w:t xml:space="preserve"> community judged they were wrong in</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Certainty inflation</w:t>
            </w:r>
          </w:p>
        </w:tc>
        <w:tc>
          <w:tcPr>
            <w:tcW w:w="3662"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Becoming more confident without becoming more correct</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Feeling surer of a view after a one-sided chat</w:t>
            </w:r>
          </w:p>
        </w:tc>
      </w:tr>
      <w:tr w:rsidR="00FA11EC">
        <w:tblPrEx>
          <w:tblCellMar>
            <w:top w:w="0" w:type="dxa"/>
            <w:bottom w:w="0" w:type="dxa"/>
          </w:tblCellMar>
        </w:tblPrEx>
        <w:trPr>
          <w:cantSplit/>
        </w:trPr>
        <w:tc>
          <w:tcPr>
            <w:tcW w:w="2410"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Intellectual humility</w:t>
            </w:r>
          </w:p>
        </w:tc>
        <w:tc>
          <w:tcPr>
            <w:tcW w:w="3662"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proofErr w:type="spellStart"/>
            <w:r>
              <w:t>Recognising</w:t>
            </w:r>
            <w:proofErr w:type="spellEnd"/>
            <w:r>
              <w:t xml:space="preserve"> your views might be wrong and staying open to others</w:t>
            </w:r>
          </w:p>
        </w:tc>
        <w:tc>
          <w:tcPr>
            <w:tcW w:w="3566"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Asking “What is the best case for the other side?”</w:t>
            </w:r>
          </w:p>
        </w:tc>
      </w:tr>
    </w:tbl>
    <w:p w:rsidR="00FA11EC" w:rsidRDefault="00FA11EC">
      <w:pPr>
        <w:spacing w:after="60"/>
      </w:pPr>
    </w:p>
    <w:p w:rsidR="00FA11EC" w:rsidRDefault="00000000">
      <w:pPr>
        <w:spacing w:after="100"/>
      </w:pPr>
      <w:r>
        <w:rPr>
          <w:color w:val="1F3A5F"/>
        </w:rPr>
        <w:t>Why sycophancy happens.</w:t>
      </w:r>
      <w:r>
        <w:t xml:space="preserve"> AI models are trained on human ratings, and people tend to rate agreeable answers higher, so training rewards agreement (Sharma et al. 2024). Models often still “know” the correct answer when they give in (Hong et al. 2025).</w:t>
      </w:r>
    </w:p>
    <w:p w:rsidR="00FA11EC" w:rsidRDefault="00000000">
      <w:pPr>
        <w:spacing w:after="100"/>
      </w:pPr>
      <w:r>
        <w:rPr>
          <w:color w:val="1F3A5F"/>
        </w:rPr>
        <w:t>Evidence.</w:t>
      </w:r>
      <w:r>
        <w:t xml:space="preserve"> Across 11 models, AI affirmed users 49% more often than humans did. In conflicts where people judged the user wrong, AI still sided with the user 51% of the time. Sycophantic replies made people feel more “in the right” and less willing to </w:t>
      </w:r>
      <w:proofErr w:type="spellStart"/>
      <w:r>
        <w:t>apologise</w:t>
      </w:r>
      <w:proofErr w:type="spellEnd"/>
      <w:r>
        <w:t xml:space="preserve"> (Cheng et al. 2026). Brief chats with an agreeable LLM made political </w:t>
      </w:r>
      <w:r>
        <w:lastRenderedPageBreak/>
        <w:t>views more extreme and more certain, while a disagreeing LLM did the opposite (</w:t>
      </w:r>
      <w:proofErr w:type="spellStart"/>
      <w:r>
        <w:t>Rathje</w:t>
      </w:r>
      <w:proofErr w:type="spellEnd"/>
      <w:r>
        <w:t xml:space="preserve"> et al. 2025). Over three weeks, sycophantic AI </w:t>
      </w:r>
      <w:r w:rsidRPr="00796902">
        <w:rPr>
          <w:i/>
          <w:iCs/>
        </w:rPr>
        <w:t>made real conversations with</w:t>
      </w:r>
      <w:r>
        <w:t xml:space="preserve"> </w:t>
      </w:r>
      <w:r w:rsidRPr="00796902">
        <w:rPr>
          <w:i/>
          <w:iCs/>
        </w:rPr>
        <w:t>people</w:t>
      </w:r>
      <w:r>
        <w:t xml:space="preserve"> feel </w:t>
      </w:r>
      <w:r w:rsidRPr="00796902">
        <w:rPr>
          <w:i/>
          <w:iCs/>
        </w:rPr>
        <w:t xml:space="preserve">more effortful </w:t>
      </w:r>
      <w:r>
        <w:t xml:space="preserve">and </w:t>
      </w:r>
      <w:r w:rsidRPr="00796902">
        <w:rPr>
          <w:i/>
          <w:iCs/>
        </w:rPr>
        <w:t>less satisfying</w:t>
      </w:r>
      <w:r>
        <w:t xml:space="preserve"> (Ibrahim et al. 2026).</w:t>
      </w:r>
    </w:p>
    <w:p w:rsidR="00FA11EC" w:rsidRDefault="00000000">
      <w:pPr>
        <w:spacing w:after="100"/>
      </w:pPr>
      <w:r>
        <w:rPr>
          <w:color w:val="1F3A5F"/>
        </w:rPr>
        <w:t>Mental health.</w:t>
      </w:r>
      <w:r>
        <w:t xml:space="preserve"> Sycophancy can also reinforce delusional beliefs in vulnerable users (</w:t>
      </w:r>
      <w:proofErr w:type="spellStart"/>
      <w:r>
        <w:t>Østergaard</w:t>
      </w:r>
      <w:proofErr w:type="spellEnd"/>
      <w:r>
        <w:t xml:space="preserve"> 2025; </w:t>
      </w:r>
      <w:proofErr w:type="spellStart"/>
      <w:r>
        <w:t>Morrin</w:t>
      </w:r>
      <w:proofErr w:type="spellEnd"/>
      <w:r>
        <w:t xml:space="preserve"> et al. 2026). The Mental Health module covers this more fully.</w:t>
      </w:r>
    </w:p>
    <w:p w:rsidR="00FA11EC" w:rsidRDefault="00000000">
      <w:pPr>
        <w:spacing w:after="60"/>
      </w:pPr>
      <w:r>
        <w:rPr>
          <w:color w:val="1F3A5F"/>
        </w:rPr>
        <w:t>Common misconceptions</w:t>
      </w:r>
    </w:p>
    <w:p w:rsidR="00FA11EC" w:rsidRDefault="00000000">
      <w:pPr>
        <w:pStyle w:val="ListParagraph"/>
        <w:numPr>
          <w:ilvl w:val="0"/>
          <w:numId w:val="4"/>
        </w:numPr>
        <w:spacing w:after="40"/>
      </w:pPr>
      <w:r>
        <w:t>“The AI is neutral.” People rate an agreeable AI as unbiased and a disagreeing AI as biased.</w:t>
      </w:r>
    </w:p>
    <w:p w:rsidR="00FA11EC" w:rsidRDefault="00000000">
      <w:pPr>
        <w:pStyle w:val="ListParagraph"/>
        <w:numPr>
          <w:ilvl w:val="0"/>
          <w:numId w:val="4"/>
        </w:numPr>
        <w:spacing w:after="40"/>
      </w:pPr>
      <w:r>
        <w:t xml:space="preserve">“If the AI agrees, I must be right.” Agreement is frequently the AI’s default </w:t>
      </w:r>
      <w:proofErr w:type="spellStart"/>
      <w:r>
        <w:t>behaviour</w:t>
      </w:r>
      <w:proofErr w:type="spellEnd"/>
      <w:r>
        <w:t>.</w:t>
      </w:r>
    </w:p>
    <w:p w:rsidR="00FA11EC" w:rsidRDefault="00000000">
      <w:pPr>
        <w:pStyle w:val="ListParagraph"/>
        <w:numPr>
          <w:ilvl w:val="0"/>
          <w:numId w:val="4"/>
        </w:numPr>
        <w:spacing w:after="40"/>
      </w:pPr>
      <w:r>
        <w:t>“I’d notice if it were flattering me.” People trust sycophantic AI more and often want to return to it.</w:t>
      </w:r>
    </w:p>
    <w:p w:rsidR="00FA11EC" w:rsidRDefault="00000000">
      <w:pPr>
        <w:pStyle w:val="ListParagraph"/>
        <w:numPr>
          <w:ilvl w:val="0"/>
          <w:numId w:val="4"/>
        </w:numPr>
        <w:spacing w:after="40"/>
      </w:pPr>
      <w:r>
        <w:t>“Being challenged is unhelpful.” Disagreement lowers overconfidence, which is what people experience when working in a team.</w:t>
      </w:r>
    </w:p>
    <w:p w:rsidR="00FA11EC" w:rsidRDefault="00000000">
      <w:pPr>
        <w:keepNext/>
        <w:spacing w:before="260" w:after="90"/>
      </w:pPr>
      <w:r>
        <w:rPr>
          <w:b/>
          <w:bCs/>
          <w:color w:val="1F3A5F"/>
          <w:sz w:val="23"/>
          <w:szCs w:val="23"/>
        </w:rPr>
        <w:t>4. Lesson sequence</w:t>
      </w:r>
    </w:p>
    <w:p w:rsidR="00FA11EC" w:rsidRDefault="00000000">
      <w:pPr>
        <w:spacing w:after="100"/>
      </w:pPr>
      <w:r>
        <w:t xml:space="preserve">Learning types follow the ABC Learning Design cards used in </w:t>
      </w:r>
      <w:proofErr w:type="spellStart"/>
      <w:r>
        <w:t>ELDeR</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867"/>
        <w:gridCol w:w="3566"/>
        <w:gridCol w:w="1928"/>
        <w:gridCol w:w="867"/>
      </w:tblGrid>
      <w:tr w:rsidR="00FA11EC">
        <w:tblPrEx>
          <w:tblCellMar>
            <w:top w:w="0" w:type="dxa"/>
            <w:bottom w:w="0" w:type="dxa"/>
          </w:tblCellMar>
        </w:tblPrEx>
        <w:trPr>
          <w:cantSplit/>
          <w:tblHeader/>
        </w:trPr>
        <w:tc>
          <w:tcPr>
            <w:tcW w:w="2410"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Stage</w:t>
            </w:r>
          </w:p>
        </w:tc>
        <w:tc>
          <w:tcPr>
            <w:tcW w:w="867"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Time</w:t>
            </w:r>
          </w:p>
        </w:tc>
        <w:tc>
          <w:tcPr>
            <w:tcW w:w="3566"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Activity</w:t>
            </w:r>
          </w:p>
        </w:tc>
        <w:tc>
          <w:tcPr>
            <w:tcW w:w="1928"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ABC learning type</w:t>
            </w:r>
          </w:p>
        </w:tc>
        <w:tc>
          <w:tcPr>
            <w:tcW w:w="867" w:type="dxa"/>
            <w:tcBorders>
              <w:top w:val="single" w:sz="8" w:space="0" w:color="1A1A1A"/>
              <w:left w:val="none" w:sz="0" w:space="0" w:color="FFFFFF"/>
              <w:bottom w:val="single" w:sz="4" w:space="0" w:color="1A1A1A"/>
              <w:right w:val="none" w:sz="0" w:space="0" w:color="FFFFFF"/>
            </w:tcBorders>
            <w:tcMar>
              <w:top w:w="60" w:type="dxa"/>
              <w:left w:w="0" w:type="dxa"/>
              <w:bottom w:w="60" w:type="dxa"/>
              <w:right w:w="140" w:type="dxa"/>
            </w:tcMar>
          </w:tcPr>
          <w:p w:rsidR="00FA11EC" w:rsidRDefault="00000000">
            <w:r>
              <w:rPr>
                <w:color w:val="1F3A5F"/>
              </w:rPr>
              <w:t>ILOs</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 Introduction</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5 min</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“Who was right?” introduction; define sycophancy.</w:t>
            </w:r>
          </w:p>
        </w:tc>
        <w:tc>
          <w:tcPr>
            <w:tcW w:w="1928"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Acquisition</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1, 2</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2. Take sides</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4 min</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Pairs take opposite sides; rate certainty.</w:t>
            </w:r>
          </w:p>
        </w:tc>
        <w:tc>
          <w:tcPr>
            <w:tcW w:w="1928"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Practice</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3</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3. Private AI consult</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10 min</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Each partner argues their side with an AI; note replies and re-rate.</w:t>
            </w:r>
          </w:p>
        </w:tc>
        <w:tc>
          <w:tcPr>
            <w:tcW w:w="1928"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Investigation</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3</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4. Joint answer</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10 min</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Pairs agree on one position that credits the perspectives of both sides.</w:t>
            </w:r>
          </w:p>
        </w:tc>
        <w:tc>
          <w:tcPr>
            <w:tcW w:w="1928"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Collaboration</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4</w:t>
            </w:r>
          </w:p>
        </w:tc>
      </w:tr>
      <w:tr w:rsidR="00FA11EC">
        <w:tblPrEx>
          <w:tblCellMar>
            <w:top w:w="0" w:type="dxa"/>
            <w:bottom w:w="0" w:type="dxa"/>
          </w:tblCellMar>
        </w:tblPrEx>
        <w:trPr>
          <w:cantSplit/>
        </w:trPr>
        <w:tc>
          <w:tcPr>
            <w:tcW w:w="2410"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5. Debrief</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10 min</w:t>
            </w:r>
          </w:p>
        </w:tc>
        <w:tc>
          <w:tcPr>
            <w:tcW w:w="3566"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Record how much certainty changes in students; link to research.</w:t>
            </w:r>
          </w:p>
        </w:tc>
        <w:tc>
          <w:tcPr>
            <w:tcW w:w="1928"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Discussion</w:t>
            </w:r>
          </w:p>
        </w:tc>
        <w:tc>
          <w:tcPr>
            <w:tcW w:w="867" w:type="dxa"/>
            <w:tcBorders>
              <w:top w:val="none" w:sz="0" w:space="0" w:color="FFFFFF"/>
              <w:left w:val="none" w:sz="0" w:space="0" w:color="FFFFFF"/>
              <w:bottom w:val="none" w:sz="0" w:space="0" w:color="FFFFFF"/>
              <w:right w:val="none" w:sz="0" w:space="0" w:color="FFFFFF"/>
            </w:tcBorders>
            <w:tcMar>
              <w:top w:w="60" w:type="dxa"/>
              <w:left w:w="0" w:type="dxa"/>
              <w:bottom w:w="60" w:type="dxa"/>
              <w:right w:w="140" w:type="dxa"/>
            </w:tcMar>
          </w:tcPr>
          <w:p w:rsidR="00FA11EC" w:rsidRDefault="00000000">
            <w:r>
              <w:t>1, 2</w:t>
            </w:r>
          </w:p>
        </w:tc>
      </w:tr>
      <w:tr w:rsidR="00FA11EC">
        <w:tblPrEx>
          <w:tblCellMar>
            <w:top w:w="0" w:type="dxa"/>
            <w:bottom w:w="0" w:type="dxa"/>
          </w:tblCellMar>
        </w:tblPrEx>
        <w:trPr>
          <w:cantSplit/>
        </w:trPr>
        <w:tc>
          <w:tcPr>
            <w:tcW w:w="2410"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6. Exit ticket</w:t>
            </w:r>
          </w:p>
        </w:tc>
        <w:tc>
          <w:tcPr>
            <w:tcW w:w="867"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6 min</w:t>
            </w:r>
          </w:p>
        </w:tc>
        <w:tc>
          <w:tcPr>
            <w:tcW w:w="3566"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Write a “challenge me” prompt; one point your partner changed.</w:t>
            </w:r>
          </w:p>
        </w:tc>
        <w:tc>
          <w:tcPr>
            <w:tcW w:w="1928"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Production</w:t>
            </w:r>
          </w:p>
        </w:tc>
        <w:tc>
          <w:tcPr>
            <w:tcW w:w="867" w:type="dxa"/>
            <w:tcBorders>
              <w:top w:val="none" w:sz="0" w:space="0" w:color="FFFFFF"/>
              <w:left w:val="none" w:sz="0" w:space="0" w:color="FFFFFF"/>
              <w:bottom w:val="single" w:sz="8" w:space="0" w:color="1A1A1A"/>
              <w:right w:val="none" w:sz="0" w:space="0" w:color="FFFFFF"/>
            </w:tcBorders>
            <w:tcMar>
              <w:top w:w="60" w:type="dxa"/>
              <w:left w:w="0" w:type="dxa"/>
              <w:bottom w:w="60" w:type="dxa"/>
              <w:right w:w="140" w:type="dxa"/>
            </w:tcMar>
          </w:tcPr>
          <w:p w:rsidR="00FA11EC" w:rsidRDefault="00000000">
            <w:r>
              <w:t>5</w:t>
            </w:r>
          </w:p>
        </w:tc>
      </w:tr>
    </w:tbl>
    <w:p w:rsidR="00FA11EC" w:rsidRDefault="00000000">
      <w:pPr>
        <w:keepNext/>
        <w:spacing w:before="140" w:after="60"/>
      </w:pPr>
      <w:r>
        <w:rPr>
          <w:color w:val="1F3A5F"/>
        </w:rPr>
        <w:t>Instructor notes</w:t>
      </w:r>
    </w:p>
    <w:p w:rsidR="00FA11EC" w:rsidRDefault="00000000">
      <w:pPr>
        <w:pStyle w:val="ListParagraph"/>
        <w:numPr>
          <w:ilvl w:val="0"/>
          <w:numId w:val="5"/>
        </w:numPr>
        <w:spacing w:after="40"/>
      </w:pPr>
      <w:r>
        <w:rPr>
          <w:color w:val="1F3A5F"/>
        </w:rPr>
        <w:t>Introduction.</w:t>
      </w:r>
      <w:r>
        <w:t xml:space="preserve"> Ask: “Who has asked an AI whether they were right in an argument?” Share: in Reddit disputes where people judged the poster wrong, AI sided with the poster 51% of the time, while humans sided with them 0% of the time (Cheng et al. 2026). Define sycophancy and explain the activity.</w:t>
      </w:r>
    </w:p>
    <w:p w:rsidR="00FA11EC" w:rsidRDefault="00000000">
      <w:pPr>
        <w:pStyle w:val="ListParagraph"/>
        <w:numPr>
          <w:ilvl w:val="0"/>
          <w:numId w:val="5"/>
        </w:numPr>
        <w:spacing w:after="40"/>
      </w:pPr>
      <w:r>
        <w:rPr>
          <w:color w:val="1F3A5F"/>
        </w:rPr>
        <w:t>Take sides.</w:t>
      </w:r>
      <w:r>
        <w:t xml:space="preserve"> Pair students and give each pair one contested, low-stakes question, such as “Should lectures be recorded?”, “Should exams be open-book?” or “Is studying in groups better than studying alone?” Assign opposite sides. Wherever they like (paper, a notebook or their laptop), each student rates from 0 to 10 how certain they are of their side and how reasonable the other side seems.</w:t>
      </w:r>
    </w:p>
    <w:p w:rsidR="00FA11EC" w:rsidRDefault="00000000">
      <w:pPr>
        <w:pStyle w:val="ListParagraph"/>
        <w:numPr>
          <w:ilvl w:val="0"/>
          <w:numId w:val="5"/>
        </w:numPr>
        <w:spacing w:after="40"/>
      </w:pPr>
      <w:r>
        <w:rPr>
          <w:color w:val="1F3A5F"/>
        </w:rPr>
        <w:t xml:space="preserve">Private AI </w:t>
      </w:r>
      <w:r w:rsidR="004E4CEB">
        <w:rPr>
          <w:color w:val="1F3A5F"/>
        </w:rPr>
        <w:t>usage</w:t>
      </w:r>
      <w:r>
        <w:rPr>
          <w:color w:val="1F3A5F"/>
        </w:rPr>
        <w:t>.</w:t>
      </w:r>
      <w:r>
        <w:t xml:space="preserve"> Partners work separately. Each asks an AI to help them make the case for their side</w:t>
      </w:r>
      <w:r w:rsidR="00856BF4">
        <w:t>. Instruct students to push back if the AI disagrees</w:t>
      </w:r>
      <w:r>
        <w:t>. Use the AI’s default settings with no special prompt. Students note each AI reply as “agreed” or “pushed back”, then give both ratings again.</w:t>
      </w:r>
    </w:p>
    <w:p w:rsidR="00FA11EC" w:rsidRDefault="005E0DBE">
      <w:pPr>
        <w:pStyle w:val="ListParagraph"/>
        <w:numPr>
          <w:ilvl w:val="0"/>
          <w:numId w:val="5"/>
        </w:numPr>
        <w:spacing w:after="40"/>
      </w:pPr>
      <w:r>
        <w:rPr>
          <w:color w:val="1F3A5F"/>
        </w:rPr>
        <w:t>Shared</w:t>
      </w:r>
      <w:r w:rsidR="00000000">
        <w:rPr>
          <w:color w:val="1F3A5F"/>
        </w:rPr>
        <w:t xml:space="preserve"> answer.</w:t>
      </w:r>
      <w:r w:rsidR="00000000">
        <w:t xml:space="preserve"> Partners meet and must agree on one position. They write two or three sentences that name the strongest point from each side, then each rates their certainty a third time.</w:t>
      </w:r>
    </w:p>
    <w:p w:rsidR="00FA11EC" w:rsidRDefault="00000000">
      <w:pPr>
        <w:pStyle w:val="ListParagraph"/>
        <w:numPr>
          <w:ilvl w:val="0"/>
          <w:numId w:val="5"/>
        </w:numPr>
        <w:spacing w:after="40"/>
      </w:pPr>
      <w:r>
        <w:rPr>
          <w:color w:val="1F3A5F"/>
        </w:rPr>
        <w:t>Debrief.</w:t>
      </w:r>
      <w:r>
        <w:t xml:space="preserve"> Students compare their ratings: did certainty go up after the AI and down after talking with their partner? Did the other side seem </w:t>
      </w:r>
      <w:r w:rsidR="00ED6BF0">
        <w:t xml:space="preserve">more or </w:t>
      </w:r>
      <w:r>
        <w:t>less reasonable after AI usage? Tally answers on the board. Research predicts certainty rises after an agreeable AI and certainty lowers after disagreement (</w:t>
      </w:r>
      <w:proofErr w:type="spellStart"/>
      <w:r>
        <w:t>Rathje</w:t>
      </w:r>
      <w:proofErr w:type="spellEnd"/>
      <w:r>
        <w:t xml:space="preserve"> et al. 2025). Ask: “Did the AI ever push back? How did talking to your partner feel compared with the AI?” Close with the evidence on repairing conflicts: after people discussed a real conflict with an AI that took their side, only 50% admitted fault or </w:t>
      </w:r>
      <w:proofErr w:type="spellStart"/>
      <w:r>
        <w:t>apologised</w:t>
      </w:r>
      <w:proofErr w:type="spellEnd"/>
      <w:r>
        <w:t xml:space="preserve"> in a follow-up letter to the other person, compared with 75% after an AI that did not simply agree (Cheng et al. 2026). Then mention risks to mental health.</w:t>
      </w:r>
    </w:p>
    <w:p w:rsidR="00FA11EC" w:rsidRDefault="00000000">
      <w:pPr>
        <w:pStyle w:val="ListParagraph"/>
        <w:numPr>
          <w:ilvl w:val="0"/>
          <w:numId w:val="5"/>
        </w:numPr>
        <w:spacing w:after="40"/>
      </w:pPr>
      <w:r>
        <w:rPr>
          <w:color w:val="1F3A5F"/>
        </w:rPr>
        <w:t>Exit ticket (ungraded).</w:t>
      </w:r>
      <w:r>
        <w:t xml:space="preserve"> Students write (a) one prompt that makes an AI argue against their view, and (b) one point their partner made that shifted their thinking.</w:t>
      </w:r>
    </w:p>
    <w:p w:rsidR="00FA11EC" w:rsidRDefault="00000000">
      <w:pPr>
        <w:keepNext/>
        <w:spacing w:before="260" w:after="90"/>
      </w:pPr>
      <w:r>
        <w:rPr>
          <w:b/>
          <w:bCs/>
          <w:color w:val="1F3A5F"/>
          <w:sz w:val="23"/>
          <w:szCs w:val="23"/>
        </w:rPr>
        <w:lastRenderedPageBreak/>
        <w:t>References</w:t>
      </w:r>
    </w:p>
    <w:p w:rsidR="00FA11EC" w:rsidRDefault="00000000">
      <w:pPr>
        <w:spacing w:after="60"/>
        <w:ind w:left="454" w:hanging="454"/>
      </w:pPr>
      <w:r>
        <w:t xml:space="preserve">Cheng, Myra, </w:t>
      </w:r>
      <w:proofErr w:type="spellStart"/>
      <w:r>
        <w:t>Cinoo</w:t>
      </w:r>
      <w:proofErr w:type="spellEnd"/>
      <w:r>
        <w:t xml:space="preserve"> Lee, Pranav </w:t>
      </w:r>
      <w:proofErr w:type="spellStart"/>
      <w:r>
        <w:t>Khadpe</w:t>
      </w:r>
      <w:proofErr w:type="spellEnd"/>
      <w:r>
        <w:t xml:space="preserve">, Sunny Yu, </w:t>
      </w:r>
      <w:proofErr w:type="spellStart"/>
      <w:r>
        <w:t>Dyllan</w:t>
      </w:r>
      <w:proofErr w:type="spellEnd"/>
      <w:r>
        <w:t xml:space="preserve"> Han, and Dan </w:t>
      </w:r>
      <w:proofErr w:type="spellStart"/>
      <w:r>
        <w:t>Jurafsky</w:t>
      </w:r>
      <w:proofErr w:type="spellEnd"/>
      <w:r>
        <w:t xml:space="preserve">. 2026. “Sycophantic AI Decreases Prosocial Intentions and Promotes Dependence.” </w:t>
      </w:r>
      <w:r>
        <w:rPr>
          <w:i/>
          <w:iCs/>
        </w:rPr>
        <w:t>Science</w:t>
      </w:r>
      <w:r>
        <w:t xml:space="preserve"> 391 (6792): eaec8352. https://doi.org/10.1126/science.aec8352.</w:t>
      </w:r>
    </w:p>
    <w:p w:rsidR="00FA11EC" w:rsidRDefault="00000000">
      <w:pPr>
        <w:spacing w:after="60"/>
        <w:ind w:left="454" w:hanging="454"/>
      </w:pPr>
      <w:r>
        <w:t xml:space="preserve">Hong, </w:t>
      </w:r>
      <w:proofErr w:type="spellStart"/>
      <w:r>
        <w:t>Jiseung</w:t>
      </w:r>
      <w:proofErr w:type="spellEnd"/>
      <w:r>
        <w:t xml:space="preserve">, Grace Byun, </w:t>
      </w:r>
      <w:proofErr w:type="spellStart"/>
      <w:r>
        <w:t>Seungone</w:t>
      </w:r>
      <w:proofErr w:type="spellEnd"/>
      <w:r>
        <w:t xml:space="preserve"> Kim, and Kai Shu. 2025. “Measuring Sycophancy of Language Models in Multi-turn Dialogues.” In </w:t>
      </w:r>
      <w:r>
        <w:rPr>
          <w:i/>
          <w:iCs/>
        </w:rPr>
        <w:t>Findings of the Association for Computational Linguistics: EMNLP 2025</w:t>
      </w:r>
      <w:r>
        <w:t>, 2239–59. https://aclanthology.org/2025.findings-emnlp.121.</w:t>
      </w:r>
    </w:p>
    <w:p w:rsidR="00FA11EC" w:rsidRDefault="00000000">
      <w:pPr>
        <w:spacing w:after="60"/>
        <w:ind w:left="454" w:hanging="454"/>
      </w:pPr>
      <w:r>
        <w:t xml:space="preserve">Ibrahim, </w:t>
      </w:r>
      <w:proofErr w:type="spellStart"/>
      <w:r>
        <w:t>Lujain</w:t>
      </w:r>
      <w:proofErr w:type="spellEnd"/>
      <w:r>
        <w:t xml:space="preserve">, Franziska Sofia Hafner, Myra Cheng, </w:t>
      </w:r>
      <w:proofErr w:type="spellStart"/>
      <w:r>
        <w:t>Cinoo</w:t>
      </w:r>
      <w:proofErr w:type="spellEnd"/>
      <w:r>
        <w:t xml:space="preserve"> Lee, Rebecca </w:t>
      </w:r>
      <w:proofErr w:type="spellStart"/>
      <w:r>
        <w:t>Anselmetti</w:t>
      </w:r>
      <w:proofErr w:type="spellEnd"/>
      <w:r>
        <w:t xml:space="preserve">, Robb Willer, Luc Rocher, and </w:t>
      </w:r>
      <w:proofErr w:type="spellStart"/>
      <w:r>
        <w:t>Diyi</w:t>
      </w:r>
      <w:proofErr w:type="spellEnd"/>
      <w:r>
        <w:t xml:space="preserve"> Yang. 2026. “Sycophantic AI Makes Human Interaction Feel More Effortful and Less Satisfying over Time.” arXiv:2605.07912. https://arxiv.org/abs/2605.07912.</w:t>
      </w:r>
    </w:p>
    <w:p w:rsidR="00FA11EC" w:rsidRDefault="00000000">
      <w:pPr>
        <w:spacing w:after="60"/>
        <w:ind w:left="454" w:hanging="454"/>
      </w:pPr>
      <w:proofErr w:type="spellStart"/>
      <w:r>
        <w:t>Morrin</w:t>
      </w:r>
      <w:proofErr w:type="spellEnd"/>
      <w:r>
        <w:t xml:space="preserve">, Hamilton, L. Nicholls, M. Levin, J. </w:t>
      </w:r>
      <w:proofErr w:type="spellStart"/>
      <w:r>
        <w:t>Yiend</w:t>
      </w:r>
      <w:proofErr w:type="spellEnd"/>
      <w:r>
        <w:t xml:space="preserve">, U. Iyengar, F. </w:t>
      </w:r>
      <w:proofErr w:type="spellStart"/>
      <w:r>
        <w:t>DelGuidice</w:t>
      </w:r>
      <w:proofErr w:type="spellEnd"/>
      <w:r>
        <w:t xml:space="preserve">, S. Bhattacharya, et al. 2026. “Delusions by Design? How Everyday AIs Might Be </w:t>
      </w:r>
      <w:proofErr w:type="spellStart"/>
      <w:r>
        <w:t>Fuelling</w:t>
      </w:r>
      <w:proofErr w:type="spellEnd"/>
      <w:r>
        <w:t xml:space="preserve"> Psychosis (and What Can Be Done about It).” </w:t>
      </w:r>
      <w:r>
        <w:rPr>
          <w:i/>
          <w:iCs/>
        </w:rPr>
        <w:t>European Psychiatry</w:t>
      </w:r>
      <w:r>
        <w:t xml:space="preserve"> (Suppl. 1): S113. https://doi.org/10.1192/j.eurpsy.2026.10633.</w:t>
      </w:r>
    </w:p>
    <w:p w:rsidR="00FA11EC" w:rsidRDefault="00000000">
      <w:pPr>
        <w:spacing w:after="60"/>
        <w:ind w:left="454" w:hanging="454"/>
      </w:pPr>
      <w:proofErr w:type="spellStart"/>
      <w:r>
        <w:t>Østergaard</w:t>
      </w:r>
      <w:proofErr w:type="spellEnd"/>
      <w:r>
        <w:t xml:space="preserve">, </w:t>
      </w:r>
      <w:proofErr w:type="spellStart"/>
      <w:r>
        <w:t>Søren</w:t>
      </w:r>
      <w:proofErr w:type="spellEnd"/>
      <w:r>
        <w:t xml:space="preserve"> Dinesen. 2025. “Generative Artificial Intelligence Chatbots and Delusions: From Guesswork to Emerging Cases.” </w:t>
      </w:r>
      <w:r>
        <w:rPr>
          <w:i/>
          <w:iCs/>
        </w:rPr>
        <w:t xml:space="preserve">Acta </w:t>
      </w:r>
      <w:proofErr w:type="spellStart"/>
      <w:r>
        <w:rPr>
          <w:i/>
          <w:iCs/>
        </w:rPr>
        <w:t>Psychiatrica</w:t>
      </w:r>
      <w:proofErr w:type="spellEnd"/>
      <w:r>
        <w:rPr>
          <w:i/>
          <w:iCs/>
        </w:rPr>
        <w:t xml:space="preserve"> Scandinavica</w:t>
      </w:r>
      <w:r>
        <w:t xml:space="preserve"> 152 (4): 257–59. https://doi.org/10.1111/acps.70022.</w:t>
      </w:r>
    </w:p>
    <w:p w:rsidR="00FA11EC" w:rsidRDefault="00000000">
      <w:pPr>
        <w:spacing w:after="60"/>
        <w:ind w:left="454" w:hanging="454"/>
      </w:pPr>
      <w:proofErr w:type="spellStart"/>
      <w:r>
        <w:t>Rathje</w:t>
      </w:r>
      <w:proofErr w:type="spellEnd"/>
      <w:r>
        <w:t xml:space="preserve">, Steve, </w:t>
      </w:r>
      <w:proofErr w:type="spellStart"/>
      <w:r>
        <w:t>Meiying</w:t>
      </w:r>
      <w:proofErr w:type="spellEnd"/>
      <w:r>
        <w:t xml:space="preserve"> Ye, Laura K. </w:t>
      </w:r>
      <w:proofErr w:type="spellStart"/>
      <w:r>
        <w:t>Globig</w:t>
      </w:r>
      <w:proofErr w:type="spellEnd"/>
      <w:r>
        <w:t xml:space="preserve">, </w:t>
      </w:r>
      <w:proofErr w:type="spellStart"/>
      <w:r>
        <w:t>Raunak</w:t>
      </w:r>
      <w:proofErr w:type="spellEnd"/>
      <w:r>
        <w:t xml:space="preserve"> M. Pillai, Victoria </w:t>
      </w:r>
      <w:proofErr w:type="spellStart"/>
      <w:r>
        <w:t>Oldemburgo</w:t>
      </w:r>
      <w:proofErr w:type="spellEnd"/>
      <w:r>
        <w:t xml:space="preserve"> de Mello, and Jay J. </w:t>
      </w:r>
      <w:proofErr w:type="gramStart"/>
      <w:r>
        <w:t>Van</w:t>
      </w:r>
      <w:proofErr w:type="gramEnd"/>
      <w:r>
        <w:t xml:space="preserve"> </w:t>
      </w:r>
      <w:proofErr w:type="spellStart"/>
      <w:r>
        <w:t>Bavel</w:t>
      </w:r>
      <w:proofErr w:type="spellEnd"/>
      <w:r>
        <w:t xml:space="preserve">. 2025. “Sycophantic AI Increases Attitude Extremity and Overconfidence.” </w:t>
      </w:r>
      <w:proofErr w:type="spellStart"/>
      <w:r>
        <w:t>PsyArXiv</w:t>
      </w:r>
      <w:proofErr w:type="spellEnd"/>
      <w:r>
        <w:t>. https://doi.org/10.31234/osf.io/vmyek_v1.</w:t>
      </w:r>
    </w:p>
    <w:p w:rsidR="00FA11EC" w:rsidRDefault="00000000">
      <w:pPr>
        <w:spacing w:after="60"/>
        <w:ind w:left="454" w:hanging="454"/>
      </w:pPr>
      <w:r>
        <w:t xml:space="preserve">Sharma, </w:t>
      </w:r>
      <w:proofErr w:type="spellStart"/>
      <w:r>
        <w:t>Mrinank</w:t>
      </w:r>
      <w:proofErr w:type="spellEnd"/>
      <w:r>
        <w:t xml:space="preserve">, Meg Tong, Tomasz </w:t>
      </w:r>
      <w:proofErr w:type="spellStart"/>
      <w:r>
        <w:t>Korbak</w:t>
      </w:r>
      <w:proofErr w:type="spellEnd"/>
      <w:r>
        <w:t xml:space="preserve">, et al. 2024. “Towards Understanding Sycophancy in Language Models.” In </w:t>
      </w:r>
      <w:r>
        <w:rPr>
          <w:i/>
          <w:iCs/>
        </w:rPr>
        <w:t>Proceedings of the International Conference on Learning Representations (ICLR 2024)</w:t>
      </w:r>
      <w:r>
        <w:t>.</w:t>
      </w:r>
    </w:p>
    <w:p w:rsidR="00FA11EC" w:rsidRDefault="00000000">
      <w:pPr>
        <w:spacing w:after="60"/>
        <w:ind w:left="454" w:hanging="454"/>
      </w:pPr>
      <w:r>
        <w:t xml:space="preserve">University College London. n.d. </w:t>
      </w:r>
      <w:r>
        <w:rPr>
          <w:i/>
          <w:iCs/>
        </w:rPr>
        <w:t>ABC Learning Design Toolkit</w:t>
      </w:r>
      <w:r>
        <w:t>. London: UCL.</w:t>
      </w:r>
    </w:p>
    <w:p w:rsidR="00FA11EC" w:rsidRDefault="00000000">
      <w:pPr>
        <w:spacing w:after="60"/>
        <w:ind w:left="454" w:hanging="454"/>
      </w:pPr>
      <w:r>
        <w:t>University of Edinburgh. n.d. “Edinburgh Learning Design Roadmap (</w:t>
      </w:r>
      <w:proofErr w:type="spellStart"/>
      <w:r>
        <w:t>ELDeR</w:t>
      </w:r>
      <w:proofErr w:type="spellEnd"/>
      <w:r>
        <w:t xml:space="preserve">).” </w:t>
      </w:r>
      <w:proofErr w:type="spellStart"/>
      <w:r>
        <w:t>Open.Ed</w:t>
      </w:r>
      <w:proofErr w:type="spellEnd"/>
      <w:r>
        <w:t>. https://open.ed.ac.uk/elder-edinburgh-learning-design-roadmap/.</w:t>
      </w:r>
    </w:p>
    <w:sectPr w:rsidR="00FA11EC">
      <w:footerReference w:type="default" r:id="rId7"/>
      <w:pgSz w:w="11906" w:h="16838"/>
      <w:pgMar w:top="907" w:right="1134" w:bottom="907" w:left="1134" w:header="708"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4B6B" w:rsidRDefault="00444B6B">
      <w:pPr>
        <w:spacing w:line="240" w:lineRule="auto"/>
      </w:pPr>
      <w:r>
        <w:separator/>
      </w:r>
    </w:p>
  </w:endnote>
  <w:endnote w:type="continuationSeparator" w:id="0">
    <w:p w:rsidR="00444B6B" w:rsidRDefault="00444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erif 4">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11EC" w:rsidRDefault="00000000">
    <w:pPr>
      <w:jc w:val="center"/>
    </w:pPr>
    <w:r>
      <w:rPr>
        <w:color w:val="666666"/>
      </w:rPr>
      <w:fldChar w:fldCharType="begin"/>
    </w:r>
    <w:r>
      <w:rPr>
        <w:color w:val="666666"/>
      </w:rPr>
      <w:instrText>PAGE</w:instrText>
    </w:r>
    <w:r>
      <w:rPr>
        <w:color w:val="666666"/>
      </w:rPr>
      <w:fldChar w:fldCharType="separate"/>
    </w:r>
    <w:r w:rsidR="00F82186">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4B6B" w:rsidRDefault="00444B6B">
      <w:pPr>
        <w:spacing w:line="240" w:lineRule="auto"/>
      </w:pPr>
      <w:r>
        <w:separator/>
      </w:r>
    </w:p>
  </w:footnote>
  <w:footnote w:type="continuationSeparator" w:id="0">
    <w:p w:rsidR="00444B6B" w:rsidRDefault="00444B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46B1A"/>
    <w:multiLevelType w:val="hybridMultilevel"/>
    <w:tmpl w:val="02AA8902"/>
    <w:lvl w:ilvl="0" w:tplc="A516BDA0">
      <w:start w:val="1"/>
      <w:numFmt w:val="bullet"/>
      <w:lvlText w:val="●"/>
      <w:lvlJc w:val="left"/>
      <w:pPr>
        <w:ind w:left="720" w:hanging="360"/>
      </w:pPr>
    </w:lvl>
    <w:lvl w:ilvl="1" w:tplc="449ED6EA">
      <w:start w:val="1"/>
      <w:numFmt w:val="bullet"/>
      <w:lvlText w:val="○"/>
      <w:lvlJc w:val="left"/>
      <w:pPr>
        <w:ind w:left="1440" w:hanging="360"/>
      </w:pPr>
    </w:lvl>
    <w:lvl w:ilvl="2" w:tplc="70DE5D5C">
      <w:start w:val="1"/>
      <w:numFmt w:val="bullet"/>
      <w:lvlText w:val="■"/>
      <w:lvlJc w:val="left"/>
      <w:pPr>
        <w:ind w:left="2160" w:hanging="360"/>
      </w:pPr>
    </w:lvl>
    <w:lvl w:ilvl="3" w:tplc="2DE286E8">
      <w:start w:val="1"/>
      <w:numFmt w:val="bullet"/>
      <w:lvlText w:val="●"/>
      <w:lvlJc w:val="left"/>
      <w:pPr>
        <w:ind w:left="2880" w:hanging="360"/>
      </w:pPr>
    </w:lvl>
    <w:lvl w:ilvl="4" w:tplc="D6204A84">
      <w:start w:val="1"/>
      <w:numFmt w:val="bullet"/>
      <w:lvlText w:val="○"/>
      <w:lvlJc w:val="left"/>
      <w:pPr>
        <w:ind w:left="3600" w:hanging="360"/>
      </w:pPr>
    </w:lvl>
    <w:lvl w:ilvl="5" w:tplc="3948F28E">
      <w:start w:val="1"/>
      <w:numFmt w:val="bullet"/>
      <w:lvlText w:val="■"/>
      <w:lvlJc w:val="left"/>
      <w:pPr>
        <w:ind w:left="4320" w:hanging="360"/>
      </w:pPr>
    </w:lvl>
    <w:lvl w:ilvl="6" w:tplc="E59ADAA2">
      <w:start w:val="1"/>
      <w:numFmt w:val="bullet"/>
      <w:lvlText w:val="●"/>
      <w:lvlJc w:val="left"/>
      <w:pPr>
        <w:ind w:left="5040" w:hanging="360"/>
      </w:pPr>
    </w:lvl>
    <w:lvl w:ilvl="7" w:tplc="163C7D9E">
      <w:start w:val="1"/>
      <w:numFmt w:val="bullet"/>
      <w:lvlText w:val="●"/>
      <w:lvlJc w:val="left"/>
      <w:pPr>
        <w:ind w:left="5760" w:hanging="360"/>
      </w:pPr>
    </w:lvl>
    <w:lvl w:ilvl="8" w:tplc="9958377E">
      <w:start w:val="1"/>
      <w:numFmt w:val="bullet"/>
      <w:lvlText w:val="●"/>
      <w:lvlJc w:val="left"/>
      <w:pPr>
        <w:ind w:left="6480" w:hanging="360"/>
      </w:pPr>
    </w:lvl>
  </w:abstractNum>
  <w:abstractNum w:abstractNumId="1" w15:restartNumberingAfterBreak="0">
    <w:nsid w:val="30CA7D26"/>
    <w:multiLevelType w:val="hybridMultilevel"/>
    <w:tmpl w:val="D1D8FC12"/>
    <w:lvl w:ilvl="0" w:tplc="D8025C54">
      <w:start w:val="1"/>
      <w:numFmt w:val="decimal"/>
      <w:lvlText w:val="%1."/>
      <w:lvlJc w:val="left"/>
      <w:pPr>
        <w:ind w:left="340" w:hanging="284"/>
      </w:pPr>
    </w:lvl>
    <w:lvl w:ilvl="1" w:tplc="676AEE26">
      <w:numFmt w:val="decimal"/>
      <w:lvlText w:val=""/>
      <w:lvlJc w:val="left"/>
    </w:lvl>
    <w:lvl w:ilvl="2" w:tplc="BE1E2858">
      <w:numFmt w:val="decimal"/>
      <w:lvlText w:val=""/>
      <w:lvlJc w:val="left"/>
    </w:lvl>
    <w:lvl w:ilvl="3" w:tplc="3C668A16">
      <w:numFmt w:val="decimal"/>
      <w:lvlText w:val=""/>
      <w:lvlJc w:val="left"/>
    </w:lvl>
    <w:lvl w:ilvl="4" w:tplc="F0466A4E">
      <w:numFmt w:val="decimal"/>
      <w:lvlText w:val=""/>
      <w:lvlJc w:val="left"/>
    </w:lvl>
    <w:lvl w:ilvl="5" w:tplc="A3F0E148">
      <w:numFmt w:val="decimal"/>
      <w:lvlText w:val=""/>
      <w:lvlJc w:val="left"/>
    </w:lvl>
    <w:lvl w:ilvl="6" w:tplc="3998C4DC">
      <w:numFmt w:val="decimal"/>
      <w:lvlText w:val=""/>
      <w:lvlJc w:val="left"/>
    </w:lvl>
    <w:lvl w:ilvl="7" w:tplc="E6C81056">
      <w:numFmt w:val="decimal"/>
      <w:lvlText w:val=""/>
      <w:lvlJc w:val="left"/>
    </w:lvl>
    <w:lvl w:ilvl="8" w:tplc="245C409A">
      <w:numFmt w:val="decimal"/>
      <w:lvlText w:val=""/>
      <w:lvlJc w:val="left"/>
    </w:lvl>
  </w:abstractNum>
  <w:abstractNum w:abstractNumId="2" w15:restartNumberingAfterBreak="0">
    <w:nsid w:val="31D86DD3"/>
    <w:multiLevelType w:val="hybridMultilevel"/>
    <w:tmpl w:val="256864A8"/>
    <w:lvl w:ilvl="0" w:tplc="21727C9C">
      <w:start w:val="1"/>
      <w:numFmt w:val="bullet"/>
      <w:lvlText w:val="•"/>
      <w:lvlJc w:val="left"/>
      <w:pPr>
        <w:ind w:left="284" w:hanging="227"/>
      </w:pPr>
    </w:lvl>
    <w:lvl w:ilvl="1" w:tplc="007E569C">
      <w:numFmt w:val="decimal"/>
      <w:lvlText w:val=""/>
      <w:lvlJc w:val="left"/>
    </w:lvl>
    <w:lvl w:ilvl="2" w:tplc="244E4D64">
      <w:numFmt w:val="decimal"/>
      <w:lvlText w:val=""/>
      <w:lvlJc w:val="left"/>
    </w:lvl>
    <w:lvl w:ilvl="3" w:tplc="68761632">
      <w:numFmt w:val="decimal"/>
      <w:lvlText w:val=""/>
      <w:lvlJc w:val="left"/>
    </w:lvl>
    <w:lvl w:ilvl="4" w:tplc="BD68E2AE">
      <w:numFmt w:val="decimal"/>
      <w:lvlText w:val=""/>
      <w:lvlJc w:val="left"/>
    </w:lvl>
    <w:lvl w:ilvl="5" w:tplc="AFEA26F0">
      <w:numFmt w:val="decimal"/>
      <w:lvlText w:val=""/>
      <w:lvlJc w:val="left"/>
    </w:lvl>
    <w:lvl w:ilvl="6" w:tplc="1818AF3C">
      <w:numFmt w:val="decimal"/>
      <w:lvlText w:val=""/>
      <w:lvlJc w:val="left"/>
    </w:lvl>
    <w:lvl w:ilvl="7" w:tplc="40685CDE">
      <w:numFmt w:val="decimal"/>
      <w:lvlText w:val=""/>
      <w:lvlJc w:val="left"/>
    </w:lvl>
    <w:lvl w:ilvl="8" w:tplc="212008DE">
      <w:numFmt w:val="decimal"/>
      <w:lvlText w:val=""/>
      <w:lvlJc w:val="left"/>
    </w:lvl>
  </w:abstractNum>
  <w:abstractNum w:abstractNumId="3" w15:restartNumberingAfterBreak="0">
    <w:nsid w:val="5DF65FC9"/>
    <w:multiLevelType w:val="hybridMultilevel"/>
    <w:tmpl w:val="C29C8B22"/>
    <w:lvl w:ilvl="0" w:tplc="FF8649AC">
      <w:start w:val="1"/>
      <w:numFmt w:val="bullet"/>
      <w:lvlText w:val="•"/>
      <w:lvlJc w:val="left"/>
      <w:pPr>
        <w:ind w:left="340" w:hanging="284"/>
      </w:pPr>
    </w:lvl>
    <w:lvl w:ilvl="1" w:tplc="A9387778">
      <w:numFmt w:val="decimal"/>
      <w:lvlText w:val=""/>
      <w:lvlJc w:val="left"/>
    </w:lvl>
    <w:lvl w:ilvl="2" w:tplc="DB0C1ABA">
      <w:numFmt w:val="decimal"/>
      <w:lvlText w:val=""/>
      <w:lvlJc w:val="left"/>
    </w:lvl>
    <w:lvl w:ilvl="3" w:tplc="DB606A80">
      <w:numFmt w:val="decimal"/>
      <w:lvlText w:val=""/>
      <w:lvlJc w:val="left"/>
    </w:lvl>
    <w:lvl w:ilvl="4" w:tplc="242AE248">
      <w:numFmt w:val="decimal"/>
      <w:lvlText w:val=""/>
      <w:lvlJc w:val="left"/>
    </w:lvl>
    <w:lvl w:ilvl="5" w:tplc="A386BB52">
      <w:numFmt w:val="decimal"/>
      <w:lvlText w:val=""/>
      <w:lvlJc w:val="left"/>
    </w:lvl>
    <w:lvl w:ilvl="6" w:tplc="C1D20822">
      <w:numFmt w:val="decimal"/>
      <w:lvlText w:val=""/>
      <w:lvlJc w:val="left"/>
    </w:lvl>
    <w:lvl w:ilvl="7" w:tplc="578632E6">
      <w:numFmt w:val="decimal"/>
      <w:lvlText w:val=""/>
      <w:lvlJc w:val="left"/>
    </w:lvl>
    <w:lvl w:ilvl="8" w:tplc="2D2EB806">
      <w:numFmt w:val="decimal"/>
      <w:lvlText w:val=""/>
      <w:lvlJc w:val="left"/>
    </w:lvl>
  </w:abstractNum>
  <w:abstractNum w:abstractNumId="4" w15:restartNumberingAfterBreak="0">
    <w:nsid w:val="78C27EBC"/>
    <w:multiLevelType w:val="hybridMultilevel"/>
    <w:tmpl w:val="66FC6CEE"/>
    <w:lvl w:ilvl="0" w:tplc="555E6938">
      <w:start w:val="1"/>
      <w:numFmt w:val="decimal"/>
      <w:lvlText w:val="%1."/>
      <w:lvlJc w:val="left"/>
      <w:pPr>
        <w:ind w:left="340" w:hanging="284"/>
      </w:pPr>
    </w:lvl>
    <w:lvl w:ilvl="1" w:tplc="E0301EB4">
      <w:numFmt w:val="decimal"/>
      <w:lvlText w:val=""/>
      <w:lvlJc w:val="left"/>
    </w:lvl>
    <w:lvl w:ilvl="2" w:tplc="45E0F2F0">
      <w:numFmt w:val="decimal"/>
      <w:lvlText w:val=""/>
      <w:lvlJc w:val="left"/>
    </w:lvl>
    <w:lvl w:ilvl="3" w:tplc="71B46372">
      <w:numFmt w:val="decimal"/>
      <w:lvlText w:val=""/>
      <w:lvlJc w:val="left"/>
    </w:lvl>
    <w:lvl w:ilvl="4" w:tplc="7F5A1D44">
      <w:numFmt w:val="decimal"/>
      <w:lvlText w:val=""/>
      <w:lvlJc w:val="left"/>
    </w:lvl>
    <w:lvl w:ilvl="5" w:tplc="2D86F5CE">
      <w:numFmt w:val="decimal"/>
      <w:lvlText w:val=""/>
      <w:lvlJc w:val="left"/>
    </w:lvl>
    <w:lvl w:ilvl="6" w:tplc="781A0E0E">
      <w:numFmt w:val="decimal"/>
      <w:lvlText w:val=""/>
      <w:lvlJc w:val="left"/>
    </w:lvl>
    <w:lvl w:ilvl="7" w:tplc="6A9C45A8">
      <w:numFmt w:val="decimal"/>
      <w:lvlText w:val=""/>
      <w:lvlJc w:val="left"/>
    </w:lvl>
    <w:lvl w:ilvl="8" w:tplc="CB6208F8">
      <w:numFmt w:val="decimal"/>
      <w:lvlText w:val=""/>
      <w:lvlJc w:val="left"/>
    </w:lvl>
  </w:abstractNum>
  <w:num w:numId="1" w16cid:durableId="481432830">
    <w:abstractNumId w:val="0"/>
    <w:lvlOverride w:ilvl="0">
      <w:startOverride w:val="1"/>
    </w:lvlOverride>
  </w:num>
  <w:num w:numId="2" w16cid:durableId="326175000">
    <w:abstractNumId w:val="2"/>
    <w:lvlOverride w:ilvl="0">
      <w:startOverride w:val="1"/>
    </w:lvlOverride>
  </w:num>
  <w:num w:numId="3" w16cid:durableId="692682137">
    <w:abstractNumId w:val="1"/>
    <w:lvlOverride w:ilvl="0">
      <w:startOverride w:val="1"/>
    </w:lvlOverride>
  </w:num>
  <w:num w:numId="4" w16cid:durableId="1163545443">
    <w:abstractNumId w:val="3"/>
    <w:lvlOverride w:ilvl="0">
      <w:startOverride w:val="1"/>
    </w:lvlOverride>
  </w:num>
  <w:num w:numId="5" w16cid:durableId="58735324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1EC"/>
    <w:rsid w:val="00444B6B"/>
    <w:rsid w:val="004E4CEB"/>
    <w:rsid w:val="005E0DBE"/>
    <w:rsid w:val="00796902"/>
    <w:rsid w:val="00856BF4"/>
    <w:rsid w:val="00ED6BF0"/>
    <w:rsid w:val="00F82186"/>
    <w:rsid w:val="00FA11EC"/>
    <w:rsid w:val="00FB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6FB0B8"/>
  <w15:docId w15:val="{EEA86480-B583-9D46-B9FB-00DBA834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Serif 4" w:eastAsia="Source Serif 4" w:hAnsi="Source Serif 4" w:cs="Source Serif 4"/>
        <w:color w:val="1A1A1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Sycophancy and Working with Others</dc:title>
  <dc:creator>Ben and Harper</dc:creator>
  <cp:lastModifiedBy>Dixon, Ben</cp:lastModifiedBy>
  <cp:revision>8</cp:revision>
  <dcterms:created xsi:type="dcterms:W3CDTF">2026-10-25T11:41:00Z</dcterms:created>
  <dcterms:modified xsi:type="dcterms:W3CDTF">2026-10-25T11:48:00Z</dcterms:modified>
</cp:coreProperties>
</file>