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Sujet de dissertation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b w:val="1"/>
          <w:sz w:val="20"/>
          <w:szCs w:val="20"/>
        </w:rPr>
      </w:pPr>
      <w:r w:rsidDel="00000000" w:rsidR="00000000" w:rsidRPr="00000000">
        <w:rPr>
          <w:b w:val="1"/>
          <w:sz w:val="20"/>
          <w:szCs w:val="20"/>
          <w:rtl w:val="0"/>
        </w:rPr>
        <w:t xml:space="preserve">Sylvain Tesson dans </w:t>
      </w:r>
      <w:r w:rsidDel="00000000" w:rsidR="00000000" w:rsidRPr="00000000">
        <w:rPr>
          <w:b w:val="1"/>
          <w:i w:val="1"/>
          <w:sz w:val="20"/>
          <w:szCs w:val="20"/>
          <w:rtl w:val="0"/>
        </w:rPr>
        <w:t xml:space="preserve">Un été avec Rimbaud</w:t>
      </w:r>
      <w:r w:rsidDel="00000000" w:rsidR="00000000" w:rsidRPr="00000000">
        <w:rPr>
          <w:b w:val="1"/>
          <w:sz w:val="20"/>
          <w:szCs w:val="20"/>
          <w:rtl w:val="0"/>
        </w:rPr>
        <w:t xml:space="preserve"> (2021) écrit : “Rimbaud est un barbare. Son but : détruire l’ordre classique et, sur les ruines du temple, bâtir du nouveau.”</w:t>
      </w:r>
    </w:p>
    <w:p w:rsidR="00000000" w:rsidDel="00000000" w:rsidP="00000000" w:rsidRDefault="00000000" w:rsidRPr="00000000" w14:paraId="00000004">
      <w:pPr>
        <w:jc w:val="both"/>
        <w:rPr>
          <w:b w:val="1"/>
          <w:sz w:val="20"/>
          <w:szCs w:val="20"/>
        </w:rPr>
      </w:pPr>
      <w:r w:rsidDel="00000000" w:rsidR="00000000" w:rsidRPr="00000000">
        <w:rPr>
          <w:b w:val="1"/>
          <w:sz w:val="20"/>
          <w:szCs w:val="20"/>
          <w:rtl w:val="0"/>
        </w:rPr>
        <w:t xml:space="preserve">Vous commenterez et discuterez cette citation à la lumière de votre lecture des Cahiers de Douai.</w:t>
      </w:r>
    </w:p>
    <w:p w:rsidR="00000000" w:rsidDel="00000000" w:rsidP="00000000" w:rsidRDefault="00000000" w:rsidRPr="00000000" w14:paraId="00000005">
      <w:pPr>
        <w:jc w:val="both"/>
        <w:rPr>
          <w:b w:val="1"/>
          <w:sz w:val="20"/>
          <w:szCs w:val="20"/>
          <w:u w:val="single"/>
        </w:rPr>
      </w:pPr>
      <w:r w:rsidDel="00000000" w:rsidR="00000000" w:rsidRPr="00000000">
        <w:rPr>
          <w:b w:val="1"/>
          <w:sz w:val="20"/>
          <w:szCs w:val="20"/>
          <w:u w:val="single"/>
          <w:rtl w:val="0"/>
        </w:rPr>
        <w:t xml:space="preserve">Problématique : </w:t>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Dans quelle mesure Arthur Rimbaud fait-il table rase de la poésie classique pour créer une poésie moderne dans les Cahiers de Douai?</w:t>
      </w:r>
    </w:p>
    <w:p w:rsidR="00000000" w:rsidDel="00000000" w:rsidP="00000000" w:rsidRDefault="00000000" w:rsidRPr="00000000" w14:paraId="00000007">
      <w:pPr>
        <w:jc w:val="both"/>
        <w:rPr>
          <w:sz w:val="20"/>
          <w:szCs w:val="20"/>
        </w:rPr>
      </w:pPr>
      <w:r w:rsidDel="00000000" w:rsidR="00000000" w:rsidRPr="00000000">
        <w:rPr>
          <w:b w:val="1"/>
          <w:sz w:val="20"/>
          <w:szCs w:val="20"/>
          <w:u w:val="single"/>
          <w:rtl w:val="0"/>
        </w:rPr>
        <w:t xml:space="preserve">Plan</w:t>
      </w:r>
      <w:r w:rsidDel="00000000" w:rsidR="00000000" w:rsidRPr="00000000">
        <w:rPr>
          <w:rtl w:val="0"/>
        </w:rPr>
      </w:r>
    </w:p>
    <w:p w:rsidR="00000000" w:rsidDel="00000000" w:rsidP="00000000" w:rsidRDefault="00000000" w:rsidRPr="00000000" w14:paraId="00000008">
      <w:pPr>
        <w:jc w:val="both"/>
        <w:rPr>
          <w:b w:val="1"/>
          <w:sz w:val="20"/>
          <w:szCs w:val="20"/>
          <w:u w:val="single"/>
        </w:rPr>
      </w:pPr>
      <w:r w:rsidDel="00000000" w:rsidR="00000000" w:rsidRPr="00000000">
        <w:rPr>
          <w:sz w:val="20"/>
          <w:szCs w:val="20"/>
          <w:rtl w:val="0"/>
        </w:rPr>
        <w:t xml:space="preserve">I -</w:t>
      </w:r>
      <w:r w:rsidDel="00000000" w:rsidR="00000000" w:rsidRPr="00000000">
        <w:rPr>
          <w:b w:val="1"/>
          <w:sz w:val="20"/>
          <w:szCs w:val="20"/>
          <w:u w:val="single"/>
          <w:rtl w:val="0"/>
        </w:rPr>
        <w:t xml:space="preserve"> Un recueil qui porte en lui les germes d’une poésie moderne</w:t>
      </w:r>
    </w:p>
    <w:p w:rsidR="00000000" w:rsidDel="00000000" w:rsidP="00000000" w:rsidRDefault="00000000" w:rsidRPr="00000000" w14:paraId="00000009">
      <w:pPr>
        <w:numPr>
          <w:ilvl w:val="0"/>
          <w:numId w:val="2"/>
        </w:numPr>
        <w:ind w:left="720" w:hanging="360"/>
        <w:jc w:val="both"/>
        <w:rPr>
          <w:sz w:val="20"/>
          <w:szCs w:val="20"/>
        </w:rPr>
      </w:pPr>
      <w:r w:rsidDel="00000000" w:rsidR="00000000" w:rsidRPr="00000000">
        <w:rPr>
          <w:sz w:val="20"/>
          <w:szCs w:val="20"/>
          <w:rtl w:val="0"/>
        </w:rPr>
        <w:t xml:space="preserve">Les Cahiers de Douai abordent, dans l’ensemble, des thèmes assez courants de la poésie traditionnelle, comme l’amour, la jeunesse ou l’errance. Mais certains poèmes abordent aussi des sujets plus inattendus et jouent avec les attentes du lecteur : sujets traités prosaïques dans “Le Buffet”, “La Maline ou “Au Cabaret-Vert” qui élèvent au rang de poésie des objets du quotidien et des scènes de genre banales de la vie de tous les jours.</w:t>
      </w:r>
    </w:p>
    <w:p w:rsidR="00000000" w:rsidDel="00000000" w:rsidP="00000000" w:rsidRDefault="00000000" w:rsidRPr="00000000" w14:paraId="0000000A">
      <w:pPr>
        <w:ind w:left="720" w:firstLine="0"/>
        <w:jc w:val="both"/>
        <w:rPr>
          <w:sz w:val="20"/>
          <w:szCs w:val="20"/>
        </w:rPr>
      </w:pPr>
      <w:r w:rsidDel="00000000" w:rsidR="00000000" w:rsidRPr="00000000">
        <w:rPr>
          <w:sz w:val="20"/>
          <w:szCs w:val="20"/>
          <w:rtl w:val="0"/>
        </w:rPr>
        <w:t xml:space="preserve">Joue aussi avec les attentes du lecteur et les références mythologiques dans “Vénus anadyomène”où il transforme avec ironie la naissance de la déesse de l’amour en la description d’une femme repoussante sortant de son bain.</w:t>
      </w:r>
    </w:p>
    <w:p w:rsidR="00000000" w:rsidDel="00000000" w:rsidP="00000000" w:rsidRDefault="00000000" w:rsidRPr="00000000" w14:paraId="0000000B">
      <w:pPr>
        <w:numPr>
          <w:ilvl w:val="0"/>
          <w:numId w:val="2"/>
        </w:numPr>
        <w:ind w:left="720" w:hanging="360"/>
        <w:jc w:val="both"/>
        <w:rPr>
          <w:sz w:val="20"/>
          <w:szCs w:val="20"/>
        </w:rPr>
      </w:pPr>
      <w:r w:rsidDel="00000000" w:rsidR="00000000" w:rsidRPr="00000000">
        <w:rPr>
          <w:sz w:val="20"/>
          <w:szCs w:val="20"/>
          <w:rtl w:val="0"/>
        </w:rPr>
        <w:t xml:space="preserve">Rimbaud prend quelques distances avec la forme poétique dite “traditionnelle”. Entorses à la tradition classique qui donnent un accent moderne à sa poésie : irrégularité formelle dans “Soleil et Chair” ou “Le Forgeron”, les règles de formes fixes sont assouplies, il multiplie les enjambements, rejets, contre-rejets, cela donne de la fluidité et de la modernité à la phrase poétique</w:t>
      </w:r>
    </w:p>
    <w:p w:rsidR="00000000" w:rsidDel="00000000" w:rsidP="00000000" w:rsidRDefault="00000000" w:rsidRPr="00000000" w14:paraId="0000000C">
      <w:pPr>
        <w:numPr>
          <w:ilvl w:val="0"/>
          <w:numId w:val="2"/>
        </w:numPr>
        <w:ind w:left="720" w:hanging="360"/>
        <w:jc w:val="both"/>
        <w:rPr>
          <w:sz w:val="20"/>
          <w:szCs w:val="20"/>
        </w:rPr>
      </w:pPr>
      <w:r w:rsidDel="00000000" w:rsidR="00000000" w:rsidRPr="00000000">
        <w:rPr>
          <w:sz w:val="20"/>
          <w:szCs w:val="20"/>
          <w:rtl w:val="0"/>
        </w:rPr>
        <w:t xml:space="preserve">Sur le plan du lexique, il se montre novateur dans certains poèmes : audaces lexicales surprenantes : termes prosaïques qui donnent lieu à une forme de poésie nouvelle entre lyrisme et trivialité, familiarités inhabituelles comme l’interjection “Oh ! là ! là !” (“Ma Bohême”), ou des fautes de langage  :adverbe ardennais (des Ardennes, de sa région) “malinement” au lieu de malignement et l’expression incorrecte “Une froid sur la joue” dans “La Maline”, ou des termes d’argot “Merde à ces chiens-là” (“Le Forgeron”)</w:t>
      </w:r>
    </w:p>
    <w:p w:rsidR="00000000" w:rsidDel="00000000" w:rsidP="00000000" w:rsidRDefault="00000000" w:rsidRPr="00000000" w14:paraId="0000000D">
      <w:pPr>
        <w:ind w:left="0" w:firstLine="0"/>
        <w:jc w:val="both"/>
        <w:rPr>
          <w:b w:val="1"/>
          <w:sz w:val="20"/>
          <w:szCs w:val="20"/>
          <w:u w:val="single"/>
        </w:rPr>
      </w:pPr>
      <w:r w:rsidDel="00000000" w:rsidR="00000000" w:rsidRPr="00000000">
        <w:rPr>
          <w:sz w:val="20"/>
          <w:szCs w:val="20"/>
          <w:rtl w:val="0"/>
        </w:rPr>
        <w:t xml:space="preserve">II - </w:t>
      </w:r>
      <w:r w:rsidDel="00000000" w:rsidR="00000000" w:rsidRPr="00000000">
        <w:rPr>
          <w:b w:val="1"/>
          <w:sz w:val="20"/>
          <w:szCs w:val="20"/>
          <w:u w:val="single"/>
          <w:rtl w:val="0"/>
        </w:rPr>
        <w:t xml:space="preserve">Un recueil qui ne renie pas pour autant la tradition poétique antérieure</w:t>
      </w:r>
    </w:p>
    <w:p w:rsidR="00000000" w:rsidDel="00000000" w:rsidP="00000000" w:rsidRDefault="00000000" w:rsidRPr="00000000" w14:paraId="0000000E">
      <w:pPr>
        <w:numPr>
          <w:ilvl w:val="0"/>
          <w:numId w:val="1"/>
        </w:numPr>
        <w:ind w:left="720" w:hanging="360"/>
        <w:jc w:val="both"/>
        <w:rPr>
          <w:sz w:val="20"/>
          <w:szCs w:val="20"/>
        </w:rPr>
      </w:pPr>
      <w:r w:rsidDel="00000000" w:rsidR="00000000" w:rsidRPr="00000000">
        <w:rPr>
          <w:sz w:val="20"/>
          <w:szCs w:val="20"/>
          <w:rtl w:val="0"/>
        </w:rPr>
        <w:t xml:space="preserve">Au moment où il rédige les Cahiers de Douai, il est encore un collégien. Sa poésie, nourrie de références classiques et romantiques apprises à l’école, en témoigne. Influence du courant romantique et de Victor Hugo comme dans “Le Dormeur du val” avec la mise en scène de la mort et la contemplation des beautés de la nature.</w:t>
      </w:r>
    </w:p>
    <w:p w:rsidR="00000000" w:rsidDel="00000000" w:rsidP="00000000" w:rsidRDefault="00000000" w:rsidRPr="00000000" w14:paraId="0000000F">
      <w:pPr>
        <w:ind w:left="720" w:firstLine="0"/>
        <w:jc w:val="both"/>
        <w:rPr>
          <w:sz w:val="20"/>
          <w:szCs w:val="20"/>
        </w:rPr>
      </w:pPr>
      <w:r w:rsidDel="00000000" w:rsidR="00000000" w:rsidRPr="00000000">
        <w:rPr>
          <w:sz w:val="20"/>
          <w:szCs w:val="20"/>
          <w:rtl w:val="0"/>
        </w:rPr>
        <w:t xml:space="preserve">D’autres poèmes évoquent l’éveil du sentiment amoureux comme “Sensation”, “Roman”, déjà abordé par Hugo dans “Vieille chanson du temps” (Les Contemplations). L’engagement politique et social cher aux romantiques est présent : peinture des enfants affamés dans “Effarés”, proche de descriptions des Misérables. Le poème satirique “L'Éclatante victoire de Sarrebrück” rappelle la critique virulente de Napoléon III dans Les Châtiments de Hugo.</w:t>
      </w:r>
    </w:p>
    <w:p w:rsidR="00000000" w:rsidDel="00000000" w:rsidP="00000000" w:rsidRDefault="00000000" w:rsidRPr="00000000" w14:paraId="00000010">
      <w:pPr>
        <w:numPr>
          <w:ilvl w:val="0"/>
          <w:numId w:val="1"/>
        </w:numPr>
        <w:ind w:left="720" w:hanging="360"/>
        <w:jc w:val="both"/>
        <w:rPr>
          <w:sz w:val="20"/>
          <w:szCs w:val="20"/>
        </w:rPr>
      </w:pPr>
      <w:r w:rsidDel="00000000" w:rsidR="00000000" w:rsidRPr="00000000">
        <w:rPr>
          <w:sz w:val="20"/>
          <w:szCs w:val="20"/>
          <w:rtl w:val="0"/>
        </w:rPr>
        <w:t xml:space="preserve">Sur le plan thématique, , la plupart des poèmes abordent des sujets typiques de la poésie traditionnelle lyrique : le thème de la nature et de ses beautés mis en valeur dans “Ma Bohême” ou “Soleil et Chair”, ou la peinture du sentiment amoureux comme dans “Roman”, “Les Reparties de Nina”.</w:t>
      </w:r>
    </w:p>
    <w:p w:rsidR="00000000" w:rsidDel="00000000" w:rsidP="00000000" w:rsidRDefault="00000000" w:rsidRPr="00000000" w14:paraId="00000011">
      <w:pPr>
        <w:numPr>
          <w:ilvl w:val="0"/>
          <w:numId w:val="1"/>
        </w:numPr>
        <w:ind w:left="720" w:hanging="360"/>
        <w:jc w:val="both"/>
        <w:rPr>
          <w:sz w:val="20"/>
          <w:szCs w:val="20"/>
        </w:rPr>
      </w:pPr>
      <w:r w:rsidDel="00000000" w:rsidR="00000000" w:rsidRPr="00000000">
        <w:rPr>
          <w:sz w:val="20"/>
          <w:szCs w:val="20"/>
          <w:rtl w:val="0"/>
        </w:rPr>
        <w:t xml:space="preserve">Goût marqué pour les régularités et les codes formels de la poésie traditionnelle : emploi écrasant du sonnet (forme héritée de la Renaissance) : 12 poèmes sur 22</w:t>
      </w:r>
    </w:p>
    <w:p w:rsidR="00000000" w:rsidDel="00000000" w:rsidP="00000000" w:rsidRDefault="00000000" w:rsidRPr="00000000" w14:paraId="00000012">
      <w:pPr>
        <w:ind w:left="720" w:firstLine="0"/>
        <w:jc w:val="both"/>
        <w:rPr>
          <w:sz w:val="20"/>
          <w:szCs w:val="20"/>
        </w:rPr>
      </w:pPr>
      <w:r w:rsidDel="00000000" w:rsidR="00000000" w:rsidRPr="00000000">
        <w:rPr>
          <w:sz w:val="20"/>
          <w:szCs w:val="20"/>
          <w:rtl w:val="0"/>
        </w:rPr>
        <w:t xml:space="preserve">Seules 2 poèmes échappent à la structuration en strophes (quatrains, tercets) : “Le Forgeron” et “Soleil et chair”.</w:t>
      </w:r>
    </w:p>
    <w:p w:rsidR="00000000" w:rsidDel="00000000" w:rsidP="00000000" w:rsidRDefault="00000000" w:rsidRPr="00000000" w14:paraId="00000013">
      <w:pPr>
        <w:ind w:left="720" w:firstLine="0"/>
        <w:jc w:val="both"/>
        <w:rPr>
          <w:sz w:val="20"/>
          <w:szCs w:val="20"/>
        </w:rPr>
      </w:pPr>
      <w:r w:rsidDel="00000000" w:rsidR="00000000" w:rsidRPr="00000000">
        <w:rPr>
          <w:sz w:val="20"/>
          <w:szCs w:val="20"/>
          <w:rtl w:val="0"/>
        </w:rPr>
        <w:t xml:space="preserve">Utilise aussi des effets de reprise au début et à la fin du texte, procédé inspiré de la poésie médiévale (ballade, rondeau); enfin sa poésie est uniquement versifiée. Alexandrin majoritaire, on trouve également d’autres vers classiques comme les octosyllabes (“Les Effarés”) et les hexasyllabes (“Rêvé pour l’hiver”).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