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B6AE" w14:textId="77777777" w:rsidR="00BF3F8F" w:rsidRPr="00BF3F8F" w:rsidRDefault="00BF3F8F" w:rsidP="00BF3F8F">
      <w:pPr>
        <w:spacing w:after="0" w:line="240" w:lineRule="auto"/>
        <w:jc w:val="both"/>
        <w:rPr>
          <w:rFonts w:ascii="Arial" w:eastAsia="Times New Roman" w:hAnsi="Arial" w:cs="Arial"/>
          <w:color w:val="000000" w:themeColor="text1"/>
          <w:sz w:val="28"/>
          <w:szCs w:val="28"/>
        </w:rPr>
      </w:pPr>
      <w:r w:rsidRPr="00BF3F8F">
        <w:rPr>
          <w:rFonts w:ascii="Arial" w:eastAsia="Times New Roman" w:hAnsi="Arial" w:cs="Arial"/>
          <w:color w:val="000000" w:themeColor="text1"/>
          <w:sz w:val="28"/>
          <w:szCs w:val="28"/>
        </w:rPr>
        <w:t>Comparing the effect of fasting and feeding on type 2 diabetes glucose tolerance in Nile rat plasma using discovery metabolomics </w:t>
      </w:r>
    </w:p>
    <w:p w14:paraId="2AE10176"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1501D3F3"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Authors</w:t>
      </w:r>
    </w:p>
    <w:p w14:paraId="022CE114"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Benton J. Anderson (1), Huishi Toh (2), Katherine A. Overmyer (3), Peng Jiang (4), James A. Thomson (2, 3), Joshua J. Coon (1, 3, 5)</w:t>
      </w:r>
    </w:p>
    <w:p w14:paraId="0EC380E7"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Affiliations</w:t>
      </w:r>
    </w:p>
    <w:p w14:paraId="7D34E014"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(1) University of Wisconsin-Madison Department of Chemistry (2) University of California, Santa Barbara (3) Morgridge Institute for Research (4) Cleveland State University (5) University of Wisconsin-Madison Department of Biomolecular Chemistry</w:t>
      </w:r>
    </w:p>
    <w:p w14:paraId="70855F04" w14:textId="77777777" w:rsidR="00BF3F8F" w:rsidRPr="00BF3F8F" w:rsidRDefault="00BF3F8F" w:rsidP="00BF3F8F">
      <w:pPr>
        <w:spacing w:before="400" w:after="120" w:line="240" w:lineRule="auto"/>
        <w:jc w:val="both"/>
        <w:outlineLvl w:val="0"/>
        <w:rPr>
          <w:rFonts w:ascii="Arial" w:eastAsia="Times New Roman" w:hAnsi="Arial" w:cs="Arial"/>
          <w:b/>
          <w:bCs/>
          <w:color w:val="000000" w:themeColor="text1"/>
          <w:kern w:val="36"/>
          <w:sz w:val="36"/>
          <w:szCs w:val="36"/>
        </w:rPr>
      </w:pPr>
      <w:r w:rsidRPr="00BF3F8F">
        <w:rPr>
          <w:rFonts w:ascii="Arial" w:eastAsia="Times New Roman" w:hAnsi="Arial" w:cs="Arial"/>
          <w:color w:val="000000" w:themeColor="text1"/>
          <w:kern w:val="36"/>
          <w:sz w:val="28"/>
          <w:szCs w:val="28"/>
        </w:rPr>
        <w:t>Abstract</w:t>
      </w:r>
    </w:p>
    <w:p w14:paraId="479B111E" w14:textId="77777777" w:rsidR="00BF3F8F" w:rsidRPr="00BF3F8F" w:rsidRDefault="00BF3F8F" w:rsidP="00BF3F8F">
      <w:pPr>
        <w:spacing w:after="0" w:line="240" w:lineRule="auto"/>
        <w:rPr>
          <w:rFonts w:ascii="Arial" w:eastAsia="Times New Roman" w:hAnsi="Arial" w:cs="Arial"/>
          <w:color w:val="000000" w:themeColor="text1"/>
          <w:sz w:val="18"/>
          <w:szCs w:val="18"/>
        </w:rPr>
      </w:pPr>
    </w:p>
    <w:p w14:paraId="22EC7EB2" w14:textId="77777777" w:rsidR="00BF3F8F" w:rsidRPr="00BF3F8F" w:rsidRDefault="00BF3F8F" w:rsidP="00BF3F8F">
      <w:pPr>
        <w:spacing w:before="400" w:after="120" w:line="240" w:lineRule="auto"/>
        <w:jc w:val="both"/>
        <w:outlineLvl w:val="0"/>
        <w:rPr>
          <w:rFonts w:ascii="Arial" w:eastAsia="Times New Roman" w:hAnsi="Arial" w:cs="Arial"/>
          <w:b/>
          <w:bCs/>
          <w:color w:val="000000" w:themeColor="text1"/>
          <w:kern w:val="36"/>
          <w:sz w:val="36"/>
          <w:szCs w:val="36"/>
        </w:rPr>
      </w:pPr>
      <w:r w:rsidRPr="00BF3F8F">
        <w:rPr>
          <w:rFonts w:ascii="Arial" w:eastAsia="Times New Roman" w:hAnsi="Arial" w:cs="Arial"/>
          <w:color w:val="000000" w:themeColor="text1"/>
          <w:kern w:val="36"/>
          <w:sz w:val="28"/>
          <w:szCs w:val="28"/>
        </w:rPr>
        <w:t>Introduction</w:t>
      </w:r>
    </w:p>
    <w:p w14:paraId="65C5417D"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5B6E358B" w14:textId="13E1FA74"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Diabetes is an urgent global health challenge with an accelerating incidence rate in recent decades. Currently, 537 million adults are living with diabetes and 541 million adults have impaired glucose tolerance with a high risk of developing type 2 diabetes</w:t>
      </w:r>
      <w:hyperlink r:id="rId4" w:history="1">
        <w:r w:rsidRPr="00BF3F8F">
          <w:rPr>
            <w:rFonts w:ascii="Arial" w:eastAsia="Times New Roman" w:hAnsi="Arial" w:cs="Arial"/>
            <w:color w:val="000000" w:themeColor="text1"/>
            <w:sz w:val="18"/>
            <w:szCs w:val="13"/>
            <w:vertAlign w:val="superscript"/>
          </w:rPr>
          <w:t>1</w:t>
        </w:r>
      </w:hyperlink>
      <w:r w:rsidRPr="00BF3F8F">
        <w:rPr>
          <w:rFonts w:ascii="Arial" w:eastAsia="Times New Roman" w:hAnsi="Arial" w:cs="Arial"/>
          <w:color w:val="000000" w:themeColor="text1"/>
        </w:rPr>
        <w:t>. The Nile rat is a developing animal model of type 2 diabetes with key benefits over other rodent models</w:t>
      </w:r>
      <w:hyperlink r:id="rId5" w:history="1">
        <w:r w:rsidRPr="00BF3F8F">
          <w:rPr>
            <w:rFonts w:ascii="Arial" w:eastAsia="Times New Roman" w:hAnsi="Arial" w:cs="Arial"/>
            <w:color w:val="000000" w:themeColor="text1"/>
            <w:sz w:val="18"/>
            <w:szCs w:val="13"/>
            <w:vertAlign w:val="superscript"/>
          </w:rPr>
          <w:t>2</w:t>
        </w:r>
      </w:hyperlink>
      <w:r w:rsidRPr="00BF3F8F">
        <w:rPr>
          <w:rFonts w:ascii="Arial" w:eastAsia="Times New Roman" w:hAnsi="Arial" w:cs="Arial"/>
          <w:color w:val="000000" w:themeColor="text1"/>
        </w:rPr>
        <w:t>. Firstly, it is a cost-effective animal model where diabetes is rapidly induced in both sexes by a conventional laboratory rodent chow. The onset of diabetes starts around 1-2 months of age in some Nile rats and by 10 months old, approximately 90% of male and 50% of female Nile rats develop diabetes. These incidence rates of diabetes occur on a conventional laboratory rodent chow diet that is hypercaloric for Nile rat compared to its native diet of fibrous grass stems in Africa</w:t>
      </w:r>
      <w:hyperlink r:id="rId6" w:history="1">
        <w:r w:rsidRPr="00BF3F8F">
          <w:rPr>
            <w:rFonts w:ascii="Arial" w:eastAsia="Times New Roman" w:hAnsi="Arial" w:cs="Arial"/>
            <w:color w:val="000000" w:themeColor="text1"/>
            <w:sz w:val="18"/>
            <w:szCs w:val="13"/>
            <w:vertAlign w:val="superscript"/>
          </w:rPr>
          <w:t>3</w:t>
        </w:r>
      </w:hyperlink>
      <w:r w:rsidRPr="00BF3F8F">
        <w:rPr>
          <w:rFonts w:ascii="Arial" w:eastAsia="Times New Roman" w:hAnsi="Arial" w:cs="Arial"/>
          <w:color w:val="000000" w:themeColor="text1"/>
        </w:rPr>
        <w:t>. Secondly, diabetic Nile rats develop long-term diabetic complications recapitulating the natural progression of type 2 diabetes in humans</w:t>
      </w:r>
      <w:hyperlink r:id="rId7" w:history="1">
        <w:r w:rsidRPr="00BF3F8F">
          <w:rPr>
            <w:rFonts w:ascii="Arial" w:eastAsia="Times New Roman" w:hAnsi="Arial" w:cs="Arial"/>
            <w:color w:val="000000" w:themeColor="text1"/>
            <w:sz w:val="18"/>
            <w:szCs w:val="13"/>
            <w:vertAlign w:val="superscript"/>
          </w:rPr>
          <w:t>2,4,5</w:t>
        </w:r>
      </w:hyperlink>
      <w:r w:rsidRPr="00BF3F8F">
        <w:rPr>
          <w:rFonts w:ascii="Arial" w:eastAsia="Times New Roman" w:hAnsi="Arial" w:cs="Arial"/>
          <w:color w:val="000000" w:themeColor="text1"/>
        </w:rPr>
        <w:t>. For example, Nile rats develop retinal lesions in diabetic retinopathy similar to humans</w:t>
      </w:r>
      <w:hyperlink r:id="rId8" w:history="1">
        <w:r w:rsidRPr="00BF3F8F">
          <w:rPr>
            <w:rFonts w:ascii="Arial" w:eastAsia="Times New Roman" w:hAnsi="Arial" w:cs="Arial"/>
            <w:color w:val="000000" w:themeColor="text1"/>
            <w:sz w:val="18"/>
            <w:szCs w:val="13"/>
            <w:vertAlign w:val="superscript"/>
          </w:rPr>
          <w:t>6</w:t>
        </w:r>
      </w:hyperlink>
      <w:r w:rsidRPr="00BF3F8F">
        <w:rPr>
          <w:rFonts w:ascii="Arial" w:eastAsia="Times New Roman" w:hAnsi="Arial" w:cs="Arial"/>
          <w:color w:val="000000" w:themeColor="text1"/>
        </w:rPr>
        <w:t>, whereas other rodent models typically show limited asymptomatic structural differences in the retina</w:t>
      </w:r>
      <w:hyperlink r:id="rId9" w:history="1">
        <w:r w:rsidRPr="00BF3F8F">
          <w:rPr>
            <w:rFonts w:ascii="Arial" w:eastAsia="Times New Roman" w:hAnsi="Arial" w:cs="Arial"/>
            <w:color w:val="000000" w:themeColor="text1"/>
            <w:sz w:val="18"/>
            <w:szCs w:val="13"/>
            <w:vertAlign w:val="superscript"/>
          </w:rPr>
          <w:t>7</w:t>
        </w:r>
      </w:hyperlink>
      <w:r w:rsidRPr="00BF3F8F">
        <w:rPr>
          <w:rFonts w:ascii="Arial" w:eastAsia="Times New Roman" w:hAnsi="Arial" w:cs="Arial"/>
          <w:color w:val="000000" w:themeColor="text1"/>
        </w:rPr>
        <w:t>. Third, in contrast to the Nile rat, common strains of laboratory mice and rats are relatively resistant to diet-alone induced diabetes, and are typically treated with additional chemical or genetic manipulations</w:t>
      </w:r>
      <w:hyperlink r:id="rId10" w:history="1">
        <w:r w:rsidRPr="00BF3F8F">
          <w:rPr>
            <w:rFonts w:ascii="Arial" w:eastAsia="Times New Roman" w:hAnsi="Arial" w:cs="Arial"/>
            <w:color w:val="000000" w:themeColor="text1"/>
            <w:sz w:val="18"/>
            <w:szCs w:val="13"/>
            <w:vertAlign w:val="superscript"/>
          </w:rPr>
          <w:t>8</w:t>
        </w:r>
      </w:hyperlink>
      <w:r w:rsidRPr="00BF3F8F">
        <w:rPr>
          <w:rFonts w:ascii="Arial" w:eastAsia="Times New Roman" w:hAnsi="Arial" w:cs="Arial"/>
          <w:color w:val="000000" w:themeColor="text1"/>
        </w:rPr>
        <w:t xml:space="preserve">. Fourthly, the Nile rat is an outbred species that models a wide range of diabetic phenotypes in the human population unlike inbred model organisms. Additionally, the diurnal chronotype of the Nile rat </w:t>
      </w:r>
      <w:hyperlink r:id="rId11" w:history="1">
        <w:r w:rsidRPr="00BF3F8F">
          <w:rPr>
            <w:rFonts w:ascii="Arial" w:eastAsia="Times New Roman" w:hAnsi="Arial" w:cs="Arial"/>
            <w:color w:val="000000" w:themeColor="text1"/>
            <w:sz w:val="18"/>
            <w:szCs w:val="13"/>
            <w:vertAlign w:val="superscript"/>
          </w:rPr>
          <w:t>9</w:t>
        </w:r>
      </w:hyperlink>
      <w:r w:rsidRPr="00BF3F8F">
        <w:rPr>
          <w:rFonts w:ascii="Arial" w:eastAsia="Times New Roman" w:hAnsi="Arial" w:cs="Arial"/>
          <w:color w:val="000000" w:themeColor="text1"/>
        </w:rPr>
        <w:t xml:space="preserve"> enables the investigation of how disrupted diurnal rhythm in humans is associated with type 2 diabetes. Finally, we can achieve high precision and accuracy in Nile rat genetic and epigenetic studies with the recent publication of a </w:t>
      </w:r>
      <w:proofErr w:type="gramStart"/>
      <w:r w:rsidRPr="00BF3F8F">
        <w:rPr>
          <w:rFonts w:ascii="Arial" w:eastAsia="Times New Roman" w:hAnsi="Arial" w:cs="Arial"/>
          <w:color w:val="000000" w:themeColor="text1"/>
        </w:rPr>
        <w:t>high quality</w:t>
      </w:r>
      <w:proofErr w:type="gramEnd"/>
      <w:r w:rsidRPr="00BF3F8F">
        <w:rPr>
          <w:rFonts w:ascii="Arial" w:eastAsia="Times New Roman" w:hAnsi="Arial" w:cs="Arial"/>
          <w:color w:val="000000" w:themeColor="text1"/>
        </w:rPr>
        <w:t xml:space="preserve"> haplotype-resolved reference genome</w:t>
      </w:r>
      <w:r w:rsidR="009B1E78" w:rsidRPr="00C11F83">
        <w:rPr>
          <w:rFonts w:ascii="Arial" w:eastAsia="Times New Roman" w:hAnsi="Arial" w:cs="Arial"/>
          <w:color w:val="000000" w:themeColor="text1"/>
        </w:rPr>
        <w:t>.</w:t>
      </w:r>
    </w:p>
    <w:p w14:paraId="2E090D3C"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C4D7451"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People living with diabetes </w:t>
      </w:r>
      <w:proofErr w:type="gramStart"/>
      <w:r w:rsidRPr="00BF3F8F">
        <w:rPr>
          <w:rFonts w:ascii="Arial" w:eastAsia="Times New Roman" w:hAnsi="Arial" w:cs="Arial"/>
          <w:color w:val="000000" w:themeColor="text1"/>
        </w:rPr>
        <w:t>experience difficulty</w:t>
      </w:r>
      <w:proofErr w:type="gramEnd"/>
      <w:r w:rsidRPr="00BF3F8F">
        <w:rPr>
          <w:rFonts w:ascii="Arial" w:eastAsia="Times New Roman" w:hAnsi="Arial" w:cs="Arial"/>
          <w:color w:val="000000" w:themeColor="text1"/>
        </w:rPr>
        <w:t xml:space="preserve"> in maintaining glucose homeostasis resulting in post-prandial hyperglycemia, fasted hyperglycemia or both. Post-prandial and fasted-state hyperglycemia are driven by different biological mechanisms</w:t>
      </w:r>
      <w:hyperlink r:id="rId12" w:history="1">
        <w:r w:rsidRPr="00BF3F8F">
          <w:rPr>
            <w:rFonts w:ascii="Arial" w:eastAsia="Times New Roman" w:hAnsi="Arial" w:cs="Arial"/>
            <w:color w:val="000000" w:themeColor="text1"/>
            <w:sz w:val="18"/>
            <w:szCs w:val="13"/>
            <w:vertAlign w:val="superscript"/>
          </w:rPr>
          <w:t>10</w:t>
        </w:r>
      </w:hyperlink>
      <w:hyperlink r:id="rId13" w:history="1">
        <w:r w:rsidRPr="00BF3F8F">
          <w:rPr>
            <w:rFonts w:ascii="Arial" w:eastAsia="Times New Roman" w:hAnsi="Arial" w:cs="Arial"/>
            <w:color w:val="000000" w:themeColor="text1"/>
          </w:rPr>
          <w:t xml:space="preserve">. </w:t>
        </w:r>
      </w:hyperlink>
      <w:r w:rsidRPr="00BF3F8F">
        <w:rPr>
          <w:rFonts w:ascii="Arial" w:eastAsia="Times New Roman" w:hAnsi="Arial" w:cs="Arial"/>
          <w:color w:val="000000" w:themeColor="text1"/>
        </w:rPr>
        <w:t>It is known that post-prandial hyperglycemia precedes fasted hyperglycemia, and thus is a more sensitive measurement for subjects with pre-diabetes or early diabetes</w:t>
      </w:r>
      <w:hyperlink r:id="rId14" w:history="1">
        <w:r w:rsidRPr="00BF3F8F">
          <w:rPr>
            <w:rFonts w:ascii="Arial" w:eastAsia="Times New Roman" w:hAnsi="Arial" w:cs="Arial"/>
            <w:color w:val="000000" w:themeColor="text1"/>
            <w:sz w:val="18"/>
            <w:szCs w:val="13"/>
            <w:vertAlign w:val="superscript"/>
          </w:rPr>
          <w:t>11</w:t>
        </w:r>
      </w:hyperlink>
      <w:r w:rsidRPr="00BF3F8F">
        <w:rPr>
          <w:rFonts w:ascii="Arial" w:eastAsia="Times New Roman" w:hAnsi="Arial" w:cs="Arial"/>
          <w:color w:val="000000" w:themeColor="text1"/>
          <w:sz w:val="18"/>
          <w:szCs w:val="13"/>
          <w:vertAlign w:val="superscript"/>
        </w:rPr>
        <w:t>,</w:t>
      </w:r>
      <w:hyperlink r:id="rId15" w:history="1">
        <w:r w:rsidRPr="00BF3F8F">
          <w:rPr>
            <w:rFonts w:ascii="Arial" w:eastAsia="Times New Roman" w:hAnsi="Arial" w:cs="Arial"/>
            <w:color w:val="000000" w:themeColor="text1"/>
            <w:sz w:val="18"/>
            <w:szCs w:val="13"/>
            <w:vertAlign w:val="superscript"/>
          </w:rPr>
          <w:t>12</w:t>
        </w:r>
      </w:hyperlink>
      <w:r w:rsidRPr="00BF3F8F">
        <w:rPr>
          <w:rFonts w:ascii="Arial" w:eastAsia="Times New Roman" w:hAnsi="Arial" w:cs="Arial"/>
          <w:color w:val="000000" w:themeColor="text1"/>
        </w:rPr>
        <w:t>. Importantly, for predicting disease outcome, post-prandial hyperglycemia, more so than fasting hyperglycemia, is associated with a high risk of developing cardiovascular disease</w:t>
      </w:r>
      <w:hyperlink r:id="rId16" w:history="1">
        <w:r w:rsidRPr="00BF3F8F">
          <w:rPr>
            <w:rFonts w:ascii="Arial" w:eastAsia="Times New Roman" w:hAnsi="Arial" w:cs="Arial"/>
            <w:color w:val="000000" w:themeColor="text1"/>
            <w:sz w:val="18"/>
            <w:szCs w:val="13"/>
            <w:vertAlign w:val="superscript"/>
          </w:rPr>
          <w:t>13</w:t>
        </w:r>
      </w:hyperlink>
      <w:r w:rsidRPr="00BF3F8F">
        <w:rPr>
          <w:rFonts w:ascii="Arial" w:eastAsia="Times New Roman" w:hAnsi="Arial" w:cs="Arial"/>
          <w:color w:val="000000" w:themeColor="text1"/>
          <w:sz w:val="18"/>
          <w:szCs w:val="13"/>
          <w:vertAlign w:val="superscript"/>
        </w:rPr>
        <w:t>,</w:t>
      </w:r>
      <w:hyperlink r:id="rId17" w:history="1">
        <w:r w:rsidRPr="00BF3F8F">
          <w:rPr>
            <w:rFonts w:ascii="Arial" w:eastAsia="Times New Roman" w:hAnsi="Arial" w:cs="Arial"/>
            <w:color w:val="000000" w:themeColor="text1"/>
            <w:sz w:val="18"/>
            <w:szCs w:val="13"/>
            <w:vertAlign w:val="superscript"/>
          </w:rPr>
          <w:t>14</w:t>
        </w:r>
      </w:hyperlink>
      <w:r w:rsidRPr="00BF3F8F">
        <w:rPr>
          <w:rFonts w:ascii="Arial" w:eastAsia="Times New Roman" w:hAnsi="Arial" w:cs="Arial"/>
          <w:color w:val="000000" w:themeColor="text1"/>
          <w:sz w:val="18"/>
          <w:szCs w:val="13"/>
          <w:vertAlign w:val="superscript"/>
        </w:rPr>
        <w:t>,</w:t>
      </w:r>
      <w:hyperlink r:id="rId18" w:history="1">
        <w:r w:rsidRPr="00BF3F8F">
          <w:rPr>
            <w:rFonts w:ascii="Arial" w:eastAsia="Times New Roman" w:hAnsi="Arial" w:cs="Arial"/>
            <w:color w:val="000000" w:themeColor="text1"/>
            <w:sz w:val="18"/>
            <w:szCs w:val="13"/>
            <w:vertAlign w:val="superscript"/>
          </w:rPr>
          <w:t>15</w:t>
        </w:r>
      </w:hyperlink>
      <w:r w:rsidRPr="00BF3F8F">
        <w:rPr>
          <w:rFonts w:ascii="Arial" w:eastAsia="Times New Roman" w:hAnsi="Arial" w:cs="Arial"/>
          <w:color w:val="000000" w:themeColor="text1"/>
          <w:sz w:val="18"/>
          <w:szCs w:val="13"/>
          <w:vertAlign w:val="superscript"/>
        </w:rPr>
        <w:t>,</w:t>
      </w:r>
      <w:hyperlink r:id="rId19" w:history="1">
        <w:r w:rsidRPr="00BF3F8F">
          <w:rPr>
            <w:rFonts w:ascii="Arial" w:eastAsia="Times New Roman" w:hAnsi="Arial" w:cs="Arial"/>
            <w:color w:val="000000" w:themeColor="text1"/>
            <w:sz w:val="18"/>
            <w:szCs w:val="13"/>
            <w:vertAlign w:val="superscript"/>
          </w:rPr>
          <w:t>16</w:t>
        </w:r>
      </w:hyperlink>
      <w:r w:rsidRPr="00BF3F8F">
        <w:rPr>
          <w:rFonts w:ascii="Arial" w:eastAsia="Times New Roman" w:hAnsi="Arial" w:cs="Arial"/>
          <w:color w:val="000000" w:themeColor="text1"/>
        </w:rPr>
        <w:t xml:space="preserve"> and possibly associated with all-cause mortality</w:t>
      </w:r>
      <w:hyperlink r:id="rId20" w:history="1">
        <w:r w:rsidRPr="00BF3F8F">
          <w:rPr>
            <w:rFonts w:ascii="Arial" w:eastAsia="Times New Roman" w:hAnsi="Arial" w:cs="Arial"/>
            <w:color w:val="000000" w:themeColor="text1"/>
            <w:sz w:val="18"/>
            <w:szCs w:val="13"/>
            <w:vertAlign w:val="superscript"/>
          </w:rPr>
          <w:t>17</w:t>
        </w:r>
      </w:hyperlink>
      <w:r w:rsidRPr="00BF3F8F">
        <w:rPr>
          <w:rFonts w:ascii="Arial" w:eastAsia="Times New Roman" w:hAnsi="Arial" w:cs="Arial"/>
          <w:color w:val="000000" w:themeColor="text1"/>
        </w:rPr>
        <w:t xml:space="preserve">. To investigate the early pathogenesis of diet-induced diabetes, the post-prandial, non-fasted state may reveal findings that do not overlap when similarly interrogated in the fasted state. Currently, </w:t>
      </w:r>
      <w:proofErr w:type="gramStart"/>
      <w:r w:rsidRPr="00BF3F8F">
        <w:rPr>
          <w:rFonts w:ascii="Arial" w:eastAsia="Times New Roman" w:hAnsi="Arial" w:cs="Arial"/>
          <w:color w:val="000000" w:themeColor="text1"/>
        </w:rPr>
        <w:t>the majority of</w:t>
      </w:r>
      <w:proofErr w:type="gramEnd"/>
      <w:r w:rsidRPr="00BF3F8F">
        <w:rPr>
          <w:rFonts w:ascii="Arial" w:eastAsia="Times New Roman" w:hAnsi="Arial" w:cs="Arial"/>
          <w:color w:val="000000" w:themeColor="text1"/>
        </w:rPr>
        <w:t xml:space="preserve"> diabetic studies use fasted sampling to avoid uncontrolled variability from </w:t>
      </w:r>
      <w:r w:rsidRPr="00BF3F8F">
        <w:rPr>
          <w:rFonts w:ascii="Arial" w:eastAsia="Times New Roman" w:hAnsi="Arial" w:cs="Arial"/>
          <w:color w:val="000000" w:themeColor="text1"/>
        </w:rPr>
        <w:lastRenderedPageBreak/>
        <w:t xml:space="preserve">unrestricted eating behaviors. However, the common practice for </w:t>
      </w:r>
      <w:r w:rsidRPr="00BF3F8F">
        <w:rPr>
          <w:rFonts w:ascii="Arial" w:eastAsia="Times New Roman" w:hAnsi="Arial" w:cs="Arial"/>
          <w:i/>
          <w:iCs/>
          <w:color w:val="000000" w:themeColor="text1"/>
        </w:rPr>
        <w:t>ad libitum</w:t>
      </w:r>
      <w:r w:rsidRPr="00BF3F8F">
        <w:rPr>
          <w:rFonts w:ascii="Arial" w:eastAsia="Times New Roman" w:hAnsi="Arial" w:cs="Arial"/>
          <w:color w:val="000000" w:themeColor="text1"/>
        </w:rPr>
        <w:t xml:space="preserve"> feeding of laboratory rodents results in frequently eating throughout their waking hours, unlike humans who eat large discrete meals. To date, the differences in variability and quality of metabolic changes between fasted and non-fasted states have not been sufficiently examined to inform decision making to support or refrain from using non-fasted sampling to study the early pathogenesis of diet-induced diabetes in rodent models.</w:t>
      </w:r>
    </w:p>
    <w:p w14:paraId="3273FFC6"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728192F"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In support of studying the metabolic differences between the fasted state and non-fasted state, we opted to study blood plasma in Nile rats using mass spectrometry-based metabolomics. LCMS metabolomics has been used extensively to analyze small molecules in plasma</w:t>
      </w:r>
      <w:hyperlink r:id="rId21" w:history="1">
        <w:r w:rsidRPr="00BF3F8F">
          <w:rPr>
            <w:rFonts w:ascii="Arial" w:eastAsia="Times New Roman" w:hAnsi="Arial" w:cs="Arial"/>
            <w:color w:val="000000" w:themeColor="text1"/>
            <w:sz w:val="18"/>
            <w:szCs w:val="13"/>
            <w:vertAlign w:val="superscript"/>
          </w:rPr>
          <w:t>18–20</w:t>
        </w:r>
      </w:hyperlink>
      <w:r w:rsidRPr="00BF3F8F">
        <w:rPr>
          <w:rFonts w:ascii="Arial" w:eastAsia="Times New Roman" w:hAnsi="Arial" w:cs="Arial"/>
          <w:color w:val="000000" w:themeColor="text1"/>
        </w:rPr>
        <w:t>, in rodent models</w:t>
      </w:r>
      <w:hyperlink r:id="rId22" w:history="1">
        <w:r w:rsidRPr="00BF3F8F">
          <w:rPr>
            <w:rFonts w:ascii="Arial" w:eastAsia="Times New Roman" w:hAnsi="Arial" w:cs="Arial"/>
            <w:color w:val="000000" w:themeColor="text1"/>
            <w:sz w:val="18"/>
            <w:szCs w:val="13"/>
            <w:vertAlign w:val="superscript"/>
          </w:rPr>
          <w:t>21</w:t>
        </w:r>
      </w:hyperlink>
      <w:r w:rsidRPr="00BF3F8F">
        <w:rPr>
          <w:rFonts w:ascii="Arial" w:eastAsia="Times New Roman" w:hAnsi="Arial" w:cs="Arial"/>
          <w:color w:val="000000" w:themeColor="text1"/>
        </w:rPr>
        <w:t xml:space="preserve"> and in humans to study diabetes</w:t>
      </w:r>
      <w:hyperlink r:id="rId23" w:history="1">
        <w:r w:rsidRPr="00BF3F8F">
          <w:rPr>
            <w:rFonts w:ascii="Arial" w:eastAsia="Times New Roman" w:hAnsi="Arial" w:cs="Arial"/>
            <w:color w:val="000000" w:themeColor="text1"/>
            <w:sz w:val="18"/>
            <w:szCs w:val="13"/>
            <w:vertAlign w:val="superscript"/>
          </w:rPr>
          <w:t>22</w:t>
        </w:r>
      </w:hyperlink>
      <w:r w:rsidRPr="00BF3F8F">
        <w:rPr>
          <w:rFonts w:ascii="Arial" w:eastAsia="Times New Roman" w:hAnsi="Arial" w:cs="Arial"/>
          <w:color w:val="000000" w:themeColor="text1"/>
        </w:rPr>
        <w:t>. To date, few studies have analyzed metabolites in Nile rats using mass spectrometry or other methods</w:t>
      </w:r>
      <w:hyperlink r:id="rId24" w:history="1">
        <w:r w:rsidRPr="00BF3F8F">
          <w:rPr>
            <w:rFonts w:ascii="Arial" w:eastAsia="Times New Roman" w:hAnsi="Arial" w:cs="Arial"/>
            <w:color w:val="000000" w:themeColor="text1"/>
            <w:sz w:val="18"/>
            <w:szCs w:val="13"/>
            <w:vertAlign w:val="superscript"/>
          </w:rPr>
          <w:t>23,24</w:t>
        </w:r>
      </w:hyperlink>
      <w:r w:rsidRPr="00BF3F8F">
        <w:rPr>
          <w:rFonts w:ascii="Arial" w:eastAsia="Times New Roman" w:hAnsi="Arial" w:cs="Arial"/>
          <w:color w:val="000000" w:themeColor="text1"/>
        </w:rPr>
        <w:t>. Blood plasma is known to be a rich source of molecular biomarkers of diabetes, comprising thousands of polar metabolites and lipids</w:t>
      </w:r>
      <w:hyperlink r:id="rId25" w:history="1">
        <w:r w:rsidRPr="00BF3F8F">
          <w:rPr>
            <w:rFonts w:ascii="Arial" w:eastAsia="Times New Roman" w:hAnsi="Arial" w:cs="Arial"/>
            <w:color w:val="000000" w:themeColor="text1"/>
            <w:sz w:val="18"/>
            <w:szCs w:val="13"/>
            <w:vertAlign w:val="superscript"/>
          </w:rPr>
          <w:t>20,25</w:t>
        </w:r>
      </w:hyperlink>
      <w:r w:rsidRPr="00BF3F8F">
        <w:rPr>
          <w:rFonts w:ascii="Arial" w:eastAsia="Times New Roman" w:hAnsi="Arial" w:cs="Arial"/>
          <w:color w:val="000000" w:themeColor="text1"/>
        </w:rPr>
        <w:t>, with many of these molecules being biomarkers for diabetes</w:t>
      </w:r>
      <w:hyperlink r:id="rId26" w:history="1">
        <w:r w:rsidRPr="00BF3F8F">
          <w:rPr>
            <w:rFonts w:ascii="Arial" w:eastAsia="Times New Roman" w:hAnsi="Arial" w:cs="Arial"/>
            <w:color w:val="000000" w:themeColor="text1"/>
            <w:sz w:val="18"/>
            <w:szCs w:val="13"/>
            <w:vertAlign w:val="superscript"/>
          </w:rPr>
          <w:t>26–28</w:t>
        </w:r>
      </w:hyperlink>
      <w:r w:rsidRPr="00BF3F8F">
        <w:rPr>
          <w:rFonts w:ascii="Arial" w:eastAsia="Times New Roman" w:hAnsi="Arial" w:cs="Arial"/>
          <w:color w:val="000000" w:themeColor="text1"/>
        </w:rPr>
        <w:t>. To both uncover metabolites associated with diabetes and fasting conditions in the Nile rat, and to set a baseline understanding of overall levels of metabolites in Nile rat plasma, we designed an experiment to measure plasma metabolites in both fasted and non-fasted states. </w:t>
      </w:r>
    </w:p>
    <w:p w14:paraId="485AFA23"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653AF74A" w14:textId="77777777" w:rsidR="00BF3F8F" w:rsidRPr="00BF3F8F" w:rsidRDefault="00BF3F8F" w:rsidP="00BF3F8F">
      <w:pPr>
        <w:spacing w:before="400" w:after="120" w:line="240" w:lineRule="auto"/>
        <w:jc w:val="both"/>
        <w:outlineLvl w:val="0"/>
        <w:rPr>
          <w:rFonts w:ascii="Arial" w:eastAsia="Times New Roman" w:hAnsi="Arial" w:cs="Arial"/>
          <w:b/>
          <w:bCs/>
          <w:color w:val="000000" w:themeColor="text1"/>
          <w:kern w:val="36"/>
          <w:sz w:val="36"/>
          <w:szCs w:val="36"/>
        </w:rPr>
      </w:pPr>
      <w:r w:rsidRPr="00BF3F8F">
        <w:rPr>
          <w:rFonts w:ascii="Arial" w:eastAsia="Times New Roman" w:hAnsi="Arial" w:cs="Arial"/>
          <w:color w:val="000000" w:themeColor="text1"/>
          <w:kern w:val="36"/>
          <w:sz w:val="28"/>
          <w:szCs w:val="28"/>
        </w:rPr>
        <w:t>Methods</w:t>
      </w:r>
    </w:p>
    <w:p w14:paraId="222DC546"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Animal studies</w:t>
      </w:r>
    </w:p>
    <w:p w14:paraId="50F5DDC7" w14:textId="60B32D19"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shd w:val="clear" w:color="auto" w:fill="FFFFFF"/>
        </w:rPr>
        <w:t>All animal experiments were approved by the University of California, Santa Barbara, Institutional Animal Care and Use Committee, and conducted in accord with the NIH Guide for the Care and Use of Laboratory Animals. The Nile rats were fed</w:t>
      </w:r>
      <w:r w:rsidRPr="00BF3F8F">
        <w:rPr>
          <w:rFonts w:ascii="Arial" w:eastAsia="Times New Roman" w:hAnsi="Arial" w:cs="Arial"/>
          <w:i/>
          <w:iCs/>
          <w:color w:val="000000" w:themeColor="text1"/>
          <w:shd w:val="clear" w:color="auto" w:fill="FFFFFF"/>
        </w:rPr>
        <w:t xml:space="preserve"> ad libitum</w:t>
      </w:r>
      <w:r w:rsidRPr="00BF3F8F">
        <w:rPr>
          <w:rFonts w:ascii="Arial" w:eastAsia="Times New Roman" w:hAnsi="Arial" w:cs="Arial"/>
          <w:color w:val="000000" w:themeColor="text1"/>
          <w:shd w:val="clear" w:color="auto" w:fill="FFFFFF"/>
        </w:rPr>
        <w:t xml:space="preserve"> on a regular rodent diet (Diet 5008; Newco </w:t>
      </w:r>
      <w:proofErr w:type="spellStart"/>
      <w:r w:rsidRPr="00BF3F8F">
        <w:rPr>
          <w:rFonts w:ascii="Arial" w:eastAsia="Times New Roman" w:hAnsi="Arial" w:cs="Arial"/>
          <w:color w:val="000000" w:themeColor="text1"/>
          <w:shd w:val="clear" w:color="auto" w:fill="FFFFFF"/>
        </w:rPr>
        <w:t>Speciality</w:t>
      </w:r>
      <w:proofErr w:type="spellEnd"/>
      <w:r w:rsidRPr="00BF3F8F">
        <w:rPr>
          <w:rFonts w:ascii="Arial" w:eastAsia="Times New Roman" w:hAnsi="Arial" w:cs="Arial"/>
          <w:color w:val="000000" w:themeColor="text1"/>
          <w:shd w:val="clear" w:color="auto" w:fill="FFFFFF"/>
        </w:rPr>
        <w:t>, Rancho Cucamonga, CA, USA) [</w:t>
      </w:r>
      <w:hyperlink r:id="rId27" w:anchor="ref-CR29" w:history="1">
        <w:r w:rsidRPr="00BF3F8F">
          <w:rPr>
            <w:rFonts w:ascii="Arial" w:eastAsia="Times New Roman" w:hAnsi="Arial" w:cs="Arial"/>
            <w:color w:val="000000" w:themeColor="text1"/>
            <w:u w:val="single"/>
            <w:shd w:val="clear" w:color="auto" w:fill="FFFFFF"/>
          </w:rPr>
          <w:t>29</w:t>
        </w:r>
      </w:hyperlink>
      <w:r w:rsidRPr="00BF3F8F">
        <w:rPr>
          <w:rFonts w:ascii="Arial" w:eastAsia="Times New Roman" w:hAnsi="Arial" w:cs="Arial"/>
          <w:color w:val="000000" w:themeColor="text1"/>
          <w:shd w:val="clear" w:color="auto" w:fill="FFFFFF"/>
        </w:rPr>
        <w:t>], and housed in a 12-hour, 10am to 10pm, light cycle room. To perform oral glucose tolerance test (OGTT), Nile rats were fasted for 16 hours from 6pm to 10am, and 2g of dextrose per body weight was introduced via oral gavage. Fasted plasma samples were collected around 10am to 11am and non-fasted samples were collected around 3 to 4pm, in the middle of the light-on duration. Blood collections were done under fasted and non-fasted conditions in triplicates spaced apart weekly. Each week, non-fasted samples were collected first and fasted samples 3 days after. After the last collection, the rats were recovered for 2 weeks before OGTT. All plasma samples were stored at -80˚C.</w:t>
      </w:r>
    </w:p>
    <w:p w14:paraId="034A02D9"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Glucose and insulin measurements</w:t>
      </w:r>
    </w:p>
    <w:p w14:paraId="495BF35B"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shd w:val="clear" w:color="auto" w:fill="FFFFFF"/>
        </w:rPr>
        <w:t>Blood glucose was measured by a Contour Next glucometer using blood from a tail prick. Plasma insulin was measured using the Ultrasensitive Mouse Insulin ELISA Kit (Crystal Chem Inc., Reference 90080) according to standard protocol.</w:t>
      </w:r>
    </w:p>
    <w:p w14:paraId="6793D090"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Lipidomics and metabolomics sample preparation </w:t>
      </w:r>
    </w:p>
    <w:p w14:paraId="2CB50160" w14:textId="6BA60029"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Plasma samples were thawed once prior to the second thawing on ice for subsequent lipidomic and metabolomic sample preparation. Each sample was extracted with 500 µL 6:2:2 n-</w:t>
      </w:r>
      <w:proofErr w:type="gramStart"/>
      <w:r w:rsidRPr="00BF3F8F">
        <w:rPr>
          <w:rFonts w:ascii="Arial" w:eastAsia="Times New Roman" w:hAnsi="Arial" w:cs="Arial"/>
          <w:color w:val="000000" w:themeColor="text1"/>
        </w:rPr>
        <w:t>butanol:acetonitrile</w:t>
      </w:r>
      <w:proofErr w:type="gramEnd"/>
      <w:r w:rsidRPr="00BF3F8F">
        <w:rPr>
          <w:rFonts w:ascii="Arial" w:eastAsia="Times New Roman" w:hAnsi="Arial" w:cs="Arial"/>
          <w:color w:val="000000" w:themeColor="text1"/>
        </w:rPr>
        <w:t>:water</w:t>
      </w:r>
      <w:hyperlink r:id="rId28" w:history="1">
        <w:r w:rsidRPr="00BF3F8F">
          <w:rPr>
            <w:rFonts w:ascii="Arial" w:eastAsia="Times New Roman" w:hAnsi="Arial" w:cs="Arial"/>
            <w:color w:val="000000" w:themeColor="text1"/>
            <w:sz w:val="18"/>
            <w:szCs w:val="13"/>
            <w:vertAlign w:val="superscript"/>
          </w:rPr>
          <w:t>29</w:t>
        </w:r>
      </w:hyperlink>
      <w:r w:rsidRPr="00BF3F8F">
        <w:rPr>
          <w:rFonts w:ascii="Arial" w:eastAsia="Times New Roman" w:hAnsi="Arial" w:cs="Arial"/>
          <w:color w:val="000000" w:themeColor="text1"/>
        </w:rPr>
        <w:t xml:space="preserve"> . Samples were vortexed for 10 s and then centrifuged at 14,000 x g for 2 min at 4 °C to precipitate the protein. 100 µL of extract was dried down in an amber autosampler vial with glass insert by a </w:t>
      </w:r>
      <w:proofErr w:type="spellStart"/>
      <w:r w:rsidRPr="00BF3F8F">
        <w:rPr>
          <w:rFonts w:ascii="Arial" w:eastAsia="Times New Roman" w:hAnsi="Arial" w:cs="Arial"/>
          <w:color w:val="000000" w:themeColor="text1"/>
        </w:rPr>
        <w:t>SpeedVac</w:t>
      </w:r>
      <w:proofErr w:type="spellEnd"/>
      <w:r w:rsidRPr="00BF3F8F">
        <w:rPr>
          <w:rFonts w:ascii="Arial" w:eastAsia="Times New Roman" w:hAnsi="Arial" w:cs="Arial"/>
          <w:color w:val="000000" w:themeColor="text1"/>
        </w:rPr>
        <w:t xml:space="preserve"> evaporator. For lipidomics, each extract was </w:t>
      </w:r>
      <w:r w:rsidRPr="00BF3F8F">
        <w:rPr>
          <w:rFonts w:ascii="Arial" w:eastAsia="Times New Roman" w:hAnsi="Arial" w:cs="Arial"/>
          <w:color w:val="000000" w:themeColor="text1"/>
        </w:rPr>
        <w:lastRenderedPageBreak/>
        <w:t xml:space="preserve">resuspended in 50 µL 9:1 </w:t>
      </w:r>
      <w:proofErr w:type="spellStart"/>
      <w:proofErr w:type="gramStart"/>
      <w:r w:rsidRPr="00BF3F8F">
        <w:rPr>
          <w:rFonts w:ascii="Arial" w:eastAsia="Times New Roman" w:hAnsi="Arial" w:cs="Arial"/>
          <w:color w:val="000000" w:themeColor="text1"/>
        </w:rPr>
        <w:t>Methanol:Toluene</w:t>
      </w:r>
      <w:proofErr w:type="spellEnd"/>
      <w:proofErr w:type="gramEnd"/>
      <w:r w:rsidRPr="00BF3F8F">
        <w:rPr>
          <w:rFonts w:ascii="Arial" w:eastAsia="Times New Roman" w:hAnsi="Arial" w:cs="Arial"/>
          <w:color w:val="000000" w:themeColor="text1"/>
        </w:rPr>
        <w:t xml:space="preserve">. For metabolomics, each extract was resuspended in 25 µL 1:1 </w:t>
      </w:r>
      <w:proofErr w:type="spellStart"/>
      <w:proofErr w:type="gramStart"/>
      <w:r w:rsidRPr="00BF3F8F">
        <w:rPr>
          <w:rFonts w:ascii="Arial" w:eastAsia="Times New Roman" w:hAnsi="Arial" w:cs="Arial"/>
          <w:color w:val="000000" w:themeColor="text1"/>
        </w:rPr>
        <w:t>Acetonitrile:Water</w:t>
      </w:r>
      <w:proofErr w:type="spellEnd"/>
      <w:proofErr w:type="gramEnd"/>
      <w:r w:rsidRPr="00BF3F8F">
        <w:rPr>
          <w:rFonts w:ascii="Arial" w:eastAsia="Times New Roman" w:hAnsi="Arial" w:cs="Arial"/>
          <w:color w:val="000000" w:themeColor="text1"/>
        </w:rPr>
        <w:t xml:space="preserve"> then analyzed on the mass spectrometer.</w:t>
      </w:r>
    </w:p>
    <w:p w14:paraId="37028A48"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HILIC-LC-MS Metabolomics </w:t>
      </w:r>
    </w:p>
    <w:p w14:paraId="777FADCA"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Sample analysis was performed on a ZIC-</w:t>
      </w:r>
      <w:proofErr w:type="spellStart"/>
      <w:r w:rsidRPr="00BF3F8F">
        <w:rPr>
          <w:rFonts w:ascii="Arial" w:eastAsia="Times New Roman" w:hAnsi="Arial" w:cs="Arial"/>
          <w:color w:val="000000" w:themeColor="text1"/>
        </w:rPr>
        <w:t>pHILIC</w:t>
      </w:r>
      <w:proofErr w:type="spellEnd"/>
      <w:r w:rsidRPr="00BF3F8F">
        <w:rPr>
          <w:rFonts w:ascii="Arial" w:eastAsia="Times New Roman" w:hAnsi="Arial" w:cs="Arial"/>
          <w:color w:val="000000" w:themeColor="text1"/>
        </w:rPr>
        <w:t xml:space="preserve"> HPLC column held at 50 °C (100 mm x 2.1 mm x 1.7 </w:t>
      </w:r>
      <w:proofErr w:type="spellStart"/>
      <w:r w:rsidRPr="00BF3F8F">
        <w:rPr>
          <w:rFonts w:ascii="Arial" w:eastAsia="Times New Roman" w:hAnsi="Arial" w:cs="Arial"/>
          <w:color w:val="000000" w:themeColor="text1"/>
        </w:rPr>
        <w:t>μm</w:t>
      </w:r>
      <w:proofErr w:type="spellEnd"/>
      <w:r w:rsidRPr="00BF3F8F">
        <w:rPr>
          <w:rFonts w:ascii="Arial" w:eastAsia="Times New Roman" w:hAnsi="Arial" w:cs="Arial"/>
          <w:color w:val="000000" w:themeColor="text1"/>
        </w:rPr>
        <w:t xml:space="preserve"> particle size; Millipore) using a Vanquish Binary Pump (150 </w:t>
      </w:r>
      <w:proofErr w:type="spellStart"/>
      <w:r w:rsidRPr="00BF3F8F">
        <w:rPr>
          <w:rFonts w:ascii="Arial" w:eastAsia="Times New Roman" w:hAnsi="Arial" w:cs="Arial"/>
          <w:color w:val="000000" w:themeColor="text1"/>
        </w:rPr>
        <w:t>μL</w:t>
      </w:r>
      <w:proofErr w:type="spellEnd"/>
      <w:r w:rsidRPr="00BF3F8F">
        <w:rPr>
          <w:rFonts w:ascii="Arial" w:eastAsia="Times New Roman" w:hAnsi="Arial" w:cs="Arial"/>
          <w:color w:val="000000" w:themeColor="text1"/>
        </w:rPr>
        <w:t xml:space="preserve">/min flow rate;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 Mobile phase A consisted of 10 mM ammonium acetate in </w:t>
      </w:r>
      <w:proofErr w:type="gramStart"/>
      <w:r w:rsidRPr="00BF3F8F">
        <w:rPr>
          <w:rFonts w:ascii="Arial" w:eastAsia="Times New Roman" w:hAnsi="Arial" w:cs="Arial"/>
          <w:color w:val="000000" w:themeColor="text1"/>
        </w:rPr>
        <w:t>ACN:H2O</w:t>
      </w:r>
      <w:proofErr w:type="gramEnd"/>
      <w:r w:rsidRPr="00BF3F8F">
        <w:rPr>
          <w:rFonts w:ascii="Arial" w:eastAsia="Times New Roman" w:hAnsi="Arial" w:cs="Arial"/>
          <w:color w:val="000000" w:themeColor="text1"/>
        </w:rPr>
        <w:t xml:space="preserve"> (10:90, v/v) containing 0.1% ammonium hydroxide. Mobile phase B consisted of 10 mM ammonium acetate in </w:t>
      </w:r>
      <w:proofErr w:type="gramStart"/>
      <w:r w:rsidRPr="00BF3F8F">
        <w:rPr>
          <w:rFonts w:ascii="Arial" w:eastAsia="Times New Roman" w:hAnsi="Arial" w:cs="Arial"/>
          <w:color w:val="000000" w:themeColor="text1"/>
        </w:rPr>
        <w:t>ACN:H2O</w:t>
      </w:r>
      <w:proofErr w:type="gramEnd"/>
      <w:r w:rsidRPr="00BF3F8F">
        <w:rPr>
          <w:rFonts w:ascii="Arial" w:eastAsia="Times New Roman" w:hAnsi="Arial" w:cs="Arial"/>
          <w:color w:val="000000" w:themeColor="text1"/>
        </w:rPr>
        <w:t xml:space="preserve"> (95:5, v/v) containing 0.1% ammonium hydroxide. Mobile phase B was initially held at 95% for 2 min and then decreased to 30% over 18 min. Mobile phase B was held for 6 min at 35%, then raised to 95% over 1 min. The column was re-equilibrated at 95% mobile phase B for 8 min. 2 µL of extract was injected by a Vanquish Split Sampler HT autosampler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w:t>
      </w:r>
    </w:p>
    <w:p w14:paraId="783B2314"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0FBDAA7C"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The LC system was coupled to a Q </w:t>
      </w:r>
      <w:proofErr w:type="spellStart"/>
      <w:r w:rsidRPr="00BF3F8F">
        <w:rPr>
          <w:rFonts w:ascii="Arial" w:eastAsia="Times New Roman" w:hAnsi="Arial" w:cs="Arial"/>
          <w:color w:val="000000" w:themeColor="text1"/>
        </w:rPr>
        <w:t>Exactive</w:t>
      </w:r>
      <w:proofErr w:type="spellEnd"/>
      <w:r w:rsidRPr="00BF3F8F">
        <w:rPr>
          <w:rFonts w:ascii="Arial" w:eastAsia="Times New Roman" w:hAnsi="Arial" w:cs="Arial"/>
          <w:color w:val="000000" w:themeColor="text1"/>
        </w:rPr>
        <w:t>-HF Orbitrap mass spectrometer through a heated electrospray ionization (HESI II) source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 Source conditions were as follow: HESI II and capillary temperature at 350 °C, sheath gas flow rate at 40 units, aux gas flow rate at 15 units, sweep gas flow rate at 1 </w:t>
      </w:r>
      <w:proofErr w:type="gramStart"/>
      <w:r w:rsidRPr="00BF3F8F">
        <w:rPr>
          <w:rFonts w:ascii="Arial" w:eastAsia="Times New Roman" w:hAnsi="Arial" w:cs="Arial"/>
          <w:color w:val="000000" w:themeColor="text1"/>
        </w:rPr>
        <w:t>units</w:t>
      </w:r>
      <w:proofErr w:type="gramEnd"/>
      <w:r w:rsidRPr="00BF3F8F">
        <w:rPr>
          <w:rFonts w:ascii="Arial" w:eastAsia="Times New Roman" w:hAnsi="Arial" w:cs="Arial"/>
          <w:color w:val="000000" w:themeColor="text1"/>
        </w:rPr>
        <w:t xml:space="preserve">, spray voltage at |3.0 kV| for both positive and negative modes, and S-lens RF at 50.0 units. The MS was operated in a polarity switching mode acquiring positive and negative full MS and MS2 spectra (Top10) within the same injection. Acquisition parameters for full MS scans in both modes were 60,000 resolution, 1 × 10e6 automatic gain control (AGC) target, 100 </w:t>
      </w:r>
      <w:proofErr w:type="spellStart"/>
      <w:r w:rsidRPr="00BF3F8F">
        <w:rPr>
          <w:rFonts w:ascii="Arial" w:eastAsia="Times New Roman" w:hAnsi="Arial" w:cs="Arial"/>
          <w:color w:val="000000" w:themeColor="text1"/>
        </w:rPr>
        <w:t>ms</w:t>
      </w:r>
      <w:proofErr w:type="spellEnd"/>
      <w:r w:rsidRPr="00BF3F8F">
        <w:rPr>
          <w:rFonts w:ascii="Arial" w:eastAsia="Times New Roman" w:hAnsi="Arial" w:cs="Arial"/>
          <w:color w:val="000000" w:themeColor="text1"/>
        </w:rPr>
        <w:t xml:space="preserve"> ion accumulation time (max IT), and 70 to 900 m/z scan range. MS2 scans in both modes were then performed at 45,000 resolution, 1 × 10e5 AGC target, 100 </w:t>
      </w:r>
      <w:proofErr w:type="spellStart"/>
      <w:r w:rsidRPr="00BF3F8F">
        <w:rPr>
          <w:rFonts w:ascii="Arial" w:eastAsia="Times New Roman" w:hAnsi="Arial" w:cs="Arial"/>
          <w:color w:val="000000" w:themeColor="text1"/>
        </w:rPr>
        <w:t>ms</w:t>
      </w:r>
      <w:proofErr w:type="spellEnd"/>
      <w:r w:rsidRPr="00BF3F8F">
        <w:rPr>
          <w:rFonts w:ascii="Arial" w:eastAsia="Times New Roman" w:hAnsi="Arial" w:cs="Arial"/>
          <w:color w:val="000000" w:themeColor="text1"/>
        </w:rPr>
        <w:t xml:space="preserve"> max IT, 1.0 m/z isolation window, stepped normalized collision energy (NCE) at 20, 30, 40, and a 30.0 s dynamic exclusion.</w:t>
      </w:r>
    </w:p>
    <w:p w14:paraId="7A420008"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51081A75"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The resulting LC-MS data were processed using Compound Discoverer 3.3, with the Untargeted metabolomics template.  </w:t>
      </w:r>
    </w:p>
    <w:p w14:paraId="3EEBD58B"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LC-MS Lipidomics</w:t>
      </w:r>
    </w:p>
    <w:p w14:paraId="786C0391"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Sample analysis was performed on an </w:t>
      </w:r>
      <w:proofErr w:type="spellStart"/>
      <w:r w:rsidRPr="00BF3F8F">
        <w:rPr>
          <w:rFonts w:ascii="Arial" w:eastAsia="Times New Roman" w:hAnsi="Arial" w:cs="Arial"/>
          <w:color w:val="000000" w:themeColor="text1"/>
        </w:rPr>
        <w:t>Acquity</w:t>
      </w:r>
      <w:proofErr w:type="spellEnd"/>
      <w:r w:rsidRPr="00BF3F8F">
        <w:rPr>
          <w:rFonts w:ascii="Arial" w:eastAsia="Times New Roman" w:hAnsi="Arial" w:cs="Arial"/>
          <w:color w:val="000000" w:themeColor="text1"/>
        </w:rPr>
        <w:t xml:space="preserve"> CSH C18 column held at 50 °C (100 mm x 2.1 mm x 1.7 </w:t>
      </w:r>
      <w:proofErr w:type="spellStart"/>
      <w:r w:rsidRPr="00BF3F8F">
        <w:rPr>
          <w:rFonts w:ascii="Arial" w:eastAsia="Times New Roman" w:hAnsi="Arial" w:cs="Arial"/>
          <w:color w:val="000000" w:themeColor="text1"/>
        </w:rPr>
        <w:t>μm</w:t>
      </w:r>
      <w:proofErr w:type="spellEnd"/>
      <w:r w:rsidRPr="00BF3F8F">
        <w:rPr>
          <w:rFonts w:ascii="Arial" w:eastAsia="Times New Roman" w:hAnsi="Arial" w:cs="Arial"/>
          <w:color w:val="000000" w:themeColor="text1"/>
        </w:rPr>
        <w:t xml:space="preserve"> particle size; Waters) using a Vanquish Binary Pump (400 </w:t>
      </w:r>
      <w:proofErr w:type="spellStart"/>
      <w:r w:rsidRPr="00BF3F8F">
        <w:rPr>
          <w:rFonts w:ascii="Arial" w:eastAsia="Times New Roman" w:hAnsi="Arial" w:cs="Arial"/>
          <w:color w:val="000000" w:themeColor="text1"/>
        </w:rPr>
        <w:t>μL</w:t>
      </w:r>
      <w:proofErr w:type="spellEnd"/>
      <w:r w:rsidRPr="00BF3F8F">
        <w:rPr>
          <w:rFonts w:ascii="Arial" w:eastAsia="Times New Roman" w:hAnsi="Arial" w:cs="Arial"/>
          <w:color w:val="000000" w:themeColor="text1"/>
        </w:rPr>
        <w:t xml:space="preserve">/min flow rate;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 Mobile phase A consisted of 10 mM ammonium acetate in </w:t>
      </w:r>
      <w:proofErr w:type="gramStart"/>
      <w:r w:rsidRPr="00BF3F8F">
        <w:rPr>
          <w:rFonts w:ascii="Arial" w:eastAsia="Times New Roman" w:hAnsi="Arial" w:cs="Arial"/>
          <w:color w:val="000000" w:themeColor="text1"/>
        </w:rPr>
        <w:t>ACN:H2O</w:t>
      </w:r>
      <w:proofErr w:type="gramEnd"/>
      <w:r w:rsidRPr="00BF3F8F">
        <w:rPr>
          <w:rFonts w:ascii="Arial" w:eastAsia="Times New Roman" w:hAnsi="Arial" w:cs="Arial"/>
          <w:color w:val="000000" w:themeColor="text1"/>
        </w:rPr>
        <w:t xml:space="preserve"> (70:30, v/v) containing 250 </w:t>
      </w:r>
      <w:proofErr w:type="spellStart"/>
      <w:r w:rsidRPr="00BF3F8F">
        <w:rPr>
          <w:rFonts w:ascii="Arial" w:eastAsia="Times New Roman" w:hAnsi="Arial" w:cs="Arial"/>
          <w:color w:val="000000" w:themeColor="text1"/>
        </w:rPr>
        <w:t>μL</w:t>
      </w:r>
      <w:proofErr w:type="spellEnd"/>
      <w:r w:rsidRPr="00BF3F8F">
        <w:rPr>
          <w:rFonts w:ascii="Arial" w:eastAsia="Times New Roman" w:hAnsi="Arial" w:cs="Arial"/>
          <w:color w:val="000000" w:themeColor="text1"/>
        </w:rPr>
        <w:t xml:space="preserve">/L acetic acid. Mobile phase B consisted of 10 mM ammonium acetate in </w:t>
      </w:r>
      <w:proofErr w:type="gramStart"/>
      <w:r w:rsidRPr="00BF3F8F">
        <w:rPr>
          <w:rFonts w:ascii="Arial" w:eastAsia="Times New Roman" w:hAnsi="Arial" w:cs="Arial"/>
          <w:color w:val="000000" w:themeColor="text1"/>
        </w:rPr>
        <w:t>IPA:ACN</w:t>
      </w:r>
      <w:proofErr w:type="gramEnd"/>
      <w:r w:rsidRPr="00BF3F8F">
        <w:rPr>
          <w:rFonts w:ascii="Arial" w:eastAsia="Times New Roman" w:hAnsi="Arial" w:cs="Arial"/>
          <w:color w:val="000000" w:themeColor="text1"/>
        </w:rPr>
        <w:t xml:space="preserve"> (90:10, v/v) with the same additives. Mobile phase B was initially held at 2% for 2 min and then increased to 30% over 3 min. Mobile phase B was further increased to 50% over 1 min, then raised to 85% over 14 min, and finally raised to 99% over 1 min and held at 99 % for 7 min. The column was re-equilibrated with mobile phase B at 2% for 1.75 min before the next injection. 10 µL of extract was injected by a Vanquish Split Sampler HT autosampler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w:t>
      </w:r>
    </w:p>
    <w:p w14:paraId="62D1DC37"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7FA24A4"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The LC system was coupled to a Q </w:t>
      </w:r>
      <w:proofErr w:type="spellStart"/>
      <w:r w:rsidRPr="00BF3F8F">
        <w:rPr>
          <w:rFonts w:ascii="Arial" w:eastAsia="Times New Roman" w:hAnsi="Arial" w:cs="Arial"/>
          <w:color w:val="000000" w:themeColor="text1"/>
        </w:rPr>
        <w:t>Exactive</w:t>
      </w:r>
      <w:proofErr w:type="spellEnd"/>
      <w:r w:rsidRPr="00BF3F8F">
        <w:rPr>
          <w:rFonts w:ascii="Arial" w:eastAsia="Times New Roman" w:hAnsi="Arial" w:cs="Arial"/>
          <w:color w:val="000000" w:themeColor="text1"/>
        </w:rPr>
        <w:t xml:space="preserve"> HF Orbitrap mass spectrometer through a heated electrospray ionization (HESI II) source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 Source conditions were as follow: HESI II and capillary temperature at 300 °C, sheath gas flow rate at 25 units, aux gas flow rate at 15 units, sweep gas flow rate at 5 units, spray voltage at |3.5 kV| for both positive and negative modes, and S-lens RF at 90.0 units. The MS was operated in a polarity switching mode acquiring positive and negative full MS and MS2 spectra (Top2) within the same injection. Acquisition parameters for full MS scans in both modes were 17,500 resolution, 1 × 106 automatic gain control (AGC) target, 100 </w:t>
      </w:r>
      <w:proofErr w:type="spellStart"/>
      <w:r w:rsidRPr="00BF3F8F">
        <w:rPr>
          <w:rFonts w:ascii="Arial" w:eastAsia="Times New Roman" w:hAnsi="Arial" w:cs="Arial"/>
          <w:color w:val="000000" w:themeColor="text1"/>
        </w:rPr>
        <w:t>ms</w:t>
      </w:r>
      <w:proofErr w:type="spellEnd"/>
      <w:r w:rsidRPr="00BF3F8F">
        <w:rPr>
          <w:rFonts w:ascii="Arial" w:eastAsia="Times New Roman" w:hAnsi="Arial" w:cs="Arial"/>
          <w:color w:val="000000" w:themeColor="text1"/>
        </w:rPr>
        <w:t xml:space="preserve"> ion accumulation time (max IT), and 200 to 1600 m/z scan range. </w:t>
      </w:r>
      <w:r w:rsidRPr="00BF3F8F">
        <w:rPr>
          <w:rFonts w:ascii="Arial" w:eastAsia="Times New Roman" w:hAnsi="Arial" w:cs="Arial"/>
          <w:color w:val="000000" w:themeColor="text1"/>
        </w:rPr>
        <w:lastRenderedPageBreak/>
        <w:t xml:space="preserve">MS2 scans in both modes were then performed at 17,500 resolution, 1 × 105 AGC target, 50 </w:t>
      </w:r>
      <w:proofErr w:type="spellStart"/>
      <w:r w:rsidRPr="00BF3F8F">
        <w:rPr>
          <w:rFonts w:ascii="Arial" w:eastAsia="Times New Roman" w:hAnsi="Arial" w:cs="Arial"/>
          <w:color w:val="000000" w:themeColor="text1"/>
        </w:rPr>
        <w:t>ms</w:t>
      </w:r>
      <w:proofErr w:type="spellEnd"/>
      <w:r w:rsidRPr="00BF3F8F">
        <w:rPr>
          <w:rFonts w:ascii="Arial" w:eastAsia="Times New Roman" w:hAnsi="Arial" w:cs="Arial"/>
          <w:color w:val="000000" w:themeColor="text1"/>
        </w:rPr>
        <w:t xml:space="preserve"> max IT, 1.0 m/z isolation window, stepped normalized collision energy (NCE) at 20, 30, 40, and a 10.0 s dynamic exclusion.</w:t>
      </w:r>
    </w:p>
    <w:p w14:paraId="425C6851"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6E1AC2DD"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The resulting LC–MS data were processed using Compound Discoverer 3.1 (</w:t>
      </w:r>
      <w:proofErr w:type="spellStart"/>
      <w:r w:rsidRPr="00BF3F8F">
        <w:rPr>
          <w:rFonts w:ascii="Arial" w:eastAsia="Times New Roman" w:hAnsi="Arial" w:cs="Arial"/>
          <w:color w:val="000000" w:themeColor="text1"/>
        </w:rPr>
        <w:t>Thermo</w:t>
      </w:r>
      <w:proofErr w:type="spellEnd"/>
      <w:r w:rsidRPr="00BF3F8F">
        <w:rPr>
          <w:rFonts w:ascii="Arial" w:eastAsia="Times New Roman" w:hAnsi="Arial" w:cs="Arial"/>
          <w:color w:val="000000" w:themeColor="text1"/>
        </w:rPr>
        <w:t xml:space="preserve"> Scientific) in conjunction with LipiDex </w:t>
      </w:r>
      <w:hyperlink r:id="rId29" w:history="1">
        <w:r w:rsidRPr="00BF3F8F">
          <w:rPr>
            <w:rFonts w:ascii="Arial" w:eastAsia="Times New Roman" w:hAnsi="Arial" w:cs="Arial"/>
            <w:color w:val="000000" w:themeColor="text1"/>
            <w:sz w:val="18"/>
            <w:szCs w:val="13"/>
            <w:vertAlign w:val="superscript"/>
          </w:rPr>
          <w:t>30</w:t>
        </w:r>
      </w:hyperlink>
      <w:r w:rsidRPr="00BF3F8F">
        <w:rPr>
          <w:rFonts w:ascii="Arial" w:eastAsia="Times New Roman" w:hAnsi="Arial" w:cs="Arial"/>
          <w:color w:val="000000" w:themeColor="text1"/>
        </w:rPr>
        <w:t>. All peaks with a 0.4 min to 21 min retention time and 100 Da to 5000 Da MS 1 precursor mass were aggregated into distinct chromatographic profiles (i.e., compound groups) using a 10-ppm mass and 0.2 min retention time tolerance. Profiles not reaching a minimum peak intensity of 5x105, a maximum peak-width of 0.25 min, a signal-to-noise (S/N) ratio of 1.5, and a 3-fold intensity increase over blanks were excluded from further processing. MS/MS spectra were searched against an in silico generated lipid spectral library comprising 35,000 unique molecular compositions from 48 lipid classes. Spectral matches with a dot product score greater than 500 and a reverse dot product score greater than 700 were retained for further analysis. Lipid MS/MS spectra which contained no significant interference (&lt;75 %) from co-eluting isobaric lipids, eluted within a 3.5 median absolute retention time deviation (M.A.D. RT) of each other, and found within at least 2 processed files were then identified at the individual fatty acid substituent level of structural resolution. If individual fatty acid substituents were unresolved, then identifications were made with the sum of the fatty acid substituents.</w:t>
      </w:r>
    </w:p>
    <w:p w14:paraId="13B29784"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456B66EA" w14:textId="77777777" w:rsidR="00BF3F8F" w:rsidRPr="00BF3F8F" w:rsidRDefault="00BF3F8F" w:rsidP="00BF3F8F">
      <w:pPr>
        <w:spacing w:before="360" w:after="120" w:line="240" w:lineRule="auto"/>
        <w:jc w:val="both"/>
        <w:outlineLvl w:val="1"/>
        <w:rPr>
          <w:rFonts w:ascii="Arial" w:eastAsia="Times New Roman" w:hAnsi="Arial" w:cs="Arial"/>
          <w:b/>
          <w:bCs/>
          <w:color w:val="000000" w:themeColor="text1"/>
          <w:sz w:val="32"/>
          <w:szCs w:val="32"/>
        </w:rPr>
      </w:pPr>
      <w:r w:rsidRPr="00BF3F8F">
        <w:rPr>
          <w:rFonts w:ascii="Arial" w:eastAsia="Times New Roman" w:hAnsi="Arial" w:cs="Arial"/>
          <w:color w:val="000000" w:themeColor="text1"/>
          <w:sz w:val="28"/>
          <w:szCs w:val="28"/>
        </w:rPr>
        <w:t>Data processing and statistical analysis</w:t>
      </w:r>
    </w:p>
    <w:p w14:paraId="4457EF2E"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Lipidomics: Compound Discoverer 3.1 parameters. LipiDex and parameters. Filtering steps for lipids.</w:t>
      </w:r>
    </w:p>
    <w:p w14:paraId="7C7F9F2F"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Metabolomics: Compound Discoverer 3.3 parameters. Filtering steps in CD33.</w:t>
      </w:r>
    </w:p>
    <w:p w14:paraId="470AC85B"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All the statistical methods once analysis pipelines are finalized. </w:t>
      </w:r>
    </w:p>
    <w:p w14:paraId="03B535B0"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59D94042" w14:textId="77777777" w:rsidR="00BF3F8F" w:rsidRPr="00BF3F8F" w:rsidRDefault="00BF3F8F" w:rsidP="00BF3F8F">
      <w:pPr>
        <w:spacing w:before="400" w:after="120" w:line="240" w:lineRule="auto"/>
        <w:jc w:val="both"/>
        <w:outlineLvl w:val="0"/>
        <w:rPr>
          <w:rFonts w:ascii="Arial" w:eastAsia="Times New Roman" w:hAnsi="Arial" w:cs="Arial"/>
          <w:b/>
          <w:bCs/>
          <w:color w:val="000000" w:themeColor="text1"/>
          <w:kern w:val="36"/>
          <w:sz w:val="36"/>
          <w:szCs w:val="36"/>
        </w:rPr>
      </w:pPr>
      <w:r w:rsidRPr="00BF3F8F">
        <w:rPr>
          <w:rFonts w:ascii="Arial" w:eastAsia="Times New Roman" w:hAnsi="Arial" w:cs="Arial"/>
          <w:color w:val="000000" w:themeColor="text1"/>
          <w:kern w:val="36"/>
          <w:sz w:val="28"/>
          <w:szCs w:val="28"/>
        </w:rPr>
        <w:t>Results</w:t>
      </w:r>
    </w:p>
    <w:p w14:paraId="7E82FAF7" w14:textId="7F24DAC6" w:rsidR="00BF3F8F" w:rsidRPr="00BF3F8F" w:rsidRDefault="00BF3F8F" w:rsidP="00BF3F8F">
      <w:pPr>
        <w:spacing w:before="240" w:after="24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To compare non-fasted to fasted metabolites and lipids associated with the early diet-induced diabetes, we analyzed Nile rat plasma collected in triplicates at 8, 9, and 10 weeks old, where each replicate was spaced one week apart (</w:t>
      </w:r>
      <w:r w:rsidR="00FF4C78" w:rsidRPr="00C11F83">
        <w:rPr>
          <w:rFonts w:ascii="Arial" w:eastAsia="Times New Roman" w:hAnsi="Arial" w:cs="Arial"/>
          <w:b/>
          <w:bCs/>
          <w:color w:val="000000" w:themeColor="text1"/>
        </w:rPr>
        <w:t>Figure 1A</w:t>
      </w:r>
      <w:r w:rsidRPr="00BF3F8F">
        <w:rPr>
          <w:rFonts w:ascii="Arial" w:eastAsia="Times New Roman" w:hAnsi="Arial" w:cs="Arial"/>
          <w:color w:val="000000" w:themeColor="text1"/>
        </w:rPr>
        <w:t xml:space="preserve">). Within each week, the non-fasted plasma was collected on day 0 and the fasted plasma on day 3. When Nile rats reached </w:t>
      </w:r>
      <w:r w:rsidR="00FF4C78" w:rsidRPr="00C11F83">
        <w:rPr>
          <w:rFonts w:ascii="Arial" w:eastAsia="Times New Roman" w:hAnsi="Arial" w:cs="Arial"/>
          <w:color w:val="000000" w:themeColor="text1"/>
        </w:rPr>
        <w:t xml:space="preserve">age </w:t>
      </w:r>
      <w:r w:rsidRPr="00BF3F8F">
        <w:rPr>
          <w:rFonts w:ascii="Arial" w:eastAsia="Times New Roman" w:hAnsi="Arial" w:cs="Arial"/>
          <w:color w:val="000000" w:themeColor="text1"/>
        </w:rPr>
        <w:t xml:space="preserve">12 weeks, we measured their glucose tolerance as a surrogate marker for diabetes progression, </w:t>
      </w:r>
      <w:proofErr w:type="gramStart"/>
      <w:r w:rsidRPr="00BF3F8F">
        <w:rPr>
          <w:rFonts w:ascii="Arial" w:eastAsia="Times New Roman" w:hAnsi="Arial" w:cs="Arial"/>
          <w:color w:val="000000" w:themeColor="text1"/>
        </w:rPr>
        <w:t>using  an</w:t>
      </w:r>
      <w:proofErr w:type="gramEnd"/>
      <w:r w:rsidRPr="00BF3F8F">
        <w:rPr>
          <w:rFonts w:ascii="Arial" w:eastAsia="Times New Roman" w:hAnsi="Arial" w:cs="Arial"/>
          <w:color w:val="000000" w:themeColor="text1"/>
        </w:rPr>
        <w:t xml:space="preserve"> oral glucose tolerance test (OGTT). From our data, the 60-minute post glucose load (1hPG) appeared more sensitive within the range of milder impaired glucose tolerance whereas the 120-minutes post glucose load (2hPG) appeared more sensitive within the range of more severe impaired glucose tolerance (</w:t>
      </w:r>
      <w:r w:rsidR="00FF4C78" w:rsidRPr="00C11F83">
        <w:rPr>
          <w:rFonts w:ascii="Arial" w:eastAsia="Times New Roman" w:hAnsi="Arial" w:cs="Arial"/>
          <w:b/>
          <w:bCs/>
          <w:color w:val="000000" w:themeColor="text1"/>
        </w:rPr>
        <w:t>Figure 1B</w:t>
      </w:r>
      <w:r w:rsidRPr="00BF3F8F">
        <w:rPr>
          <w:rFonts w:ascii="Arial" w:eastAsia="Times New Roman" w:hAnsi="Arial" w:cs="Arial"/>
          <w:color w:val="000000" w:themeColor="text1"/>
        </w:rPr>
        <w:t xml:space="preserve">). In human studies, 1hPG is not a diagnostic measurement like 2hPG, but it has been repeatedly proven to detect pre-diabetes or predict diabetes in high-risk populations </w:t>
      </w:r>
      <w:hyperlink r:id="rId30" w:history="1">
        <w:r w:rsidRPr="00BF3F8F">
          <w:rPr>
            <w:rFonts w:ascii="Arial" w:eastAsia="Times New Roman" w:hAnsi="Arial" w:cs="Arial"/>
            <w:color w:val="000000" w:themeColor="text1"/>
            <w:sz w:val="18"/>
            <w:szCs w:val="13"/>
            <w:vertAlign w:val="superscript"/>
          </w:rPr>
          <w:t>31–33</w:t>
        </w:r>
      </w:hyperlink>
      <w:r w:rsidRPr="00BF3F8F">
        <w:rPr>
          <w:rFonts w:ascii="Arial" w:eastAsia="Times New Roman" w:hAnsi="Arial" w:cs="Arial"/>
          <w:color w:val="000000" w:themeColor="text1"/>
        </w:rPr>
        <w:t xml:space="preserve">. We then ordered the identity of the Nile rats A to J based on </w:t>
      </w:r>
      <w:proofErr w:type="spellStart"/>
      <w:r w:rsidRPr="00BF3F8F">
        <w:rPr>
          <w:rFonts w:ascii="Arial" w:eastAsia="Times New Roman" w:hAnsi="Arial" w:cs="Arial"/>
          <w:color w:val="000000" w:themeColor="text1"/>
        </w:rPr>
        <w:t>glucAUC</w:t>
      </w:r>
      <w:proofErr w:type="spellEnd"/>
      <w:r w:rsidRPr="00BF3F8F">
        <w:rPr>
          <w:rFonts w:ascii="Arial" w:eastAsia="Times New Roman" w:hAnsi="Arial" w:cs="Arial"/>
          <w:color w:val="000000" w:themeColor="text1"/>
        </w:rPr>
        <w:t xml:space="preserve"> (</w:t>
      </w:r>
      <w:r w:rsidR="00FF4C78" w:rsidRPr="00C11F83">
        <w:rPr>
          <w:rFonts w:ascii="Arial" w:eastAsia="Times New Roman" w:hAnsi="Arial" w:cs="Arial"/>
          <w:b/>
          <w:bCs/>
          <w:color w:val="000000" w:themeColor="text1"/>
        </w:rPr>
        <w:t>Figure 1C</w:t>
      </w:r>
      <w:r w:rsidRPr="00BF3F8F">
        <w:rPr>
          <w:rFonts w:ascii="Arial" w:eastAsia="Times New Roman" w:hAnsi="Arial" w:cs="Arial"/>
          <w:color w:val="000000" w:themeColor="text1"/>
        </w:rPr>
        <w:t xml:space="preserve">). When we compare the two sampling conditions, </w:t>
      </w:r>
      <w:r w:rsidR="00FF4C78" w:rsidRPr="00C11F83">
        <w:rPr>
          <w:rFonts w:ascii="Arial" w:eastAsia="Times New Roman" w:hAnsi="Arial" w:cs="Arial"/>
          <w:color w:val="000000" w:themeColor="text1"/>
        </w:rPr>
        <w:t>only</w:t>
      </w:r>
      <w:r w:rsidRPr="00BF3F8F">
        <w:rPr>
          <w:rFonts w:ascii="Arial" w:eastAsia="Times New Roman" w:hAnsi="Arial" w:cs="Arial"/>
          <w:color w:val="000000" w:themeColor="text1"/>
        </w:rPr>
        <w:t xml:space="preserve"> non-fasted blood glucose, but not fasted blood glucose, </w:t>
      </w:r>
      <w:r w:rsidR="00FF4C78" w:rsidRPr="00C11F83">
        <w:rPr>
          <w:rFonts w:ascii="Arial" w:eastAsia="Times New Roman" w:hAnsi="Arial" w:cs="Arial"/>
          <w:color w:val="000000" w:themeColor="text1"/>
        </w:rPr>
        <w:t>show a non-zero relationship</w:t>
      </w:r>
      <w:r w:rsidRPr="00BF3F8F">
        <w:rPr>
          <w:rFonts w:ascii="Arial" w:eastAsia="Times New Roman" w:hAnsi="Arial" w:cs="Arial"/>
          <w:color w:val="000000" w:themeColor="text1"/>
        </w:rPr>
        <w:t xml:space="preserve"> with subsequent </w:t>
      </w:r>
      <w:proofErr w:type="spellStart"/>
      <w:r w:rsidRPr="00BF3F8F">
        <w:rPr>
          <w:rFonts w:ascii="Arial" w:eastAsia="Times New Roman" w:hAnsi="Arial" w:cs="Arial"/>
          <w:color w:val="000000" w:themeColor="text1"/>
        </w:rPr>
        <w:t>glucAUC</w:t>
      </w:r>
      <w:proofErr w:type="spellEnd"/>
      <w:r w:rsidRPr="00BF3F8F">
        <w:rPr>
          <w:rFonts w:ascii="Arial" w:eastAsia="Times New Roman" w:hAnsi="Arial" w:cs="Arial"/>
          <w:color w:val="000000" w:themeColor="text1"/>
        </w:rPr>
        <w:t xml:space="preserve"> (</w:t>
      </w:r>
      <w:r w:rsidR="00FF4C78" w:rsidRPr="00C11F83">
        <w:rPr>
          <w:rFonts w:ascii="Arial" w:eastAsia="Times New Roman" w:hAnsi="Arial" w:cs="Arial"/>
          <w:b/>
          <w:bCs/>
          <w:color w:val="000000" w:themeColor="text1"/>
        </w:rPr>
        <w:t>Figure 1D</w:t>
      </w:r>
      <w:r w:rsidRPr="00BF3F8F">
        <w:rPr>
          <w:rFonts w:ascii="Arial" w:eastAsia="Times New Roman" w:hAnsi="Arial" w:cs="Arial"/>
          <w:color w:val="000000" w:themeColor="text1"/>
        </w:rPr>
        <w:t xml:space="preserve">). Plasma insulin levels during an OGTT revealed that Nile rat C was </w:t>
      </w:r>
      <w:proofErr w:type="spellStart"/>
      <w:r w:rsidRPr="00BF3F8F">
        <w:rPr>
          <w:rFonts w:ascii="Arial" w:eastAsia="Times New Roman" w:hAnsi="Arial" w:cs="Arial"/>
          <w:color w:val="000000" w:themeColor="text1"/>
        </w:rPr>
        <w:t>hyperinsulinemic</w:t>
      </w:r>
      <w:proofErr w:type="spellEnd"/>
      <w:r w:rsidRPr="00BF3F8F">
        <w:rPr>
          <w:rFonts w:ascii="Arial" w:eastAsia="Times New Roman" w:hAnsi="Arial" w:cs="Arial"/>
          <w:color w:val="000000" w:themeColor="text1"/>
        </w:rPr>
        <w:t xml:space="preserve">, indicating that it was either pre-diabetic or at an early stage of diabetes. On the other hand, Nile rats H, I and J were relatively </w:t>
      </w:r>
      <w:proofErr w:type="spellStart"/>
      <w:r w:rsidRPr="00BF3F8F">
        <w:rPr>
          <w:rFonts w:ascii="Arial" w:eastAsia="Times New Roman" w:hAnsi="Arial" w:cs="Arial"/>
          <w:color w:val="000000" w:themeColor="text1"/>
        </w:rPr>
        <w:t>hypoinsulinemic</w:t>
      </w:r>
      <w:proofErr w:type="spellEnd"/>
      <w:r w:rsidRPr="00BF3F8F">
        <w:rPr>
          <w:rFonts w:ascii="Arial" w:eastAsia="Times New Roman" w:hAnsi="Arial" w:cs="Arial"/>
          <w:color w:val="000000" w:themeColor="text1"/>
        </w:rPr>
        <w:t xml:space="preserve"> during OGTT, indicating that these rats were more advanced in the diabetes spectrum (</w:t>
      </w:r>
      <w:r w:rsidR="00FF4C78" w:rsidRPr="00C11F83">
        <w:rPr>
          <w:rFonts w:ascii="Arial" w:eastAsia="Times New Roman" w:hAnsi="Arial" w:cs="Arial"/>
          <w:b/>
          <w:bCs/>
          <w:color w:val="000000" w:themeColor="text1"/>
        </w:rPr>
        <w:t>Figure 1E and 1F</w:t>
      </w:r>
      <w:r w:rsidRPr="00BF3F8F">
        <w:rPr>
          <w:rFonts w:ascii="Arial" w:eastAsia="Times New Roman" w:hAnsi="Arial" w:cs="Arial"/>
          <w:color w:val="000000" w:themeColor="text1"/>
        </w:rPr>
        <w:t>). When we looked at the longitudinal weight data from 8 to 12 weeks, we found two weight groups, one with prediabetic Nile rats A to C and another with diabetic rats D to J (</w:t>
      </w:r>
      <w:r w:rsidR="00FF4C78" w:rsidRPr="00C11F83">
        <w:rPr>
          <w:rFonts w:ascii="Arial" w:eastAsia="Times New Roman" w:hAnsi="Arial" w:cs="Arial"/>
          <w:b/>
          <w:bCs/>
          <w:color w:val="000000" w:themeColor="text1"/>
        </w:rPr>
        <w:t>Figure 1G</w:t>
      </w:r>
      <w:r w:rsidRPr="00BF3F8F">
        <w:rPr>
          <w:rFonts w:ascii="Arial" w:eastAsia="Times New Roman" w:hAnsi="Arial" w:cs="Arial"/>
          <w:color w:val="000000" w:themeColor="text1"/>
        </w:rPr>
        <w:t xml:space="preserve">). Though the growth rates were similar in both </w:t>
      </w:r>
      <w:r w:rsidRPr="00BF3F8F">
        <w:rPr>
          <w:rFonts w:ascii="Arial" w:eastAsia="Times New Roman" w:hAnsi="Arial" w:cs="Arial"/>
          <w:color w:val="000000" w:themeColor="text1"/>
        </w:rPr>
        <w:lastRenderedPageBreak/>
        <w:t xml:space="preserve">groups, the diabetic group started out being heavier at 8 weeks. The two groups of growth curves agreed with the average non-fasted blood glucose levels from </w:t>
      </w:r>
      <w:r w:rsidR="00FF4C78" w:rsidRPr="00C11F83">
        <w:rPr>
          <w:rFonts w:ascii="Arial" w:eastAsia="Times New Roman" w:hAnsi="Arial" w:cs="Arial"/>
          <w:color w:val="000000" w:themeColor="text1"/>
        </w:rPr>
        <w:t>Figure 1D</w:t>
      </w:r>
      <w:r w:rsidRPr="00BF3F8F">
        <w:rPr>
          <w:rFonts w:ascii="Arial" w:eastAsia="Times New Roman" w:hAnsi="Arial" w:cs="Arial"/>
          <w:color w:val="000000" w:themeColor="text1"/>
        </w:rPr>
        <w:t>.</w:t>
      </w:r>
    </w:p>
    <w:p w14:paraId="01E2D184"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6F690FB" w14:textId="11C77CFF" w:rsidR="00BF3F8F" w:rsidRPr="00C11F83" w:rsidRDefault="00BF3F8F" w:rsidP="00BF3F8F">
      <w:pPr>
        <w:spacing w:before="240" w:after="240" w:line="240" w:lineRule="auto"/>
        <w:jc w:val="both"/>
        <w:rPr>
          <w:rFonts w:ascii="Arial" w:eastAsia="Times New Roman" w:hAnsi="Arial" w:cs="Arial"/>
          <w:color w:val="000000" w:themeColor="text1"/>
          <w:sz w:val="24"/>
          <w:szCs w:val="24"/>
        </w:rPr>
      </w:pPr>
      <w:r w:rsidRPr="00C11F83">
        <w:rPr>
          <w:rFonts w:ascii="Arial" w:eastAsia="Times New Roman" w:hAnsi="Arial" w:cs="Arial"/>
          <w:b/>
          <w:bCs/>
          <w:noProof/>
          <w:color w:val="000000" w:themeColor="text1"/>
          <w:sz w:val="24"/>
          <w:szCs w:val="24"/>
          <w:bdr w:val="none" w:sz="0" w:space="0" w:color="auto" w:frame="1"/>
        </w:rPr>
        <w:drawing>
          <wp:inline distT="0" distB="0" distL="0" distR="0" wp14:anchorId="183A69A4" wp14:editId="46AA63E7">
            <wp:extent cx="5405755" cy="1682496"/>
            <wp:effectExtent l="0" t="0" r="444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b="75941"/>
                    <a:stretch/>
                  </pic:blipFill>
                  <pic:spPr bwMode="auto">
                    <a:xfrm>
                      <a:off x="0" y="0"/>
                      <a:ext cx="5405755" cy="1682496"/>
                    </a:xfrm>
                    <a:prstGeom prst="rect">
                      <a:avLst/>
                    </a:prstGeom>
                    <a:noFill/>
                    <a:ln>
                      <a:noFill/>
                    </a:ln>
                    <a:extLst>
                      <a:ext uri="{53640926-AAD7-44D8-BBD7-CCE9431645EC}">
                        <a14:shadowObscured xmlns:a14="http://schemas.microsoft.com/office/drawing/2010/main"/>
                      </a:ext>
                    </a:extLst>
                  </pic:spPr>
                </pic:pic>
              </a:graphicData>
            </a:graphic>
          </wp:inline>
        </w:drawing>
      </w:r>
    </w:p>
    <w:p w14:paraId="56CBD11D" w14:textId="7B1325C7" w:rsidR="00BF3F8F" w:rsidRPr="00BF3F8F" w:rsidRDefault="00BF3F8F" w:rsidP="00BF3F8F">
      <w:pPr>
        <w:spacing w:after="0" w:line="240" w:lineRule="auto"/>
        <w:jc w:val="center"/>
        <w:rPr>
          <w:rFonts w:ascii="Arial" w:eastAsia="Times New Roman" w:hAnsi="Arial" w:cs="Arial"/>
          <w:color w:val="000000" w:themeColor="text1"/>
          <w:sz w:val="24"/>
          <w:szCs w:val="24"/>
        </w:rPr>
      </w:pPr>
      <w:r w:rsidRPr="00C11F83">
        <w:rPr>
          <w:rFonts w:ascii="Arial" w:eastAsia="Times New Roman" w:hAnsi="Arial" w:cs="Arial"/>
          <w:color w:val="000000" w:themeColor="text1"/>
          <w:sz w:val="24"/>
          <w:szCs w:val="24"/>
        </w:rPr>
        <w:drawing>
          <wp:inline distT="0" distB="0" distL="0" distR="0" wp14:anchorId="289D4C0A" wp14:editId="1D2CBAA7">
            <wp:extent cx="5943600" cy="3580765"/>
            <wp:effectExtent l="0" t="0" r="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2"/>
                    <a:stretch>
                      <a:fillRect/>
                    </a:stretch>
                  </pic:blipFill>
                  <pic:spPr>
                    <a:xfrm>
                      <a:off x="0" y="0"/>
                      <a:ext cx="5943600" cy="3580765"/>
                    </a:xfrm>
                    <a:prstGeom prst="rect">
                      <a:avLst/>
                    </a:prstGeom>
                  </pic:spPr>
                </pic:pic>
              </a:graphicData>
            </a:graphic>
          </wp:inline>
        </w:drawing>
      </w:r>
    </w:p>
    <w:p w14:paraId="19A330E0" w14:textId="77777777" w:rsidR="00FF4C78" w:rsidRPr="00C11F83" w:rsidRDefault="00BF3F8F" w:rsidP="00FF4C78">
      <w:pPr>
        <w:spacing w:before="240" w:after="240" w:line="240" w:lineRule="auto"/>
        <w:jc w:val="both"/>
        <w:rPr>
          <w:rFonts w:ascii="Arial" w:eastAsia="Times New Roman" w:hAnsi="Arial" w:cs="Arial"/>
          <w:b/>
          <w:bCs/>
          <w:color w:val="000000" w:themeColor="text1"/>
          <w:sz w:val="20"/>
          <w:szCs w:val="20"/>
        </w:rPr>
      </w:pPr>
      <w:r w:rsidRPr="00BF3F8F">
        <w:rPr>
          <w:rFonts w:ascii="Arial" w:eastAsia="Times New Roman" w:hAnsi="Arial" w:cs="Arial"/>
          <w:b/>
          <w:bCs/>
          <w:color w:val="000000" w:themeColor="text1"/>
          <w:sz w:val="20"/>
          <w:szCs w:val="20"/>
        </w:rPr>
        <w:t>Figure 1. Metabolomic study design and characterization of glucose tolerance</w:t>
      </w:r>
      <w:r w:rsidR="00FF4C78" w:rsidRPr="00C11F83">
        <w:rPr>
          <w:rFonts w:ascii="Arial" w:eastAsia="Times New Roman" w:hAnsi="Arial" w:cs="Arial"/>
          <w:b/>
          <w:bCs/>
          <w:color w:val="000000" w:themeColor="text1"/>
          <w:sz w:val="20"/>
          <w:szCs w:val="20"/>
        </w:rPr>
        <w:t xml:space="preserve"> </w:t>
      </w:r>
    </w:p>
    <w:p w14:paraId="085BD538" w14:textId="7DFE2375" w:rsidR="00BF3F8F" w:rsidRPr="00BF3F8F" w:rsidRDefault="00BF3F8F" w:rsidP="00FF4C78">
      <w:pPr>
        <w:spacing w:before="240" w:after="24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Overview of study design analyzing plasma metabolites and lipids at 8-10 weeks and measuring glucose tolerance by OGTT at 12 weeks. (</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xml:space="preserve">) OGTT curve with blood glucose levels taken </w:t>
      </w:r>
      <w:proofErr w:type="gramStart"/>
      <w:r w:rsidRPr="00BF3F8F">
        <w:rPr>
          <w:rFonts w:ascii="Arial" w:eastAsia="Times New Roman" w:hAnsi="Arial" w:cs="Arial"/>
          <w:color w:val="000000" w:themeColor="text1"/>
          <w:sz w:val="20"/>
          <w:szCs w:val="20"/>
        </w:rPr>
        <w:t>at  0</w:t>
      </w:r>
      <w:proofErr w:type="gramEnd"/>
      <w:r w:rsidRPr="00BF3F8F">
        <w:rPr>
          <w:rFonts w:ascii="Arial" w:eastAsia="Times New Roman" w:hAnsi="Arial" w:cs="Arial"/>
          <w:color w:val="000000" w:themeColor="text1"/>
          <w:sz w:val="20"/>
          <w:szCs w:val="20"/>
        </w:rPr>
        <w:t>, 10, 20, 30, 60 and 120 minutes after ingesting glucose delivered by gavage. (</w:t>
      </w:r>
      <w:r w:rsidRPr="00BF3F8F">
        <w:rPr>
          <w:rFonts w:ascii="Arial" w:eastAsia="Times New Roman" w:hAnsi="Arial" w:cs="Arial"/>
          <w:b/>
          <w:bCs/>
          <w:color w:val="000000" w:themeColor="text1"/>
          <w:sz w:val="20"/>
          <w:szCs w:val="20"/>
        </w:rPr>
        <w:t>C</w:t>
      </w:r>
      <w:r w:rsidRPr="00BF3F8F">
        <w:rPr>
          <w:rFonts w:ascii="Arial" w:eastAsia="Times New Roman" w:hAnsi="Arial" w:cs="Arial"/>
          <w:color w:val="000000" w:themeColor="text1"/>
          <w:sz w:val="20"/>
          <w:szCs w:val="20"/>
        </w:rPr>
        <w:t>) Area under the curve calculated from glucose OGTT (</w:t>
      </w:r>
      <w:proofErr w:type="spellStart"/>
      <w:r w:rsidRPr="00BF3F8F">
        <w:rPr>
          <w:rFonts w:ascii="Arial" w:eastAsia="Times New Roman" w:hAnsi="Arial" w:cs="Arial"/>
          <w:color w:val="000000" w:themeColor="text1"/>
          <w:sz w:val="20"/>
          <w:szCs w:val="20"/>
        </w:rPr>
        <w:t>glucAUC</w:t>
      </w:r>
      <w:proofErr w:type="spellEnd"/>
      <w:r w:rsidRPr="00BF3F8F">
        <w:rPr>
          <w:rFonts w:ascii="Arial" w:eastAsia="Times New Roman" w:hAnsi="Arial" w:cs="Arial"/>
          <w:color w:val="000000" w:themeColor="text1"/>
          <w:sz w:val="20"/>
          <w:szCs w:val="20"/>
        </w:rPr>
        <w:t xml:space="preserve">). Nile rats ordered by increasing </w:t>
      </w:r>
      <w:proofErr w:type="spellStart"/>
      <w:r w:rsidRPr="00BF3F8F">
        <w:rPr>
          <w:rFonts w:ascii="Arial" w:eastAsia="Times New Roman" w:hAnsi="Arial" w:cs="Arial"/>
          <w:color w:val="000000" w:themeColor="text1"/>
          <w:sz w:val="20"/>
          <w:szCs w:val="20"/>
        </w:rPr>
        <w:t>glucAUC</w:t>
      </w:r>
      <w:proofErr w:type="spellEnd"/>
      <w:r w:rsidRPr="00BF3F8F">
        <w:rPr>
          <w:rFonts w:ascii="Arial" w:eastAsia="Times New Roman" w:hAnsi="Arial" w:cs="Arial"/>
          <w:color w:val="000000" w:themeColor="text1"/>
          <w:sz w:val="20"/>
          <w:szCs w:val="20"/>
        </w:rPr>
        <w:t>. (</w:t>
      </w:r>
      <w:r w:rsidRPr="00BF3F8F">
        <w:rPr>
          <w:rFonts w:ascii="Arial" w:eastAsia="Times New Roman" w:hAnsi="Arial" w:cs="Arial"/>
          <w:b/>
          <w:bCs/>
          <w:color w:val="000000" w:themeColor="text1"/>
          <w:sz w:val="20"/>
          <w:szCs w:val="20"/>
        </w:rPr>
        <w:t>D</w:t>
      </w:r>
      <w:r w:rsidRPr="00BF3F8F">
        <w:rPr>
          <w:rFonts w:ascii="Arial" w:eastAsia="Times New Roman" w:hAnsi="Arial" w:cs="Arial"/>
          <w:color w:val="000000" w:themeColor="text1"/>
          <w:sz w:val="20"/>
          <w:szCs w:val="20"/>
        </w:rPr>
        <w:t xml:space="preserve">) The correlation between </w:t>
      </w:r>
      <w:proofErr w:type="spellStart"/>
      <w:r w:rsidRPr="00BF3F8F">
        <w:rPr>
          <w:rFonts w:ascii="Arial" w:eastAsia="Times New Roman" w:hAnsi="Arial" w:cs="Arial"/>
          <w:color w:val="000000" w:themeColor="text1"/>
          <w:sz w:val="20"/>
          <w:szCs w:val="20"/>
        </w:rPr>
        <w:t>glucAUC</w:t>
      </w:r>
      <w:proofErr w:type="spellEnd"/>
      <w:r w:rsidRPr="00BF3F8F">
        <w:rPr>
          <w:rFonts w:ascii="Arial" w:eastAsia="Times New Roman" w:hAnsi="Arial" w:cs="Arial"/>
          <w:color w:val="000000" w:themeColor="text1"/>
          <w:sz w:val="20"/>
          <w:szCs w:val="20"/>
        </w:rPr>
        <w:t xml:space="preserve"> at 12 weeks and mean blood glucose levels at 8-10 weeks, measured in fasted versus non-fasted state of the Nile rats. (</w:t>
      </w:r>
      <w:r w:rsidRPr="00BF3F8F">
        <w:rPr>
          <w:rFonts w:ascii="Arial" w:eastAsia="Times New Roman" w:hAnsi="Arial" w:cs="Arial"/>
          <w:b/>
          <w:bCs/>
          <w:color w:val="000000" w:themeColor="text1"/>
          <w:sz w:val="20"/>
          <w:szCs w:val="20"/>
        </w:rPr>
        <w:t>E</w:t>
      </w:r>
      <w:r w:rsidRPr="00BF3F8F">
        <w:rPr>
          <w:rFonts w:ascii="Arial" w:eastAsia="Times New Roman" w:hAnsi="Arial" w:cs="Arial"/>
          <w:color w:val="000000" w:themeColor="text1"/>
          <w:sz w:val="20"/>
          <w:szCs w:val="20"/>
        </w:rPr>
        <w:t xml:space="preserve">) OGTT curve with plasma insulin levels taken </w:t>
      </w:r>
      <w:proofErr w:type="gramStart"/>
      <w:r w:rsidRPr="00BF3F8F">
        <w:rPr>
          <w:rFonts w:ascii="Arial" w:eastAsia="Times New Roman" w:hAnsi="Arial" w:cs="Arial"/>
          <w:color w:val="000000" w:themeColor="text1"/>
          <w:sz w:val="20"/>
          <w:szCs w:val="20"/>
        </w:rPr>
        <w:t>at  0</w:t>
      </w:r>
      <w:proofErr w:type="gramEnd"/>
      <w:r w:rsidRPr="00BF3F8F">
        <w:rPr>
          <w:rFonts w:ascii="Arial" w:eastAsia="Times New Roman" w:hAnsi="Arial" w:cs="Arial"/>
          <w:color w:val="000000" w:themeColor="text1"/>
          <w:sz w:val="20"/>
          <w:szCs w:val="20"/>
        </w:rPr>
        <w:t>, 10, 20, 30, 60 and 120 minutes after ingesting glucose. (</w:t>
      </w:r>
      <w:r w:rsidRPr="00BF3F8F">
        <w:rPr>
          <w:rFonts w:ascii="Arial" w:eastAsia="Times New Roman" w:hAnsi="Arial" w:cs="Arial"/>
          <w:b/>
          <w:bCs/>
          <w:color w:val="000000" w:themeColor="text1"/>
          <w:sz w:val="20"/>
          <w:szCs w:val="20"/>
        </w:rPr>
        <w:t>F</w:t>
      </w:r>
      <w:r w:rsidRPr="00BF3F8F">
        <w:rPr>
          <w:rFonts w:ascii="Arial" w:eastAsia="Times New Roman" w:hAnsi="Arial" w:cs="Arial"/>
          <w:color w:val="000000" w:themeColor="text1"/>
          <w:sz w:val="20"/>
          <w:szCs w:val="20"/>
        </w:rPr>
        <w:t>) Area under the curve calculated from insulin OGTT (</w:t>
      </w:r>
      <w:proofErr w:type="spellStart"/>
      <w:r w:rsidRPr="00BF3F8F">
        <w:rPr>
          <w:rFonts w:ascii="Arial" w:eastAsia="Times New Roman" w:hAnsi="Arial" w:cs="Arial"/>
          <w:color w:val="000000" w:themeColor="text1"/>
          <w:sz w:val="20"/>
          <w:szCs w:val="20"/>
        </w:rPr>
        <w:t>insAUC</w:t>
      </w:r>
      <w:proofErr w:type="spellEnd"/>
      <w:r w:rsidRPr="00BF3F8F">
        <w:rPr>
          <w:rFonts w:ascii="Arial" w:eastAsia="Times New Roman" w:hAnsi="Arial" w:cs="Arial"/>
          <w:color w:val="000000" w:themeColor="text1"/>
          <w:sz w:val="20"/>
          <w:szCs w:val="20"/>
        </w:rPr>
        <w:t xml:space="preserve">). Nile rats ordered by increasing </w:t>
      </w:r>
      <w:proofErr w:type="spellStart"/>
      <w:r w:rsidRPr="00BF3F8F">
        <w:rPr>
          <w:rFonts w:ascii="Arial" w:eastAsia="Times New Roman" w:hAnsi="Arial" w:cs="Arial"/>
          <w:color w:val="000000" w:themeColor="text1"/>
          <w:sz w:val="20"/>
          <w:szCs w:val="20"/>
        </w:rPr>
        <w:t>glucAUC</w:t>
      </w:r>
      <w:proofErr w:type="spellEnd"/>
      <w:r w:rsidRPr="00BF3F8F">
        <w:rPr>
          <w:rFonts w:ascii="Arial" w:eastAsia="Times New Roman" w:hAnsi="Arial" w:cs="Arial"/>
          <w:color w:val="000000" w:themeColor="text1"/>
          <w:sz w:val="20"/>
          <w:szCs w:val="20"/>
        </w:rPr>
        <w:t>. (</w:t>
      </w:r>
      <w:r w:rsidRPr="00BF3F8F">
        <w:rPr>
          <w:rFonts w:ascii="Arial" w:eastAsia="Times New Roman" w:hAnsi="Arial" w:cs="Arial"/>
          <w:b/>
          <w:bCs/>
          <w:color w:val="000000" w:themeColor="text1"/>
          <w:sz w:val="20"/>
          <w:szCs w:val="20"/>
        </w:rPr>
        <w:t>G</w:t>
      </w:r>
      <w:r w:rsidRPr="00BF3F8F">
        <w:rPr>
          <w:rFonts w:ascii="Arial" w:eastAsia="Times New Roman" w:hAnsi="Arial" w:cs="Arial"/>
          <w:color w:val="000000" w:themeColor="text1"/>
          <w:sz w:val="20"/>
          <w:szCs w:val="20"/>
        </w:rPr>
        <w:t>) Growth chart from 8 to 12 weeks based on whole body weight for Nile rats A to J.</w:t>
      </w:r>
      <w:r w:rsidRPr="00C11F83">
        <w:rPr>
          <w:rFonts w:ascii="Arial" w:eastAsia="Times New Roman" w:hAnsi="Arial" w:cs="Arial"/>
          <w:color w:val="000000" w:themeColor="text1"/>
          <w:sz w:val="20"/>
          <w:szCs w:val="20"/>
        </w:rPr>
        <w:t xml:space="preserve"> Abbreviations: OGTT oral glucose tolerance test. </w:t>
      </w:r>
    </w:p>
    <w:p w14:paraId="460F821C"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5BFF51EC" w14:textId="605BFF0A" w:rsidR="00BF3F8F" w:rsidRPr="00BF3F8F" w:rsidRDefault="00BF3F8F" w:rsidP="00BF3F8F">
      <w:pPr>
        <w:spacing w:before="240" w:after="24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To characterize the plasma biomolecules in Nile rats A to J under fasted and non-fasted conditions, we performed discovery metabolomics and lipidomics analysis using a biphasic extraction method</w:t>
      </w:r>
      <w:hyperlink r:id="rId33" w:history="1">
        <w:r w:rsidRPr="00BF3F8F">
          <w:rPr>
            <w:rFonts w:ascii="Arial" w:eastAsia="Times New Roman" w:hAnsi="Arial" w:cs="Arial"/>
            <w:color w:val="000000" w:themeColor="text1"/>
            <w:sz w:val="18"/>
            <w:szCs w:val="13"/>
            <w:vertAlign w:val="superscript"/>
          </w:rPr>
          <w:t>34</w:t>
        </w:r>
      </w:hyperlink>
      <w:r w:rsidRPr="00BF3F8F">
        <w:rPr>
          <w:rFonts w:ascii="Arial" w:eastAsia="Times New Roman" w:hAnsi="Arial" w:cs="Arial"/>
          <w:color w:val="000000" w:themeColor="text1"/>
        </w:rPr>
        <w:t xml:space="preserve"> with two analytical platforms</w:t>
      </w:r>
      <w:r w:rsidR="00FF4C78" w:rsidRPr="00C11F83">
        <w:rPr>
          <w:rFonts w:ascii="Arial" w:eastAsia="Times New Roman" w:hAnsi="Arial" w:cs="Arial"/>
          <w:color w:val="000000" w:themeColor="text1"/>
        </w:rPr>
        <w:t>,</w:t>
      </w:r>
      <w:r w:rsidRPr="00BF3F8F">
        <w:rPr>
          <w:rFonts w:ascii="Arial" w:eastAsia="Times New Roman" w:hAnsi="Arial" w:cs="Arial"/>
          <w:color w:val="000000" w:themeColor="text1"/>
        </w:rPr>
        <w:t xml:space="preserve"> an LC-MS/MS lipidomics method using reversed phase chromatography and an LC-MS/MS polar metabolomics method using HILIC chromatography. We annotated 363 lipids across 5 super classes</w:t>
      </w:r>
      <w:hyperlink r:id="rId34" w:history="1">
        <w:r w:rsidRPr="00BF3F8F">
          <w:rPr>
            <w:rFonts w:ascii="Arial" w:eastAsia="Times New Roman" w:hAnsi="Arial" w:cs="Arial"/>
            <w:color w:val="000000" w:themeColor="text1"/>
            <w:sz w:val="18"/>
            <w:szCs w:val="13"/>
            <w:vertAlign w:val="superscript"/>
          </w:rPr>
          <w:t>21,35</w:t>
        </w:r>
      </w:hyperlink>
      <w:r w:rsidRPr="00BF3F8F">
        <w:rPr>
          <w:rFonts w:ascii="Arial" w:eastAsia="Times New Roman" w:hAnsi="Arial" w:cs="Arial"/>
          <w:color w:val="000000" w:themeColor="text1"/>
        </w:rPr>
        <w:t xml:space="preserve">, including phospholipids, </w:t>
      </w:r>
      <w:proofErr w:type="spellStart"/>
      <w:r w:rsidRPr="00BF3F8F">
        <w:rPr>
          <w:rFonts w:ascii="Arial" w:eastAsia="Times New Roman" w:hAnsi="Arial" w:cs="Arial"/>
          <w:color w:val="000000" w:themeColor="text1"/>
        </w:rPr>
        <w:t>glycerolipids</w:t>
      </w:r>
      <w:proofErr w:type="spellEnd"/>
      <w:r w:rsidRPr="00BF3F8F">
        <w:rPr>
          <w:rFonts w:ascii="Arial" w:eastAsia="Times New Roman" w:hAnsi="Arial" w:cs="Arial"/>
          <w:color w:val="000000" w:themeColor="text1"/>
        </w:rPr>
        <w:t>, sphingolipids, fatty acyls, and sterol lipids; approximately 500 lipid chromatographic features remain unannotated but were included in some of the downstream analyses (</w:t>
      </w:r>
      <w:r w:rsidRPr="00BF3F8F">
        <w:rPr>
          <w:rFonts w:ascii="Arial" w:eastAsia="Times New Roman" w:hAnsi="Arial" w:cs="Arial"/>
          <w:b/>
          <w:bCs/>
          <w:color w:val="000000" w:themeColor="text1"/>
        </w:rPr>
        <w:t>Figure 2A</w:t>
      </w:r>
      <w:r w:rsidRPr="00BF3F8F">
        <w:rPr>
          <w:rFonts w:ascii="Arial" w:eastAsia="Times New Roman" w:hAnsi="Arial" w:cs="Arial"/>
          <w:color w:val="000000" w:themeColor="text1"/>
        </w:rPr>
        <w:t>). Of the annotated lipids, 200 were identified at species level and 163 were at molecular species level</w:t>
      </w:r>
      <w:hyperlink r:id="rId35" w:history="1">
        <w:r w:rsidRPr="00BF3F8F">
          <w:rPr>
            <w:rFonts w:ascii="Arial" w:eastAsia="Times New Roman" w:hAnsi="Arial" w:cs="Arial"/>
            <w:color w:val="000000" w:themeColor="text1"/>
            <w:sz w:val="18"/>
            <w:szCs w:val="13"/>
            <w:vertAlign w:val="superscript"/>
          </w:rPr>
          <w:t>36</w:t>
        </w:r>
      </w:hyperlink>
      <w:r w:rsidRPr="00BF3F8F">
        <w:rPr>
          <w:rFonts w:ascii="Arial" w:eastAsia="Times New Roman" w:hAnsi="Arial" w:cs="Arial"/>
          <w:color w:val="000000" w:themeColor="text1"/>
        </w:rPr>
        <w:t>. For polar metabolites detected by the HILIC method, we annotated 80 compounds from 6 compound classes, including organic alcohols, amino acids, amino acid derivatives, nitrogen heterocycles (such as nucleotide bases and derivatives) carbohydrates and organic acids. (</w:t>
      </w:r>
      <w:r w:rsidRPr="00BF3F8F">
        <w:rPr>
          <w:rFonts w:ascii="Arial" w:eastAsia="Times New Roman" w:hAnsi="Arial" w:cs="Arial"/>
          <w:b/>
          <w:bCs/>
          <w:color w:val="000000" w:themeColor="text1"/>
        </w:rPr>
        <w:t>Figure 2B</w:t>
      </w:r>
      <w:r w:rsidRPr="00BF3F8F">
        <w:rPr>
          <w:rFonts w:ascii="Arial" w:eastAsia="Times New Roman" w:hAnsi="Arial" w:cs="Arial"/>
          <w:color w:val="000000" w:themeColor="text1"/>
        </w:rPr>
        <w:t>). Of these, approximately 400 chromatographic features remained unannotated. Principal component analysis (PCA) of all combined annotated and unannotated lipid and polar metabolite features reveals two distinct clusters separated on the first principal component by sampling conditions with fasted samples on the left and non-fasted samples on the right (</w:t>
      </w:r>
      <w:r w:rsidRPr="00BF3F8F">
        <w:rPr>
          <w:rFonts w:ascii="Arial" w:eastAsia="Times New Roman" w:hAnsi="Arial" w:cs="Arial"/>
          <w:b/>
          <w:bCs/>
          <w:color w:val="000000" w:themeColor="text1"/>
        </w:rPr>
        <w:t>Figure 2C</w:t>
      </w:r>
      <w:r w:rsidRPr="00BF3F8F">
        <w:rPr>
          <w:rFonts w:ascii="Arial" w:eastAsia="Times New Roman" w:hAnsi="Arial" w:cs="Arial"/>
          <w:color w:val="000000" w:themeColor="text1"/>
        </w:rPr>
        <w:t>). Within the non-fasted cluster, the samples appeared to be ordered by glucose tolerance of the Nile rats, as demonstrated by the colorimetric gradation from top to bottom where animals with increasing impaired glucose tolerance nearer to the bottom. On the contrary, this order was absent in the fasted cluster. Thus, the combined relative quantification of plasma biomolecules varied with the level of glucose tolerance only in the non-fasted samples, not the fasted samples.</w:t>
      </w:r>
    </w:p>
    <w:p w14:paraId="6CF6BE32" w14:textId="77777777" w:rsidR="00BF3F8F" w:rsidRPr="00BF3F8F" w:rsidRDefault="00BF3F8F" w:rsidP="00BF3F8F">
      <w:pPr>
        <w:spacing w:before="240" w:after="24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As a high-level overview, the heatmap in </w:t>
      </w:r>
      <w:r w:rsidRPr="00BF3F8F">
        <w:rPr>
          <w:rFonts w:ascii="Arial" w:eastAsia="Times New Roman" w:hAnsi="Arial" w:cs="Arial"/>
          <w:b/>
          <w:bCs/>
          <w:color w:val="000000" w:themeColor="text1"/>
        </w:rPr>
        <w:t>Figure 2D</w:t>
      </w:r>
      <w:r w:rsidRPr="00BF3F8F">
        <w:rPr>
          <w:rFonts w:ascii="Arial" w:eastAsia="Times New Roman" w:hAnsi="Arial" w:cs="Arial"/>
          <w:color w:val="000000" w:themeColor="text1"/>
        </w:rPr>
        <w:t xml:space="preserve"> shows how non-fasted plasma metabolites and lipids differ from fasted in Nile rats. To demonstrate the deviation of each metabolite abundance in non-fasted samples to the baseline fasted samples, log2 fold change is calculated as the difference between each metabolite’s abundance from the average abundance in fasted. Each rat contributed 3 plasma samples in both fasted and non-fasted conditions, and the metabolite abundance across the 3 samples is averaged into 1 column. Columns are ordered by increasing OGTT glucose AUC within each sampling type to uncover relationships between glucose tolerance and metabolite clusters. Finally, rows are hierarchically clustered based on non-fasted samples to show metabolites with similar profiles, and we see </w:t>
      </w:r>
      <w:proofErr w:type="spellStart"/>
      <w:r w:rsidRPr="00BF3F8F">
        <w:rPr>
          <w:rFonts w:ascii="Arial" w:eastAsia="Times New Roman" w:hAnsi="Arial" w:cs="Arial"/>
          <w:color w:val="000000" w:themeColor="text1"/>
        </w:rPr>
        <w:t>glycerolipids</w:t>
      </w:r>
      <w:proofErr w:type="spellEnd"/>
      <w:r w:rsidRPr="00BF3F8F">
        <w:rPr>
          <w:rFonts w:ascii="Arial" w:eastAsia="Times New Roman" w:hAnsi="Arial" w:cs="Arial"/>
          <w:color w:val="000000" w:themeColor="text1"/>
        </w:rPr>
        <w:t xml:space="preserve"> (represented by purple) forming two clusters near the bottom and middle of the map. </w:t>
      </w:r>
    </w:p>
    <w:p w14:paraId="50EB80D8" w14:textId="77777777" w:rsidR="00BF3F8F" w:rsidRPr="00BF3F8F" w:rsidRDefault="00BF3F8F" w:rsidP="00BF3F8F">
      <w:pPr>
        <w:spacing w:after="240" w:line="240" w:lineRule="auto"/>
        <w:rPr>
          <w:rFonts w:ascii="Arial" w:eastAsia="Times New Roman" w:hAnsi="Arial" w:cs="Arial"/>
          <w:color w:val="000000" w:themeColor="text1"/>
          <w:sz w:val="24"/>
          <w:szCs w:val="24"/>
        </w:rPr>
      </w:pPr>
    </w:p>
    <w:p w14:paraId="75BAC1E5" w14:textId="06EB6967" w:rsidR="00BF3F8F" w:rsidRPr="00BF3F8F" w:rsidRDefault="00BF3F8F" w:rsidP="00BF3F8F">
      <w:pPr>
        <w:spacing w:before="240" w:after="240" w:line="240" w:lineRule="auto"/>
        <w:jc w:val="both"/>
        <w:rPr>
          <w:rFonts w:ascii="Arial" w:eastAsia="Times New Roman" w:hAnsi="Arial" w:cs="Arial"/>
          <w:color w:val="000000" w:themeColor="text1"/>
          <w:sz w:val="24"/>
          <w:szCs w:val="24"/>
        </w:rPr>
      </w:pPr>
      <w:r w:rsidRPr="00C11F83">
        <w:rPr>
          <w:rFonts w:ascii="Arial" w:eastAsia="Times New Roman" w:hAnsi="Arial" w:cs="Arial"/>
          <w:noProof/>
          <w:color w:val="000000" w:themeColor="text1"/>
          <w:bdr w:val="none" w:sz="0" w:space="0" w:color="auto" w:frame="1"/>
        </w:rPr>
        <w:lastRenderedPageBreak/>
        <w:drawing>
          <wp:inline distT="0" distB="0" distL="0" distR="0" wp14:anchorId="13F364B7" wp14:editId="53A1F2C6">
            <wp:extent cx="5943600" cy="3695065"/>
            <wp:effectExtent l="0" t="0" r="0" b="635"/>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p>
    <w:p w14:paraId="05A3F517" w14:textId="77777777" w:rsidR="00FF4C78" w:rsidRPr="00C11F83" w:rsidRDefault="00BF3F8F" w:rsidP="00BF3F8F">
      <w:pPr>
        <w:spacing w:after="0" w:line="240" w:lineRule="auto"/>
        <w:jc w:val="both"/>
        <w:rPr>
          <w:rFonts w:ascii="Arial" w:eastAsia="Times New Roman" w:hAnsi="Arial" w:cs="Arial"/>
          <w:b/>
          <w:bCs/>
          <w:color w:val="000000" w:themeColor="text1"/>
          <w:sz w:val="20"/>
          <w:szCs w:val="20"/>
        </w:rPr>
      </w:pPr>
      <w:r w:rsidRPr="00BF3F8F">
        <w:rPr>
          <w:rFonts w:ascii="Arial" w:eastAsia="Times New Roman" w:hAnsi="Arial" w:cs="Arial"/>
          <w:b/>
          <w:bCs/>
          <w:color w:val="000000" w:themeColor="text1"/>
          <w:sz w:val="20"/>
          <w:szCs w:val="20"/>
        </w:rPr>
        <w:t>Figure 2. Non-fasted sampling showed a greater dynamic range of metabolite values. </w:t>
      </w:r>
    </w:p>
    <w:p w14:paraId="50A7880E" w14:textId="1EFDB20A" w:rsidR="00BF3F8F" w:rsidRPr="00BF3F8F" w:rsidRDefault="00BF3F8F" w:rsidP="00BF3F8F">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b/>
          <w:bCs/>
          <w:color w:val="000000" w:themeColor="text1"/>
          <w:sz w:val="20"/>
          <w:szCs w:val="20"/>
        </w:rPr>
        <w:t xml:space="preserve">(A) </w:t>
      </w:r>
      <w:r w:rsidRPr="00BF3F8F">
        <w:rPr>
          <w:rFonts w:ascii="Arial" w:eastAsia="Times New Roman" w:hAnsi="Arial" w:cs="Arial"/>
          <w:color w:val="000000" w:themeColor="text1"/>
          <w:sz w:val="20"/>
          <w:szCs w:val="20"/>
        </w:rPr>
        <w:t xml:space="preserve">A summary of counts of 363 identified lipids, divided into 5 lipid </w:t>
      </w:r>
      <w:proofErr w:type="spellStart"/>
      <w:r w:rsidRPr="00BF3F8F">
        <w:rPr>
          <w:rFonts w:ascii="Arial" w:eastAsia="Times New Roman" w:hAnsi="Arial" w:cs="Arial"/>
          <w:color w:val="000000" w:themeColor="text1"/>
          <w:sz w:val="20"/>
          <w:szCs w:val="20"/>
        </w:rPr>
        <w:t>superclasses</w:t>
      </w:r>
      <w:proofErr w:type="spellEnd"/>
      <w:r w:rsidRPr="00BF3F8F">
        <w:rPr>
          <w:rFonts w:ascii="Arial" w:eastAsia="Times New Roman" w:hAnsi="Arial" w:cs="Arial"/>
          <w:color w:val="000000" w:themeColor="text1"/>
          <w:sz w:val="20"/>
          <w:szCs w:val="20"/>
        </w:rPr>
        <w:t xml:space="preserve"> on the inner circle, and lipid class on the outer circle. </w:t>
      </w:r>
      <w:r w:rsidRPr="00BF3F8F">
        <w:rPr>
          <w:rFonts w:ascii="Arial" w:eastAsia="Times New Roman" w:hAnsi="Arial" w:cs="Arial"/>
          <w:b/>
          <w:bCs/>
          <w:color w:val="000000" w:themeColor="text1"/>
          <w:sz w:val="20"/>
          <w:szCs w:val="20"/>
        </w:rPr>
        <w:t xml:space="preserve">(B) </w:t>
      </w:r>
      <w:r w:rsidRPr="00BF3F8F">
        <w:rPr>
          <w:rFonts w:ascii="Arial" w:eastAsia="Times New Roman" w:hAnsi="Arial" w:cs="Arial"/>
          <w:color w:val="000000" w:themeColor="text1"/>
          <w:sz w:val="20"/>
          <w:szCs w:val="20"/>
        </w:rPr>
        <w:t xml:space="preserve">A summary of counts of 80 total identified polar metabolites within 6 classes. </w:t>
      </w:r>
      <w:r w:rsidRPr="00BF3F8F">
        <w:rPr>
          <w:rFonts w:ascii="Arial" w:eastAsia="Times New Roman" w:hAnsi="Arial" w:cs="Arial"/>
          <w:b/>
          <w:bCs/>
          <w:color w:val="000000" w:themeColor="text1"/>
          <w:sz w:val="20"/>
          <w:szCs w:val="20"/>
        </w:rPr>
        <w:t xml:space="preserve">(C) </w:t>
      </w:r>
      <w:r w:rsidRPr="00BF3F8F">
        <w:rPr>
          <w:rFonts w:ascii="Arial" w:eastAsia="Times New Roman" w:hAnsi="Arial" w:cs="Arial"/>
          <w:color w:val="000000" w:themeColor="text1"/>
          <w:sz w:val="20"/>
          <w:szCs w:val="20"/>
        </w:rPr>
        <w:t>Principal component analysis (PCA) of all plasma samples using all features from both HILIC and reversed phase LC-MS methods. Principal components (PC) 1 and 2 are shown. 95% confidence interval (CI) ellipses are displayed around points based on fasted or fed sampling. Points are colored according to Nile rat OGTT glucose AUC with identical animal colors used in Figure 1.</w:t>
      </w:r>
      <w:r w:rsidRPr="00BF3F8F">
        <w:rPr>
          <w:rFonts w:ascii="Arial" w:eastAsia="Times New Roman" w:hAnsi="Arial" w:cs="Arial"/>
          <w:b/>
          <w:bCs/>
          <w:color w:val="000000" w:themeColor="text1"/>
          <w:sz w:val="20"/>
          <w:szCs w:val="20"/>
        </w:rPr>
        <w:t xml:space="preserve"> (D) </w:t>
      </w:r>
      <w:r w:rsidRPr="00BF3F8F">
        <w:rPr>
          <w:rFonts w:ascii="Arial" w:eastAsia="Times New Roman" w:hAnsi="Arial" w:cs="Arial"/>
          <w:color w:val="000000" w:themeColor="text1"/>
          <w:sz w:val="20"/>
          <w:szCs w:val="20"/>
        </w:rPr>
        <w:t xml:space="preserve">Heatmap of all identified lipids and polar metabolites, separated by fasted (left side) and non-fasted (right). Each column is the average of 3 weeks of Nile rat’s fasted or non-fasted plasma samples. Rows are clustered based on </w:t>
      </w:r>
      <w:proofErr w:type="spellStart"/>
      <w:r w:rsidRPr="00BF3F8F">
        <w:rPr>
          <w:rFonts w:ascii="Arial" w:eastAsia="Times New Roman" w:hAnsi="Arial" w:cs="Arial"/>
          <w:color w:val="000000" w:themeColor="text1"/>
          <w:sz w:val="20"/>
          <w:szCs w:val="20"/>
        </w:rPr>
        <w:t>euclidean</w:t>
      </w:r>
      <w:proofErr w:type="spellEnd"/>
      <w:r w:rsidRPr="00BF3F8F">
        <w:rPr>
          <w:rFonts w:ascii="Arial" w:eastAsia="Times New Roman" w:hAnsi="Arial" w:cs="Arial"/>
          <w:color w:val="000000" w:themeColor="text1"/>
          <w:sz w:val="20"/>
          <w:szCs w:val="20"/>
        </w:rPr>
        <w:t xml:space="preserve"> distance with complete linkage for each metabolite profile across only non-fasted plasma samples. Lipid superclass and metabolite class are given in vertical </w:t>
      </w:r>
      <w:proofErr w:type="spellStart"/>
      <w:r w:rsidRPr="00BF3F8F">
        <w:rPr>
          <w:rFonts w:ascii="Arial" w:eastAsia="Times New Roman" w:hAnsi="Arial" w:cs="Arial"/>
          <w:color w:val="000000" w:themeColor="text1"/>
          <w:sz w:val="20"/>
          <w:szCs w:val="20"/>
        </w:rPr>
        <w:t>colorbars</w:t>
      </w:r>
      <w:proofErr w:type="spellEnd"/>
      <w:r w:rsidRPr="00BF3F8F">
        <w:rPr>
          <w:rFonts w:ascii="Arial" w:eastAsia="Times New Roman" w:hAnsi="Arial" w:cs="Arial"/>
          <w:color w:val="000000" w:themeColor="text1"/>
          <w:sz w:val="20"/>
          <w:szCs w:val="20"/>
        </w:rPr>
        <w:t xml:space="preserve">. Metabolite abundances are given as log2 fold change of the difference from feature-wise mean of fasted samples. Abbreviations: AC acylcarnitine; FA fatty acyl; CE cholesteryl ester; </w:t>
      </w:r>
      <w:proofErr w:type="spellStart"/>
      <w:proofErr w:type="gramStart"/>
      <w:r w:rsidRPr="00BF3F8F">
        <w:rPr>
          <w:rFonts w:ascii="Arial" w:eastAsia="Times New Roman" w:hAnsi="Arial" w:cs="Arial"/>
          <w:color w:val="000000" w:themeColor="text1"/>
          <w:sz w:val="20"/>
          <w:szCs w:val="20"/>
        </w:rPr>
        <w:t>Cer</w:t>
      </w:r>
      <w:proofErr w:type="spellEnd"/>
      <w:r w:rsidRPr="00BF3F8F">
        <w:rPr>
          <w:rFonts w:ascii="Arial" w:eastAsia="Times New Roman" w:hAnsi="Arial" w:cs="Arial"/>
          <w:color w:val="000000" w:themeColor="text1"/>
          <w:sz w:val="20"/>
          <w:szCs w:val="20"/>
        </w:rPr>
        <w:t>[</w:t>
      </w:r>
      <w:proofErr w:type="gramEnd"/>
      <w:r w:rsidRPr="00BF3F8F">
        <w:rPr>
          <w:rFonts w:ascii="Arial" w:eastAsia="Times New Roman" w:hAnsi="Arial" w:cs="Arial"/>
          <w:color w:val="000000" w:themeColor="text1"/>
          <w:sz w:val="20"/>
          <w:szCs w:val="20"/>
        </w:rPr>
        <w:t>NS] ceramide non-hydroxylated fatty acyl sphingosine; SM sphingomyelin; PE phosphatidylethanolamine; PC phosphatidylcholine; PI phosphatidylinositol; DG diacylglycerol; TG triacylglycerol.</w:t>
      </w:r>
    </w:p>
    <w:p w14:paraId="461B66D7" w14:textId="77777777" w:rsidR="00BF3F8F" w:rsidRPr="00BF3F8F" w:rsidRDefault="00BF3F8F" w:rsidP="00BF3F8F">
      <w:pPr>
        <w:spacing w:after="240" w:line="240" w:lineRule="auto"/>
        <w:rPr>
          <w:rFonts w:ascii="Arial" w:eastAsia="Times New Roman" w:hAnsi="Arial" w:cs="Arial"/>
          <w:color w:val="000000" w:themeColor="text1"/>
          <w:sz w:val="24"/>
          <w:szCs w:val="24"/>
        </w:rPr>
      </w:pPr>
    </w:p>
    <w:p w14:paraId="24451335"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To quantify the difference between repeated measures of plasma metabolites in fasted versus non-fasted, we calculated percent relative standard deviation differences (%RSD) for each compound </w:t>
      </w:r>
      <w:hyperlink r:id="rId37" w:history="1">
        <w:r w:rsidRPr="00BF3F8F">
          <w:rPr>
            <w:rFonts w:ascii="Arial" w:eastAsia="Times New Roman" w:hAnsi="Arial" w:cs="Arial"/>
            <w:color w:val="000000" w:themeColor="text1"/>
            <w:sz w:val="18"/>
            <w:szCs w:val="13"/>
            <w:vertAlign w:val="superscript"/>
          </w:rPr>
          <w:t>37</w:t>
        </w:r>
      </w:hyperlink>
      <w:r w:rsidRPr="00BF3F8F">
        <w:rPr>
          <w:rFonts w:ascii="Arial" w:eastAsia="Times New Roman" w:hAnsi="Arial" w:cs="Arial"/>
          <w:color w:val="000000" w:themeColor="text1"/>
        </w:rPr>
        <w:t>. The per-compound %RSDs were summarized into groups based on animal and compound class (</w:t>
      </w:r>
      <w:r w:rsidRPr="00BF3F8F">
        <w:rPr>
          <w:rFonts w:ascii="Arial" w:eastAsia="Times New Roman" w:hAnsi="Arial" w:cs="Arial"/>
          <w:b/>
          <w:bCs/>
          <w:color w:val="000000" w:themeColor="text1"/>
        </w:rPr>
        <w:t>Figure 3</w:t>
      </w:r>
      <w:r w:rsidRPr="00BF3F8F">
        <w:rPr>
          <w:rFonts w:ascii="Arial" w:eastAsia="Times New Roman" w:hAnsi="Arial" w:cs="Arial"/>
          <w:color w:val="000000" w:themeColor="text1"/>
        </w:rPr>
        <w:t>). A lower %RSD shows better repeatability of quantitation and is necessary for confidence in the sampling method. While it is expected that non-fasted sampling would lead to much greater variance than fasted sampling</w:t>
      </w:r>
      <w:hyperlink r:id="rId38" w:history="1">
        <w:r w:rsidRPr="00BF3F8F">
          <w:rPr>
            <w:rFonts w:ascii="Arial" w:eastAsia="Times New Roman" w:hAnsi="Arial" w:cs="Arial"/>
            <w:color w:val="000000" w:themeColor="text1"/>
            <w:sz w:val="18"/>
            <w:szCs w:val="13"/>
            <w:vertAlign w:val="superscript"/>
          </w:rPr>
          <w:t>38–40</w:t>
        </w:r>
      </w:hyperlink>
      <w:r w:rsidRPr="00BF3F8F">
        <w:rPr>
          <w:rFonts w:ascii="Arial" w:eastAsia="Times New Roman" w:hAnsi="Arial" w:cs="Arial"/>
          <w:color w:val="000000" w:themeColor="text1"/>
        </w:rPr>
        <w:t xml:space="preserve">, 5 out of 10 animals showed lower median variance per compound in replicate non-fasted sampling versus replicate fasted sampling. </w:t>
      </w:r>
      <w:r w:rsidRPr="00BF3F8F">
        <w:rPr>
          <w:rFonts w:ascii="Arial" w:eastAsia="Times New Roman" w:hAnsi="Arial" w:cs="Arial"/>
          <w:b/>
          <w:bCs/>
          <w:color w:val="000000" w:themeColor="text1"/>
        </w:rPr>
        <w:t xml:space="preserve">Figure 3A </w:t>
      </w:r>
      <w:r w:rsidRPr="00BF3F8F">
        <w:rPr>
          <w:rFonts w:ascii="Arial" w:eastAsia="Times New Roman" w:hAnsi="Arial" w:cs="Arial"/>
          <w:color w:val="000000" w:themeColor="text1"/>
        </w:rPr>
        <w:t>gives the median % RSD for all metabolites in each Nile rat between fasted and non-fasted. When grouped by compound class, 11 out of 16 lipid compound classes have lower median % RSD, and all 6 polar metabolite classes have lower median % RSD (</w:t>
      </w:r>
      <w:r w:rsidRPr="00BF3F8F">
        <w:rPr>
          <w:rFonts w:ascii="Arial" w:eastAsia="Times New Roman" w:hAnsi="Arial" w:cs="Arial"/>
          <w:b/>
          <w:bCs/>
          <w:color w:val="000000" w:themeColor="text1"/>
        </w:rPr>
        <w:t>Figure 3c-d</w:t>
      </w:r>
      <w:r w:rsidRPr="00BF3F8F">
        <w:rPr>
          <w:rFonts w:ascii="Arial" w:eastAsia="Times New Roman" w:hAnsi="Arial" w:cs="Arial"/>
          <w:color w:val="000000" w:themeColor="text1"/>
        </w:rPr>
        <w:t xml:space="preserve">). It is notable that triacylglycerols (TG) show higher RSDs while non-fasted. Given that feeding </w:t>
      </w:r>
      <w:r w:rsidRPr="00BF3F8F">
        <w:rPr>
          <w:rFonts w:ascii="Arial" w:eastAsia="Times New Roman" w:hAnsi="Arial" w:cs="Arial"/>
          <w:color w:val="000000" w:themeColor="text1"/>
        </w:rPr>
        <w:lastRenderedPageBreak/>
        <w:t xml:space="preserve">generally upregulates TGs in blood, and that their abundance is strongly influenced by diet and quantity of calories consumed, it is expected that TG variance will be higher following </w:t>
      </w:r>
      <w:hyperlink r:id="rId39" w:history="1">
        <w:r w:rsidRPr="00BF3F8F">
          <w:rPr>
            <w:rFonts w:ascii="Arial" w:eastAsia="Times New Roman" w:hAnsi="Arial" w:cs="Arial"/>
            <w:color w:val="000000" w:themeColor="text1"/>
            <w:sz w:val="18"/>
            <w:szCs w:val="13"/>
            <w:vertAlign w:val="superscript"/>
          </w:rPr>
          <w:t>41</w:t>
        </w:r>
      </w:hyperlink>
      <w:r w:rsidRPr="00BF3F8F">
        <w:rPr>
          <w:rFonts w:ascii="Arial" w:eastAsia="Times New Roman" w:hAnsi="Arial" w:cs="Arial"/>
          <w:color w:val="000000" w:themeColor="text1"/>
        </w:rPr>
        <w:t>random-feeding</w:t>
      </w:r>
      <w:hyperlink r:id="rId40" w:history="1">
        <w:r w:rsidRPr="00BF3F8F">
          <w:rPr>
            <w:rFonts w:ascii="Arial" w:eastAsia="Times New Roman" w:hAnsi="Arial" w:cs="Arial"/>
            <w:color w:val="000000" w:themeColor="text1"/>
            <w:sz w:val="18"/>
            <w:szCs w:val="13"/>
            <w:vertAlign w:val="superscript"/>
          </w:rPr>
          <w:t>42</w:t>
        </w:r>
      </w:hyperlink>
      <w:r w:rsidRPr="00BF3F8F">
        <w:rPr>
          <w:rFonts w:ascii="Arial" w:eastAsia="Times New Roman" w:hAnsi="Arial" w:cs="Arial"/>
          <w:color w:val="000000" w:themeColor="text1"/>
        </w:rPr>
        <w:t>. </w:t>
      </w:r>
    </w:p>
    <w:p w14:paraId="08FEAE93"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D7BFA78" w14:textId="7D1D38E5" w:rsidR="00FF4C78" w:rsidRPr="00C11F83"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To compare the variance in metabolite quantitation to the variance in random blood glucose (RBG)</w:t>
      </w:r>
      <w:hyperlink r:id="rId41" w:history="1">
        <w:r w:rsidRPr="00BF3F8F">
          <w:rPr>
            <w:rFonts w:ascii="Arial" w:eastAsia="Times New Roman" w:hAnsi="Arial" w:cs="Arial"/>
            <w:color w:val="000000" w:themeColor="text1"/>
            <w:sz w:val="18"/>
            <w:szCs w:val="13"/>
            <w:vertAlign w:val="superscript"/>
          </w:rPr>
          <w:t>43</w:t>
        </w:r>
      </w:hyperlink>
      <w:r w:rsidRPr="00BF3F8F">
        <w:rPr>
          <w:rFonts w:ascii="Arial" w:eastAsia="Times New Roman" w:hAnsi="Arial" w:cs="Arial"/>
          <w:color w:val="000000" w:themeColor="text1"/>
        </w:rPr>
        <w:t>, we measured RBG every hour over a 12 hour period for a cohort of 13 different Nile rats (</w:t>
      </w:r>
      <w:r w:rsidRPr="00BF3F8F">
        <w:rPr>
          <w:rFonts w:ascii="Arial" w:eastAsia="Times New Roman" w:hAnsi="Arial" w:cs="Arial"/>
          <w:b/>
          <w:bCs/>
          <w:color w:val="000000" w:themeColor="text1"/>
        </w:rPr>
        <w:t>Figure 3B</w:t>
      </w:r>
      <w:r w:rsidRPr="00BF3F8F">
        <w:rPr>
          <w:rFonts w:ascii="Arial" w:eastAsia="Times New Roman" w:hAnsi="Arial" w:cs="Arial"/>
          <w:color w:val="000000" w:themeColor="text1"/>
        </w:rPr>
        <w:t>). Repeated measures of RBG shows that all hours of the day show approximately equal variance around the Nile rat’s median quantitation, except for 10 am which may be an indicator of the dawn phenomenon of RBG in diabetes. Additionally, RBG variance is approximately the same across all Nile rats regardless of average RBG. Importantly, 3B and 3C show that Nile rats do not exhibit the same spike in RBG that accompanies non-random feeding of large meals like what occurs in humans</w:t>
      </w:r>
      <w:hyperlink r:id="rId42" w:history="1">
        <w:r w:rsidRPr="00BF3F8F">
          <w:rPr>
            <w:rFonts w:ascii="Arial" w:eastAsia="Times New Roman" w:hAnsi="Arial" w:cs="Arial"/>
            <w:color w:val="000000" w:themeColor="text1"/>
            <w:sz w:val="18"/>
            <w:szCs w:val="13"/>
            <w:vertAlign w:val="superscript"/>
          </w:rPr>
          <w:t>44</w:t>
        </w:r>
      </w:hyperlink>
      <w:r w:rsidRPr="00BF3F8F">
        <w:rPr>
          <w:rFonts w:ascii="Arial" w:eastAsia="Times New Roman" w:hAnsi="Arial" w:cs="Arial"/>
          <w:color w:val="000000" w:themeColor="text1"/>
        </w:rPr>
        <w:t>.</w:t>
      </w:r>
    </w:p>
    <w:p w14:paraId="651C9337" w14:textId="77777777" w:rsidR="00FF4C78" w:rsidRPr="00C11F83" w:rsidRDefault="00FF4C78">
      <w:pPr>
        <w:rPr>
          <w:rFonts w:ascii="Arial" w:eastAsia="Times New Roman" w:hAnsi="Arial" w:cs="Arial"/>
          <w:color w:val="000000" w:themeColor="text1"/>
        </w:rPr>
      </w:pPr>
      <w:r w:rsidRPr="00C11F83">
        <w:rPr>
          <w:rFonts w:ascii="Arial" w:eastAsia="Times New Roman" w:hAnsi="Arial" w:cs="Arial"/>
          <w:color w:val="000000" w:themeColor="text1"/>
        </w:rPr>
        <w:br w:type="page"/>
      </w:r>
    </w:p>
    <w:p w14:paraId="6EF30BEB"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p>
    <w:p w14:paraId="0844A8DC"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4D0EBC8A" w14:textId="4432107E"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C11F83">
        <w:rPr>
          <w:rFonts w:ascii="Arial" w:eastAsia="Times New Roman" w:hAnsi="Arial" w:cs="Arial"/>
          <w:noProof/>
          <w:color w:val="000000" w:themeColor="text1"/>
          <w:sz w:val="20"/>
          <w:szCs w:val="20"/>
          <w:bdr w:val="none" w:sz="0" w:space="0" w:color="auto" w:frame="1"/>
        </w:rPr>
        <w:drawing>
          <wp:inline distT="0" distB="0" distL="0" distR="0" wp14:anchorId="7B6B736E" wp14:editId="4C438431">
            <wp:extent cx="4768048" cy="535437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77518" cy="5365009"/>
                    </a:xfrm>
                    <a:prstGeom prst="rect">
                      <a:avLst/>
                    </a:prstGeom>
                    <a:noFill/>
                    <a:ln>
                      <a:noFill/>
                    </a:ln>
                  </pic:spPr>
                </pic:pic>
              </a:graphicData>
            </a:graphic>
          </wp:inline>
        </w:drawing>
      </w:r>
    </w:p>
    <w:p w14:paraId="4963D1F3" w14:textId="77777777" w:rsidR="00BF3F8F" w:rsidRPr="00BF3F8F" w:rsidRDefault="00BF3F8F" w:rsidP="00BF3F8F">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b/>
          <w:bCs/>
          <w:color w:val="000000" w:themeColor="text1"/>
          <w:sz w:val="20"/>
          <w:szCs w:val="20"/>
        </w:rPr>
        <w:t xml:space="preserve">Figure 3. Non-fasted plasma metabolites show similar variance compared to fasted sampling within animal and within metabolite class.  </w:t>
      </w: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For each polar metabolite and lipid, the variance is calculated within-animal by percent relative standard deviation (% RSD) of each quantitation over the 3 weeks of plasma sampling at age 8, 9 and 10 weeks. Plasma samples are separated by non-fasted and fasted conditions. The median of all metabolite % RSDs is calculated for each rat and given on the left 10 columns. 5 out of 10 Nile rats show lower median repeated measures RSD for all lipids and polar metabolites in non-fasted condition versus fasted. On the right side, within-animal % RSDs are combined across all animals and all metabolites within metabolite molecule class. 17 out of 22 molecule classes show lower median repeated measures RSD in non-fasted versus fasted. </w:t>
      </w:r>
    </w:p>
    <w:p w14:paraId="4B22B84C" w14:textId="04007C13" w:rsidR="00FF4C78" w:rsidRPr="00C11F83" w:rsidRDefault="00BF3F8F" w:rsidP="00FF4C78">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Random blood glucose was measured for a separate cohort of 13 Nile rats every hour over 12 hours from 10 am to 10 pm. The percent difference between each hour’s measurement and the rat’s average RBG is plotted over time.  (</w:t>
      </w:r>
      <w:r w:rsidRPr="00BF3F8F">
        <w:rPr>
          <w:rFonts w:ascii="Arial" w:eastAsia="Times New Roman" w:hAnsi="Arial" w:cs="Arial"/>
          <w:b/>
          <w:bCs/>
          <w:color w:val="000000" w:themeColor="text1"/>
          <w:sz w:val="20"/>
          <w:szCs w:val="20"/>
        </w:rPr>
        <w:t>C</w:t>
      </w:r>
      <w:r w:rsidRPr="00BF3F8F">
        <w:rPr>
          <w:rFonts w:ascii="Arial" w:eastAsia="Times New Roman" w:hAnsi="Arial" w:cs="Arial"/>
          <w:color w:val="000000" w:themeColor="text1"/>
          <w:sz w:val="20"/>
          <w:szCs w:val="20"/>
        </w:rPr>
        <w:t xml:space="preserve">) The RBG measurements of all 12 hours are shown for each rat to show the breadth of RBG levels for all rats. Abbreviations: DG diacylglycerol; PI phosphatidylinositol; SM sphingomyelin; PE phosphatidylethanolamine; CE cholesteryl ester; PC phosphatidylcholine; AC acylcarnitine; </w:t>
      </w:r>
      <w:proofErr w:type="spellStart"/>
      <w:proofErr w:type="gramStart"/>
      <w:r w:rsidRPr="00BF3F8F">
        <w:rPr>
          <w:rFonts w:ascii="Arial" w:eastAsia="Times New Roman" w:hAnsi="Arial" w:cs="Arial"/>
          <w:color w:val="000000" w:themeColor="text1"/>
          <w:sz w:val="20"/>
          <w:szCs w:val="20"/>
        </w:rPr>
        <w:t>Cer</w:t>
      </w:r>
      <w:proofErr w:type="spellEnd"/>
      <w:r w:rsidRPr="00BF3F8F">
        <w:rPr>
          <w:rFonts w:ascii="Arial" w:eastAsia="Times New Roman" w:hAnsi="Arial" w:cs="Arial"/>
          <w:color w:val="000000" w:themeColor="text1"/>
          <w:sz w:val="20"/>
          <w:szCs w:val="20"/>
        </w:rPr>
        <w:t>[</w:t>
      </w:r>
      <w:proofErr w:type="gramEnd"/>
      <w:r w:rsidRPr="00BF3F8F">
        <w:rPr>
          <w:rFonts w:ascii="Arial" w:eastAsia="Times New Roman" w:hAnsi="Arial" w:cs="Arial"/>
          <w:color w:val="000000" w:themeColor="text1"/>
          <w:sz w:val="20"/>
          <w:szCs w:val="20"/>
        </w:rPr>
        <w:t xml:space="preserve">NS] ceramide non-hydroxylated fatty acyl sphingosine; FA fatty acid; TG triacylglycerol; RBG random blood glucose. </w:t>
      </w:r>
    </w:p>
    <w:p w14:paraId="0E050C9C" w14:textId="77777777" w:rsidR="00FF4C78" w:rsidRPr="00BF3F8F" w:rsidRDefault="00FF4C78" w:rsidP="00FF4C78">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lastRenderedPageBreak/>
        <w:t xml:space="preserve">To show the combined effect of glucose tolerance and fasted versus non-fasted state on metabolite abundance, we demonstrate this effect on one metabolite, 3-hydroxybutyrate (3HB) in </w:t>
      </w:r>
      <w:r w:rsidRPr="00BF3F8F">
        <w:rPr>
          <w:rFonts w:ascii="Arial" w:eastAsia="Times New Roman" w:hAnsi="Arial" w:cs="Arial"/>
          <w:b/>
          <w:bCs/>
          <w:color w:val="000000" w:themeColor="text1"/>
        </w:rPr>
        <w:t>Figure 4A and 4B</w:t>
      </w:r>
      <w:r w:rsidRPr="00BF3F8F">
        <w:rPr>
          <w:rFonts w:ascii="Arial" w:eastAsia="Times New Roman" w:hAnsi="Arial" w:cs="Arial"/>
          <w:color w:val="000000" w:themeColor="text1"/>
        </w:rPr>
        <w:t xml:space="preserve">, then show the effect on all identified polar metabolites in </w:t>
      </w:r>
      <w:r w:rsidRPr="00BF3F8F">
        <w:rPr>
          <w:rFonts w:ascii="Arial" w:eastAsia="Times New Roman" w:hAnsi="Arial" w:cs="Arial"/>
          <w:b/>
          <w:bCs/>
          <w:color w:val="000000" w:themeColor="text1"/>
        </w:rPr>
        <w:t xml:space="preserve">Figure 4C and 4D. </w:t>
      </w:r>
      <w:r w:rsidRPr="00BF3F8F">
        <w:rPr>
          <w:rFonts w:ascii="Arial" w:eastAsia="Times New Roman" w:hAnsi="Arial" w:cs="Arial"/>
          <w:color w:val="000000" w:themeColor="text1"/>
        </w:rPr>
        <w:t xml:space="preserve">In </w:t>
      </w:r>
      <w:r w:rsidRPr="00BF3F8F">
        <w:rPr>
          <w:rFonts w:ascii="Arial" w:eastAsia="Times New Roman" w:hAnsi="Arial" w:cs="Arial"/>
          <w:b/>
          <w:bCs/>
          <w:color w:val="000000" w:themeColor="text1"/>
        </w:rPr>
        <w:t>Figure 4A</w:t>
      </w:r>
      <w:r w:rsidRPr="00BF3F8F">
        <w:rPr>
          <w:rFonts w:ascii="Arial" w:eastAsia="Times New Roman" w:hAnsi="Arial" w:cs="Arial"/>
          <w:color w:val="000000" w:themeColor="text1"/>
        </w:rPr>
        <w:t xml:space="preserve">, the abundance of 3HB is divided into quantitations from fasted and non-fasted plasma samples. These 2 groups can be analyzed by t-test to show the differential abundance at an average fold change of 1.5 higher in fasted, with significance level p &lt; 0.0001. However, this bulk analysis of fasted versus non-fasted obscures the effect that glucose tolerance has on the quantitation of 3HB within each Nile rat in each sampling group. These results are shown for 3HB in </w:t>
      </w:r>
      <w:r w:rsidRPr="00BF3F8F">
        <w:rPr>
          <w:rFonts w:ascii="Arial" w:eastAsia="Times New Roman" w:hAnsi="Arial" w:cs="Arial"/>
          <w:b/>
          <w:bCs/>
          <w:color w:val="000000" w:themeColor="text1"/>
        </w:rPr>
        <w:t>Figure 4B</w:t>
      </w:r>
      <w:r w:rsidRPr="00BF3F8F">
        <w:rPr>
          <w:rFonts w:ascii="Arial" w:eastAsia="Times New Roman" w:hAnsi="Arial" w:cs="Arial"/>
          <w:color w:val="000000" w:themeColor="text1"/>
        </w:rPr>
        <w:t xml:space="preserve">, which plots the abundance of 3HB versus the glucose tolerance of each rat, separated by sampling. We see that fasted and non-fasted show a linear relationship with 3HB abundance, except that fasted shows a negative relationship, whereas non-fasted shows a positive correlation. The analysis on 3HB in </w:t>
      </w:r>
      <w:r w:rsidRPr="00BF3F8F">
        <w:rPr>
          <w:rFonts w:ascii="Arial" w:eastAsia="Times New Roman" w:hAnsi="Arial" w:cs="Arial"/>
          <w:b/>
          <w:bCs/>
          <w:color w:val="000000" w:themeColor="text1"/>
        </w:rPr>
        <w:t>4A and 4B</w:t>
      </w:r>
      <w:r w:rsidRPr="00BF3F8F">
        <w:rPr>
          <w:rFonts w:ascii="Arial" w:eastAsia="Times New Roman" w:hAnsi="Arial" w:cs="Arial"/>
          <w:color w:val="000000" w:themeColor="text1"/>
        </w:rPr>
        <w:t xml:space="preserve"> was repeated for all identified polar metabolites to yield the volcano plot in </w:t>
      </w:r>
      <w:r w:rsidRPr="00BF3F8F">
        <w:rPr>
          <w:rFonts w:ascii="Arial" w:eastAsia="Times New Roman" w:hAnsi="Arial" w:cs="Arial"/>
          <w:b/>
          <w:bCs/>
          <w:color w:val="000000" w:themeColor="text1"/>
        </w:rPr>
        <w:t>Figure 4C</w:t>
      </w:r>
      <w:r w:rsidRPr="00BF3F8F">
        <w:rPr>
          <w:rFonts w:ascii="Arial" w:eastAsia="Times New Roman" w:hAnsi="Arial" w:cs="Arial"/>
          <w:color w:val="000000" w:themeColor="text1"/>
        </w:rPr>
        <w:t xml:space="preserve"> and the glucose tolerance slope plot in </w:t>
      </w:r>
      <w:r w:rsidRPr="00BF3F8F">
        <w:rPr>
          <w:rFonts w:ascii="Arial" w:eastAsia="Times New Roman" w:hAnsi="Arial" w:cs="Arial"/>
          <w:b/>
          <w:bCs/>
          <w:color w:val="000000" w:themeColor="text1"/>
        </w:rPr>
        <w:t>Figure 4D</w:t>
      </w:r>
      <w:r w:rsidRPr="00BF3F8F">
        <w:rPr>
          <w:rFonts w:ascii="Arial" w:eastAsia="Times New Roman" w:hAnsi="Arial" w:cs="Arial"/>
          <w:color w:val="000000" w:themeColor="text1"/>
        </w:rPr>
        <w:t xml:space="preserve">, with 3HB highlighted in each plot to show how the data give rise to its location in the plot. In </w:t>
      </w:r>
      <w:r w:rsidRPr="00BF3F8F">
        <w:rPr>
          <w:rFonts w:ascii="Arial" w:eastAsia="Times New Roman" w:hAnsi="Arial" w:cs="Arial"/>
          <w:b/>
          <w:bCs/>
          <w:color w:val="000000" w:themeColor="text1"/>
        </w:rPr>
        <w:t>4C</w:t>
      </w:r>
      <w:r w:rsidRPr="00BF3F8F">
        <w:rPr>
          <w:rFonts w:ascii="Arial" w:eastAsia="Times New Roman" w:hAnsi="Arial" w:cs="Arial"/>
          <w:color w:val="000000" w:themeColor="text1"/>
        </w:rPr>
        <w:t xml:space="preserve">, organic acid species such as </w:t>
      </w:r>
      <w:proofErr w:type="spellStart"/>
      <w:r w:rsidRPr="00BF3F8F">
        <w:rPr>
          <w:rFonts w:ascii="Arial" w:eastAsia="Times New Roman" w:hAnsi="Arial" w:cs="Arial"/>
          <w:color w:val="000000" w:themeColor="text1"/>
        </w:rPr>
        <w:t>quinic</w:t>
      </w:r>
      <w:proofErr w:type="spellEnd"/>
      <w:r w:rsidRPr="00BF3F8F">
        <w:rPr>
          <w:rFonts w:ascii="Arial" w:eastAsia="Times New Roman" w:hAnsi="Arial" w:cs="Arial"/>
          <w:color w:val="000000" w:themeColor="text1"/>
        </w:rPr>
        <w:t xml:space="preserve"> acid and </w:t>
      </w:r>
      <w:proofErr w:type="spellStart"/>
      <w:r w:rsidRPr="00BF3F8F">
        <w:rPr>
          <w:rFonts w:ascii="Arial" w:eastAsia="Times New Roman" w:hAnsi="Arial" w:cs="Arial"/>
          <w:color w:val="000000" w:themeColor="text1"/>
        </w:rPr>
        <w:t>hydrocinnamate</w:t>
      </w:r>
      <w:proofErr w:type="spellEnd"/>
      <w:r w:rsidRPr="00BF3F8F">
        <w:rPr>
          <w:rFonts w:ascii="Arial" w:eastAsia="Times New Roman" w:hAnsi="Arial" w:cs="Arial"/>
          <w:color w:val="000000" w:themeColor="text1"/>
        </w:rPr>
        <w:t>, metabolites associated with consumption of plant matter</w:t>
      </w:r>
      <w:hyperlink r:id="rId44" w:history="1">
        <w:r w:rsidRPr="00BF3F8F">
          <w:rPr>
            <w:rFonts w:ascii="Arial" w:eastAsia="Times New Roman" w:hAnsi="Arial" w:cs="Arial"/>
            <w:color w:val="000000" w:themeColor="text1"/>
            <w:sz w:val="18"/>
            <w:szCs w:val="13"/>
            <w:vertAlign w:val="superscript"/>
          </w:rPr>
          <w:t>45</w:t>
        </w:r>
      </w:hyperlink>
      <w:r w:rsidRPr="00BF3F8F">
        <w:rPr>
          <w:rFonts w:ascii="Arial" w:eastAsia="Times New Roman" w:hAnsi="Arial" w:cs="Arial"/>
          <w:color w:val="000000" w:themeColor="text1"/>
        </w:rPr>
        <w:t xml:space="preserve">, are highly </w:t>
      </w:r>
      <w:proofErr w:type="gramStart"/>
      <w:r w:rsidRPr="00BF3F8F">
        <w:rPr>
          <w:rFonts w:ascii="Arial" w:eastAsia="Times New Roman" w:hAnsi="Arial" w:cs="Arial"/>
          <w:color w:val="000000" w:themeColor="text1"/>
        </w:rPr>
        <w:t>up-regulated</w:t>
      </w:r>
      <w:proofErr w:type="gramEnd"/>
      <w:r w:rsidRPr="00BF3F8F">
        <w:rPr>
          <w:rFonts w:ascii="Arial" w:eastAsia="Times New Roman" w:hAnsi="Arial" w:cs="Arial"/>
          <w:color w:val="000000" w:themeColor="text1"/>
        </w:rPr>
        <w:t xml:space="preserve"> in non-fasted samples. Additionally, the branched chain amino acids (BCAA) leucine and isoleucine are commonly implicated in diabetes</w:t>
      </w:r>
      <w:hyperlink r:id="rId45" w:history="1">
        <w:r w:rsidRPr="00BF3F8F">
          <w:rPr>
            <w:rFonts w:ascii="Arial" w:eastAsia="Times New Roman" w:hAnsi="Arial" w:cs="Arial"/>
            <w:color w:val="000000" w:themeColor="text1"/>
            <w:sz w:val="18"/>
            <w:szCs w:val="13"/>
            <w:vertAlign w:val="superscript"/>
          </w:rPr>
          <w:t>46</w:t>
        </w:r>
      </w:hyperlink>
      <w:r w:rsidRPr="00BF3F8F">
        <w:rPr>
          <w:rFonts w:ascii="Arial" w:eastAsia="Times New Roman" w:hAnsi="Arial" w:cs="Arial"/>
          <w:color w:val="000000" w:themeColor="text1"/>
        </w:rPr>
        <w:t xml:space="preserve"> and are </w:t>
      </w:r>
      <w:proofErr w:type="gramStart"/>
      <w:r w:rsidRPr="00BF3F8F">
        <w:rPr>
          <w:rFonts w:ascii="Arial" w:eastAsia="Times New Roman" w:hAnsi="Arial" w:cs="Arial"/>
          <w:color w:val="000000" w:themeColor="text1"/>
        </w:rPr>
        <w:t>up-regulated</w:t>
      </w:r>
      <w:proofErr w:type="gramEnd"/>
      <w:r w:rsidRPr="00BF3F8F">
        <w:rPr>
          <w:rFonts w:ascii="Arial" w:eastAsia="Times New Roman" w:hAnsi="Arial" w:cs="Arial"/>
          <w:color w:val="000000" w:themeColor="text1"/>
        </w:rPr>
        <w:t xml:space="preserve"> in non-fasted samples. Their effect </w:t>
      </w:r>
      <w:proofErr w:type="gramStart"/>
      <w:r w:rsidRPr="00BF3F8F">
        <w:rPr>
          <w:rFonts w:ascii="Arial" w:eastAsia="Times New Roman" w:hAnsi="Arial" w:cs="Arial"/>
          <w:color w:val="000000" w:themeColor="text1"/>
        </w:rPr>
        <w:t>in regards to</w:t>
      </w:r>
      <w:proofErr w:type="gramEnd"/>
      <w:r w:rsidRPr="00BF3F8F">
        <w:rPr>
          <w:rFonts w:ascii="Arial" w:eastAsia="Times New Roman" w:hAnsi="Arial" w:cs="Arial"/>
          <w:color w:val="000000" w:themeColor="text1"/>
        </w:rPr>
        <w:t xml:space="preserve"> glucose tolerance is most pronounced in non-fasted sampling, with a positive slope approximately twice as high in non-fasted compared to the negative slope in fasted sampling as given by their position in </w:t>
      </w:r>
      <w:r w:rsidRPr="00BF3F8F">
        <w:rPr>
          <w:rFonts w:ascii="Arial" w:eastAsia="Times New Roman" w:hAnsi="Arial" w:cs="Arial"/>
          <w:b/>
          <w:bCs/>
          <w:color w:val="000000" w:themeColor="text1"/>
        </w:rPr>
        <w:t>4D</w:t>
      </w:r>
      <w:r w:rsidRPr="00BF3F8F">
        <w:rPr>
          <w:rFonts w:ascii="Arial" w:eastAsia="Times New Roman" w:hAnsi="Arial" w:cs="Arial"/>
          <w:color w:val="000000" w:themeColor="text1"/>
        </w:rPr>
        <w:t>. </w:t>
      </w:r>
    </w:p>
    <w:p w14:paraId="65558822"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p>
    <w:p w14:paraId="0B0EA555" w14:textId="110F5A28"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C11F83">
        <w:rPr>
          <w:rFonts w:ascii="Arial" w:eastAsia="Times New Roman" w:hAnsi="Arial" w:cs="Arial"/>
          <w:b/>
          <w:bCs/>
          <w:noProof/>
          <w:color w:val="000000" w:themeColor="text1"/>
          <w:sz w:val="20"/>
          <w:szCs w:val="20"/>
          <w:bdr w:val="none" w:sz="0" w:space="0" w:color="auto" w:frame="1"/>
        </w:rPr>
        <w:lastRenderedPageBreak/>
        <w:drawing>
          <wp:inline distT="0" distB="0" distL="0" distR="0" wp14:anchorId="64383094" wp14:editId="1415529F">
            <wp:extent cx="5943600" cy="5775325"/>
            <wp:effectExtent l="0" t="0" r="0" b="0"/>
            <wp:docPr id="4" name="Picture 4"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75325"/>
                    </a:xfrm>
                    <a:prstGeom prst="rect">
                      <a:avLst/>
                    </a:prstGeom>
                    <a:noFill/>
                    <a:ln>
                      <a:noFill/>
                    </a:ln>
                  </pic:spPr>
                </pic:pic>
              </a:graphicData>
            </a:graphic>
          </wp:inline>
        </w:drawing>
      </w:r>
    </w:p>
    <w:p w14:paraId="4BE971FD" w14:textId="77777777" w:rsidR="00BF3F8F" w:rsidRPr="00BF3F8F" w:rsidRDefault="00BF3F8F" w:rsidP="00BF3F8F">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b/>
          <w:bCs/>
          <w:color w:val="000000" w:themeColor="text1"/>
          <w:sz w:val="20"/>
          <w:szCs w:val="20"/>
        </w:rPr>
        <w:t>Figure 4 - Polar plasma metabolites display differential behavior between fasted and non-fasted. </w:t>
      </w:r>
    </w:p>
    <w:p w14:paraId="55C6D505" w14:textId="77777777" w:rsidR="00BF3F8F" w:rsidRPr="00BF3F8F" w:rsidRDefault="00BF3F8F" w:rsidP="00BF3F8F">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The abundance of 3-hydroxybutyrate is plotted and summarized in a box plot, with group based on quantitation in fasted or non-fasted plasma samples. (</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xml:space="preserve">) The abundance of 3-hydroxybutyrate is plotted against Nile rat OGTT glucose AUC for all plasma samples. Each dot represents 3HB abundance in one plasma sample versus the Nile rat’s 12-week OGTT glucose AUC value. Samples are grouped by their fasted or non-fasted state, and linear regression is fitted to both groups. The slope of the two regression lines gives the position of the metabolite in </w:t>
      </w:r>
      <w:r w:rsidRPr="00BF3F8F">
        <w:rPr>
          <w:rFonts w:ascii="Arial" w:eastAsia="Times New Roman" w:hAnsi="Arial" w:cs="Arial"/>
          <w:b/>
          <w:bCs/>
          <w:color w:val="000000" w:themeColor="text1"/>
          <w:sz w:val="20"/>
          <w:szCs w:val="20"/>
        </w:rPr>
        <w:t>4d</w:t>
      </w:r>
      <w:r w:rsidRPr="00BF3F8F">
        <w:rPr>
          <w:rFonts w:ascii="Arial" w:eastAsia="Times New Roman" w:hAnsi="Arial" w:cs="Arial"/>
          <w:color w:val="000000" w:themeColor="text1"/>
          <w:sz w:val="20"/>
          <w:szCs w:val="20"/>
        </w:rPr>
        <w:t>. (</w:t>
      </w:r>
      <w:r w:rsidRPr="00BF3F8F">
        <w:rPr>
          <w:rFonts w:ascii="Arial" w:eastAsia="Times New Roman" w:hAnsi="Arial" w:cs="Arial"/>
          <w:b/>
          <w:bCs/>
          <w:color w:val="000000" w:themeColor="text1"/>
          <w:sz w:val="20"/>
          <w:szCs w:val="20"/>
        </w:rPr>
        <w:t>C</w:t>
      </w:r>
      <w:r w:rsidRPr="00BF3F8F">
        <w:rPr>
          <w:rFonts w:ascii="Arial" w:eastAsia="Times New Roman" w:hAnsi="Arial" w:cs="Arial"/>
          <w:color w:val="000000" w:themeColor="text1"/>
          <w:sz w:val="20"/>
          <w:szCs w:val="20"/>
        </w:rPr>
        <w:t>) A volcano plot for all identified polar metabolites shows -log10 of FDR-corrected p-value versus the log2 fold change of non-fasted minus fasted. Selected metabolites are annotated with identifications, and 3-hydroxybutyrate is highlighted in bold.  (</w:t>
      </w:r>
      <w:r w:rsidRPr="00BF3F8F">
        <w:rPr>
          <w:rFonts w:ascii="Arial" w:eastAsia="Times New Roman" w:hAnsi="Arial" w:cs="Arial"/>
          <w:b/>
          <w:bCs/>
          <w:color w:val="000000" w:themeColor="text1"/>
          <w:sz w:val="20"/>
          <w:szCs w:val="20"/>
        </w:rPr>
        <w:t>D</w:t>
      </w:r>
      <w:r w:rsidRPr="00BF3F8F">
        <w:rPr>
          <w:rFonts w:ascii="Arial" w:eastAsia="Times New Roman" w:hAnsi="Arial" w:cs="Arial"/>
          <w:color w:val="000000" w:themeColor="text1"/>
          <w:sz w:val="20"/>
          <w:szCs w:val="20"/>
        </w:rPr>
        <w:t xml:space="preserve">) The slope of quantitation versus OGTT is plotted for all identified polar metabolites in non-fasted samples (x-axis) and fasted samples (y-axis). Selected metabolites are annotated with identifications, and 3-hydroxybutyrate is highlighted in bold. The position of 3-hydroxybutyrate is based on the slope of each line as shown in </w:t>
      </w:r>
      <w:r w:rsidRPr="00BF3F8F">
        <w:rPr>
          <w:rFonts w:ascii="Arial" w:eastAsia="Times New Roman" w:hAnsi="Arial" w:cs="Arial"/>
          <w:b/>
          <w:bCs/>
          <w:color w:val="000000" w:themeColor="text1"/>
          <w:sz w:val="20"/>
          <w:szCs w:val="20"/>
        </w:rPr>
        <w:t>4B. </w:t>
      </w:r>
    </w:p>
    <w:p w14:paraId="47E7000D" w14:textId="77777777" w:rsidR="00BF3F8F" w:rsidRPr="00BF3F8F" w:rsidRDefault="00BF3F8F" w:rsidP="00BF3F8F">
      <w:pPr>
        <w:spacing w:after="240" w:line="240" w:lineRule="auto"/>
        <w:rPr>
          <w:rFonts w:ascii="Arial" w:eastAsia="Times New Roman" w:hAnsi="Arial" w:cs="Arial"/>
          <w:color w:val="000000" w:themeColor="text1"/>
          <w:sz w:val="24"/>
          <w:szCs w:val="24"/>
        </w:rPr>
      </w:pPr>
      <w:r w:rsidRPr="00BF3F8F">
        <w:rPr>
          <w:rFonts w:ascii="Arial" w:eastAsia="Times New Roman" w:hAnsi="Arial" w:cs="Arial"/>
          <w:color w:val="000000" w:themeColor="text1"/>
          <w:sz w:val="24"/>
          <w:szCs w:val="24"/>
        </w:rPr>
        <w:br/>
      </w:r>
    </w:p>
    <w:p w14:paraId="20632AE9" w14:textId="77777777" w:rsidR="00BF3F8F" w:rsidRPr="00BF3F8F" w:rsidRDefault="00BF3F8F" w:rsidP="00BF3F8F">
      <w:pPr>
        <w:spacing w:after="240" w:line="240" w:lineRule="auto"/>
        <w:rPr>
          <w:rFonts w:ascii="Arial" w:eastAsia="Times New Roman" w:hAnsi="Arial" w:cs="Arial"/>
          <w:color w:val="000000" w:themeColor="text1"/>
          <w:sz w:val="24"/>
          <w:szCs w:val="24"/>
        </w:rPr>
      </w:pPr>
      <w:r w:rsidRPr="00BF3F8F">
        <w:rPr>
          <w:rFonts w:ascii="Arial" w:eastAsia="Times New Roman" w:hAnsi="Arial" w:cs="Arial"/>
          <w:color w:val="000000" w:themeColor="text1"/>
          <w:sz w:val="24"/>
          <w:szCs w:val="24"/>
        </w:rPr>
        <w:lastRenderedPageBreak/>
        <w:br/>
      </w:r>
      <w:r w:rsidRPr="00BF3F8F">
        <w:rPr>
          <w:rFonts w:ascii="Arial" w:eastAsia="Times New Roman" w:hAnsi="Arial" w:cs="Arial"/>
          <w:color w:val="000000" w:themeColor="text1"/>
          <w:sz w:val="24"/>
          <w:szCs w:val="24"/>
        </w:rPr>
        <w:br/>
      </w:r>
    </w:p>
    <w:p w14:paraId="1771EF7C" w14:textId="098A1331"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C11F83">
        <w:rPr>
          <w:rFonts w:ascii="Arial" w:eastAsia="Times New Roman" w:hAnsi="Arial" w:cs="Arial"/>
          <w:b/>
          <w:bCs/>
          <w:noProof/>
          <w:color w:val="000000" w:themeColor="text1"/>
          <w:sz w:val="20"/>
          <w:szCs w:val="20"/>
          <w:bdr w:val="none" w:sz="0" w:space="0" w:color="auto" w:frame="1"/>
        </w:rPr>
        <w:drawing>
          <wp:inline distT="0" distB="0" distL="0" distR="0" wp14:anchorId="5AAC9413" wp14:editId="326FE3FC">
            <wp:extent cx="5943600" cy="4986020"/>
            <wp:effectExtent l="0" t="0" r="0"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986020"/>
                    </a:xfrm>
                    <a:prstGeom prst="rect">
                      <a:avLst/>
                    </a:prstGeom>
                    <a:noFill/>
                    <a:ln>
                      <a:noFill/>
                    </a:ln>
                  </pic:spPr>
                </pic:pic>
              </a:graphicData>
            </a:graphic>
          </wp:inline>
        </w:drawing>
      </w:r>
    </w:p>
    <w:p w14:paraId="08FD1C6D" w14:textId="77777777" w:rsidR="00BF3F8F" w:rsidRPr="00BF3F8F" w:rsidRDefault="00BF3F8F" w:rsidP="00BF3F8F">
      <w:pPr>
        <w:spacing w:after="0" w:line="240" w:lineRule="auto"/>
        <w:jc w:val="both"/>
        <w:rPr>
          <w:rFonts w:ascii="Arial" w:eastAsia="Times New Roman" w:hAnsi="Arial" w:cs="Arial"/>
          <w:color w:val="000000" w:themeColor="text1"/>
          <w:sz w:val="20"/>
          <w:szCs w:val="20"/>
        </w:rPr>
      </w:pPr>
      <w:r w:rsidRPr="00BF3F8F">
        <w:rPr>
          <w:rFonts w:ascii="Arial" w:eastAsia="Times New Roman" w:hAnsi="Arial" w:cs="Arial"/>
          <w:b/>
          <w:bCs/>
          <w:color w:val="000000" w:themeColor="text1"/>
          <w:sz w:val="20"/>
          <w:szCs w:val="20"/>
        </w:rPr>
        <w:t xml:space="preserve">Figure 5 – Triacylglycerols with greater number of fatty </w:t>
      </w:r>
      <w:proofErr w:type="gramStart"/>
      <w:r w:rsidRPr="00BF3F8F">
        <w:rPr>
          <w:rFonts w:ascii="Arial" w:eastAsia="Times New Roman" w:hAnsi="Arial" w:cs="Arial"/>
          <w:b/>
          <w:bCs/>
          <w:color w:val="000000" w:themeColor="text1"/>
          <w:sz w:val="20"/>
          <w:szCs w:val="20"/>
        </w:rPr>
        <w:t>acyl</w:t>
      </w:r>
      <w:proofErr w:type="gramEnd"/>
      <w:r w:rsidRPr="00BF3F8F">
        <w:rPr>
          <w:rFonts w:ascii="Arial" w:eastAsia="Times New Roman" w:hAnsi="Arial" w:cs="Arial"/>
          <w:b/>
          <w:bCs/>
          <w:color w:val="000000" w:themeColor="text1"/>
          <w:sz w:val="20"/>
          <w:szCs w:val="20"/>
        </w:rPr>
        <w:t xml:space="preserve"> </w:t>
      </w:r>
      <w:proofErr w:type="spellStart"/>
      <w:r w:rsidRPr="00BF3F8F">
        <w:rPr>
          <w:rFonts w:ascii="Arial" w:eastAsia="Times New Roman" w:hAnsi="Arial" w:cs="Arial"/>
          <w:b/>
          <w:bCs/>
          <w:color w:val="000000" w:themeColor="text1"/>
          <w:sz w:val="20"/>
          <w:szCs w:val="20"/>
        </w:rPr>
        <w:t>unsaturations</w:t>
      </w:r>
      <w:proofErr w:type="spellEnd"/>
      <w:r w:rsidRPr="00BF3F8F">
        <w:rPr>
          <w:rFonts w:ascii="Arial" w:eastAsia="Times New Roman" w:hAnsi="Arial" w:cs="Arial"/>
          <w:b/>
          <w:bCs/>
          <w:color w:val="000000" w:themeColor="text1"/>
          <w:sz w:val="20"/>
          <w:szCs w:val="20"/>
        </w:rPr>
        <w:t xml:space="preserve"> are elevated in fasted sampling. </w:t>
      </w: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Volcano plot showing log2 fold change between mean of non-fasted and fasted lipid quantitations, highlighting select outliers with identifications given in annotation. (</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Regression coefficients of each identified lipid’s linear regression slope when trained on non-fasted data (x-axis) and fasted data (y-axis). Selected lipids have identifications given in annotation. (</w:t>
      </w:r>
      <w:r w:rsidRPr="00BF3F8F">
        <w:rPr>
          <w:rFonts w:ascii="Arial" w:eastAsia="Times New Roman" w:hAnsi="Arial" w:cs="Arial"/>
          <w:b/>
          <w:bCs/>
          <w:color w:val="000000" w:themeColor="text1"/>
          <w:sz w:val="20"/>
          <w:szCs w:val="20"/>
        </w:rPr>
        <w:t>C</w:t>
      </w:r>
      <w:r w:rsidRPr="00BF3F8F">
        <w:rPr>
          <w:rFonts w:ascii="Arial" w:eastAsia="Times New Roman" w:hAnsi="Arial" w:cs="Arial"/>
          <w:color w:val="000000" w:themeColor="text1"/>
          <w:sz w:val="20"/>
          <w:szCs w:val="20"/>
        </w:rPr>
        <w:t xml:space="preserve">) Longer and more unsaturated TGs are more abundant in fasted plasma. All identified TGs are plotted by the number of </w:t>
      </w:r>
      <w:proofErr w:type="spellStart"/>
      <w:r w:rsidRPr="00BF3F8F">
        <w:rPr>
          <w:rFonts w:ascii="Arial" w:eastAsia="Times New Roman" w:hAnsi="Arial" w:cs="Arial"/>
          <w:color w:val="000000" w:themeColor="text1"/>
          <w:sz w:val="20"/>
          <w:szCs w:val="20"/>
        </w:rPr>
        <w:t>unsaturations</w:t>
      </w:r>
      <w:proofErr w:type="spellEnd"/>
      <w:r w:rsidRPr="00BF3F8F">
        <w:rPr>
          <w:rFonts w:ascii="Arial" w:eastAsia="Times New Roman" w:hAnsi="Arial" w:cs="Arial"/>
          <w:color w:val="000000" w:themeColor="text1"/>
          <w:sz w:val="20"/>
          <w:szCs w:val="20"/>
        </w:rPr>
        <w:t xml:space="preserve"> in their fatty acyl tails against the number of carbons in their fatty acyl tails. The point color represents the log2 fold change of average non-fasted abundance minus average fasted abundance. Different TGs with the same sum composition (i.e. the same </w:t>
      </w:r>
      <w:proofErr w:type="spellStart"/>
      <w:proofErr w:type="gramStart"/>
      <w:r w:rsidRPr="00BF3F8F">
        <w:rPr>
          <w:rFonts w:ascii="Arial" w:eastAsia="Times New Roman" w:hAnsi="Arial" w:cs="Arial"/>
          <w:color w:val="000000" w:themeColor="text1"/>
          <w:sz w:val="20"/>
          <w:szCs w:val="20"/>
        </w:rPr>
        <w:t>unsaturation:carbon</w:t>
      </w:r>
      <w:proofErr w:type="spellEnd"/>
      <w:proofErr w:type="gramEnd"/>
      <w:r w:rsidRPr="00BF3F8F">
        <w:rPr>
          <w:rFonts w:ascii="Arial" w:eastAsia="Times New Roman" w:hAnsi="Arial" w:cs="Arial"/>
          <w:color w:val="000000" w:themeColor="text1"/>
          <w:sz w:val="20"/>
          <w:szCs w:val="20"/>
        </w:rPr>
        <w:t xml:space="preserve"> count) are plotted as overlapping dots. (</w:t>
      </w:r>
      <w:r w:rsidRPr="00BF3F8F">
        <w:rPr>
          <w:rFonts w:ascii="Arial" w:eastAsia="Times New Roman" w:hAnsi="Arial" w:cs="Arial"/>
          <w:b/>
          <w:bCs/>
          <w:color w:val="000000" w:themeColor="text1"/>
          <w:sz w:val="20"/>
          <w:szCs w:val="20"/>
        </w:rPr>
        <w:t>D</w:t>
      </w:r>
      <w:r w:rsidRPr="00BF3F8F">
        <w:rPr>
          <w:rFonts w:ascii="Arial" w:eastAsia="Times New Roman" w:hAnsi="Arial" w:cs="Arial"/>
          <w:color w:val="000000" w:themeColor="text1"/>
          <w:sz w:val="20"/>
          <w:szCs w:val="20"/>
        </w:rPr>
        <w:t>) The abundance of TG 20:5_22:6_22:6 for all plasma samples is plotted against the OGTT glucose AUC of the respective Nile rat. Fasted and non-fasted data are separated, and a linear regression is fitted to each sampling type. This TG is highlighted with gray background in A, B and C. </w:t>
      </w:r>
    </w:p>
    <w:p w14:paraId="713833CC"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14280DC7"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In a similar vein to Figure 4, we explored the relationship between sampling type, glucose tolerance and metabolite abundance for plasma lipids in Nile rats. </w:t>
      </w:r>
      <w:r w:rsidRPr="00BF3F8F">
        <w:rPr>
          <w:rFonts w:ascii="Arial" w:eastAsia="Times New Roman" w:hAnsi="Arial" w:cs="Arial"/>
          <w:b/>
          <w:bCs/>
          <w:color w:val="000000" w:themeColor="text1"/>
        </w:rPr>
        <w:t>Figure 5A</w:t>
      </w:r>
      <w:r w:rsidRPr="00BF3F8F">
        <w:rPr>
          <w:rFonts w:ascii="Arial" w:eastAsia="Times New Roman" w:hAnsi="Arial" w:cs="Arial"/>
          <w:color w:val="000000" w:themeColor="text1"/>
        </w:rPr>
        <w:t xml:space="preserve"> shows the average abundance of identified lipids in non-fasted versus fasted. The left side of the volcano plot gives </w:t>
      </w:r>
      <w:r w:rsidRPr="00BF3F8F">
        <w:rPr>
          <w:rFonts w:ascii="Arial" w:eastAsia="Times New Roman" w:hAnsi="Arial" w:cs="Arial"/>
          <w:color w:val="000000" w:themeColor="text1"/>
        </w:rPr>
        <w:lastRenderedPageBreak/>
        <w:t xml:space="preserve">lipids which tend to be up-regulated in fasted samples, and lipids with highest up-regulation are dominated by free fatty acids, </w:t>
      </w:r>
      <w:proofErr w:type="spellStart"/>
      <w:r w:rsidRPr="00BF3F8F">
        <w:rPr>
          <w:rFonts w:ascii="Arial" w:eastAsia="Times New Roman" w:hAnsi="Arial" w:cs="Arial"/>
          <w:color w:val="000000" w:themeColor="text1"/>
        </w:rPr>
        <w:t>acylcarnitines</w:t>
      </w:r>
      <w:proofErr w:type="spellEnd"/>
      <w:r w:rsidRPr="00BF3F8F">
        <w:rPr>
          <w:rFonts w:ascii="Arial" w:eastAsia="Times New Roman" w:hAnsi="Arial" w:cs="Arial"/>
          <w:color w:val="000000" w:themeColor="text1"/>
        </w:rPr>
        <w:t xml:space="preserve"> and TGs with acyl tails that tend to be longer and highly unsaturated, for example FA 22:6 docosahexaenoic acid (DHA) and FA 20:5 </w:t>
      </w:r>
      <w:proofErr w:type="spellStart"/>
      <w:r w:rsidRPr="00BF3F8F">
        <w:rPr>
          <w:rFonts w:ascii="Arial" w:eastAsia="Times New Roman" w:hAnsi="Arial" w:cs="Arial"/>
          <w:color w:val="000000" w:themeColor="text1"/>
        </w:rPr>
        <w:t>eicosapentaenoic</w:t>
      </w:r>
      <w:proofErr w:type="spellEnd"/>
      <w:r w:rsidRPr="00BF3F8F">
        <w:rPr>
          <w:rFonts w:ascii="Arial" w:eastAsia="Times New Roman" w:hAnsi="Arial" w:cs="Arial"/>
          <w:color w:val="000000" w:themeColor="text1"/>
        </w:rPr>
        <w:t xml:space="preserve"> acid (EPA). This trend in TGs is likely driven by the fasting state liberating long, unsaturated fatty acyls from primarily structural phospholipids into energy producing metabolism</w:t>
      </w:r>
      <w:hyperlink r:id="rId48" w:history="1">
        <w:r w:rsidRPr="00BF3F8F">
          <w:rPr>
            <w:rFonts w:ascii="Arial" w:eastAsia="Times New Roman" w:hAnsi="Arial" w:cs="Arial"/>
            <w:color w:val="000000" w:themeColor="text1"/>
            <w:sz w:val="18"/>
            <w:szCs w:val="13"/>
            <w:vertAlign w:val="superscript"/>
          </w:rPr>
          <w:t>42</w:t>
        </w:r>
      </w:hyperlink>
      <w:r w:rsidRPr="00BF3F8F">
        <w:rPr>
          <w:rFonts w:ascii="Arial" w:eastAsia="Times New Roman" w:hAnsi="Arial" w:cs="Arial"/>
          <w:color w:val="000000" w:themeColor="text1"/>
        </w:rPr>
        <w:t>. Lipids on the right of 5A are up-</w:t>
      </w:r>
      <w:proofErr w:type="spellStart"/>
      <w:r w:rsidRPr="00BF3F8F">
        <w:rPr>
          <w:rFonts w:ascii="Arial" w:eastAsia="Times New Roman" w:hAnsi="Arial" w:cs="Arial"/>
          <w:color w:val="000000" w:themeColor="text1"/>
        </w:rPr>
        <w:t>regualted</w:t>
      </w:r>
      <w:proofErr w:type="spellEnd"/>
      <w:r w:rsidRPr="00BF3F8F">
        <w:rPr>
          <w:rFonts w:ascii="Arial" w:eastAsia="Times New Roman" w:hAnsi="Arial" w:cs="Arial"/>
          <w:color w:val="000000" w:themeColor="text1"/>
        </w:rPr>
        <w:t xml:space="preserve"> in non-fasted and tend to have shorter and less saturated fatty acyls. </w:t>
      </w:r>
    </w:p>
    <w:p w14:paraId="5FA537B9"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6057A965"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By plotting each identified lipid against OGTT glucose AUC in the fasted and non-fasted condition (</w:t>
      </w:r>
      <w:r w:rsidRPr="00BF3F8F">
        <w:rPr>
          <w:rFonts w:ascii="Arial" w:eastAsia="Times New Roman" w:hAnsi="Arial" w:cs="Arial"/>
          <w:b/>
          <w:bCs/>
          <w:color w:val="000000" w:themeColor="text1"/>
        </w:rPr>
        <w:t>Figure 5B</w:t>
      </w:r>
      <w:r w:rsidRPr="00BF3F8F">
        <w:rPr>
          <w:rFonts w:ascii="Arial" w:eastAsia="Times New Roman" w:hAnsi="Arial" w:cs="Arial"/>
          <w:color w:val="000000" w:themeColor="text1"/>
        </w:rPr>
        <w:t xml:space="preserve">), </w:t>
      </w:r>
      <w:proofErr w:type="gramStart"/>
      <w:r w:rsidRPr="00BF3F8F">
        <w:rPr>
          <w:rFonts w:ascii="Arial" w:eastAsia="Times New Roman" w:hAnsi="Arial" w:cs="Arial"/>
          <w:color w:val="000000" w:themeColor="text1"/>
        </w:rPr>
        <w:t>the majority of</w:t>
      </w:r>
      <w:proofErr w:type="gramEnd"/>
      <w:r w:rsidRPr="00BF3F8F">
        <w:rPr>
          <w:rFonts w:ascii="Arial" w:eastAsia="Times New Roman" w:hAnsi="Arial" w:cs="Arial"/>
          <w:color w:val="000000" w:themeColor="text1"/>
        </w:rPr>
        <w:t xml:space="preserve"> lipids show a positive correlation with glucose tolerance in non-fasted samples as shown by the high number of species that are on the positive side of the x-axis. We see distinct clusters of phospholipids with mildly positive slopes, and a strong tendency for </w:t>
      </w:r>
      <w:proofErr w:type="spellStart"/>
      <w:r w:rsidRPr="00BF3F8F">
        <w:rPr>
          <w:rFonts w:ascii="Arial" w:eastAsia="Times New Roman" w:hAnsi="Arial" w:cs="Arial"/>
          <w:color w:val="000000" w:themeColor="text1"/>
        </w:rPr>
        <w:t>glycerolipids</w:t>
      </w:r>
      <w:proofErr w:type="spellEnd"/>
      <w:r w:rsidRPr="00BF3F8F">
        <w:rPr>
          <w:rFonts w:ascii="Arial" w:eastAsia="Times New Roman" w:hAnsi="Arial" w:cs="Arial"/>
          <w:color w:val="000000" w:themeColor="text1"/>
        </w:rPr>
        <w:t xml:space="preserve"> (purple points; the majority being TGs) to have steeper positive slopes versus OGTT glucose AUC. Because TGs comprise a significant portion of the plasma lipidome and have numerous links to physiological and disease conditions</w:t>
      </w:r>
      <w:hyperlink r:id="rId49" w:history="1">
        <w:r w:rsidRPr="00BF3F8F">
          <w:rPr>
            <w:rFonts w:ascii="Arial" w:eastAsia="Times New Roman" w:hAnsi="Arial" w:cs="Arial"/>
            <w:color w:val="000000" w:themeColor="text1"/>
            <w:sz w:val="18"/>
            <w:szCs w:val="13"/>
            <w:vertAlign w:val="superscript"/>
          </w:rPr>
          <w:t>47</w:t>
        </w:r>
      </w:hyperlink>
      <w:r w:rsidRPr="00BF3F8F">
        <w:rPr>
          <w:rFonts w:ascii="Arial" w:eastAsia="Times New Roman" w:hAnsi="Arial" w:cs="Arial"/>
          <w:color w:val="000000" w:themeColor="text1"/>
        </w:rPr>
        <w:t>, we explored the relationship between average quantitation in fasted versus non-fasted to the fatty acyl length and fatty acyl unsaturation count in TGs (</w:t>
      </w:r>
      <w:r w:rsidRPr="00BF3F8F">
        <w:rPr>
          <w:rFonts w:ascii="Arial" w:eastAsia="Times New Roman" w:hAnsi="Arial" w:cs="Arial"/>
          <w:b/>
          <w:bCs/>
          <w:color w:val="000000" w:themeColor="text1"/>
        </w:rPr>
        <w:t>Figure 5C</w:t>
      </w:r>
      <w:r w:rsidRPr="00BF3F8F">
        <w:rPr>
          <w:rFonts w:ascii="Arial" w:eastAsia="Times New Roman" w:hAnsi="Arial" w:cs="Arial"/>
          <w:color w:val="000000" w:themeColor="text1"/>
        </w:rPr>
        <w:t xml:space="preserve">). As is suggested in Figure 5A, the overall trend is sustained in 5C where longer, more unsaturated TGs tend toward upregulation in the fasted state in Nile rat plasma, with less saturated TGs being upregulated in non-fasted samples. The most significant difference in average quantitation is shown by TG 20:5_22:6_22:6, with an average log2 fold change of 3, a substantial 8-fold increase in fasted plasma samples. The abundance versus OGTT for this TG is given in </w:t>
      </w:r>
      <w:r w:rsidRPr="00BF3F8F">
        <w:rPr>
          <w:rFonts w:ascii="Arial" w:eastAsia="Times New Roman" w:hAnsi="Arial" w:cs="Arial"/>
          <w:b/>
          <w:bCs/>
          <w:color w:val="000000" w:themeColor="text1"/>
        </w:rPr>
        <w:t>Figure 5D</w:t>
      </w:r>
      <w:r w:rsidRPr="00BF3F8F">
        <w:rPr>
          <w:rFonts w:ascii="Arial" w:eastAsia="Times New Roman" w:hAnsi="Arial" w:cs="Arial"/>
          <w:color w:val="000000" w:themeColor="text1"/>
        </w:rPr>
        <w:t xml:space="preserve">, which confirms this average quantitation trend as shown by the fasted sample points being almost universally higher than any non-fasted </w:t>
      </w:r>
      <w:proofErr w:type="gramStart"/>
      <w:r w:rsidRPr="00BF3F8F">
        <w:rPr>
          <w:rFonts w:ascii="Arial" w:eastAsia="Times New Roman" w:hAnsi="Arial" w:cs="Arial"/>
          <w:color w:val="000000" w:themeColor="text1"/>
        </w:rPr>
        <w:t>sample, yet</w:t>
      </w:r>
      <w:proofErr w:type="gramEnd"/>
      <w:r w:rsidRPr="00BF3F8F">
        <w:rPr>
          <w:rFonts w:ascii="Arial" w:eastAsia="Times New Roman" w:hAnsi="Arial" w:cs="Arial"/>
          <w:color w:val="000000" w:themeColor="text1"/>
        </w:rPr>
        <w:t xml:space="preserve"> showing the significant difference in slopes versus glucose tolerance, where both slopes are positive, but non-fasted is much greater in magnitude (slope of 11 versus 2). </w:t>
      </w:r>
    </w:p>
    <w:p w14:paraId="1E0A64D4" w14:textId="77777777" w:rsidR="00BF3F8F" w:rsidRPr="00BF3F8F" w:rsidRDefault="00BF3F8F" w:rsidP="00BF3F8F">
      <w:pPr>
        <w:spacing w:after="240" w:line="240" w:lineRule="auto"/>
        <w:rPr>
          <w:rFonts w:ascii="Arial" w:eastAsia="Times New Roman" w:hAnsi="Arial" w:cs="Arial"/>
          <w:color w:val="000000" w:themeColor="text1"/>
          <w:sz w:val="24"/>
          <w:szCs w:val="24"/>
        </w:rPr>
      </w:pPr>
      <w:r w:rsidRPr="00BF3F8F">
        <w:rPr>
          <w:rFonts w:ascii="Arial" w:eastAsia="Times New Roman" w:hAnsi="Arial" w:cs="Arial"/>
          <w:color w:val="000000" w:themeColor="text1"/>
          <w:sz w:val="24"/>
          <w:szCs w:val="24"/>
        </w:rPr>
        <w:br/>
      </w:r>
    </w:p>
    <w:p w14:paraId="0FCAEA64" w14:textId="72D780D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C11F83">
        <w:rPr>
          <w:rFonts w:ascii="Arial" w:eastAsia="Times New Roman" w:hAnsi="Arial" w:cs="Arial"/>
          <w:noProof/>
          <w:color w:val="000000" w:themeColor="text1"/>
          <w:sz w:val="20"/>
          <w:szCs w:val="20"/>
          <w:bdr w:val="none" w:sz="0" w:space="0" w:color="auto" w:frame="1"/>
        </w:rPr>
        <w:lastRenderedPageBreak/>
        <w:drawing>
          <wp:inline distT="0" distB="0" distL="0" distR="0" wp14:anchorId="29B995D7" wp14:editId="13425585">
            <wp:extent cx="4981575" cy="4447540"/>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81575" cy="4447540"/>
                    </a:xfrm>
                    <a:prstGeom prst="rect">
                      <a:avLst/>
                    </a:prstGeom>
                    <a:noFill/>
                    <a:ln>
                      <a:noFill/>
                    </a:ln>
                  </pic:spPr>
                </pic:pic>
              </a:graphicData>
            </a:graphic>
          </wp:inline>
        </w:drawing>
      </w:r>
    </w:p>
    <w:p w14:paraId="768EBBD7"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5CC92C2D" w14:textId="3026A56F"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b/>
          <w:bCs/>
          <w:color w:val="000000" w:themeColor="text1"/>
          <w:sz w:val="20"/>
          <w:szCs w:val="20"/>
        </w:rPr>
        <w:t xml:space="preserve">Figure 6 – Linear regression modeling trained on non-fasted plasma samples achieves superior performance in predicting OGTT glucose AUC. </w:t>
      </w: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xml:space="preserve">) Median R2 was compared for 6 different machine learning model architectures trained on fasted versus non-fasted plasma metabolites. Across all models, non-fasted data provided higher median R2 values. Regularized linear models (LASSO, </w:t>
      </w:r>
      <w:proofErr w:type="gramStart"/>
      <w:r w:rsidRPr="00BF3F8F">
        <w:rPr>
          <w:rFonts w:ascii="Arial" w:eastAsia="Times New Roman" w:hAnsi="Arial" w:cs="Arial"/>
          <w:color w:val="000000" w:themeColor="text1"/>
          <w:sz w:val="20"/>
          <w:szCs w:val="20"/>
        </w:rPr>
        <w:t>ridge</w:t>
      </w:r>
      <w:proofErr w:type="gramEnd"/>
      <w:r w:rsidRPr="00BF3F8F">
        <w:rPr>
          <w:rFonts w:ascii="Arial" w:eastAsia="Times New Roman" w:hAnsi="Arial" w:cs="Arial"/>
          <w:color w:val="000000" w:themeColor="text1"/>
          <w:sz w:val="20"/>
          <w:szCs w:val="20"/>
        </w:rPr>
        <w:t xml:space="preserve"> and elastic net) achieved lower R2 than the non-regularized linear regression, with elastic net achieving nearly equal R2 while also enabling significant coefficient shrinkage. The 6 models were categorized based on the underlying mechanism of prediction, divided between parametric, latent space and non-parametric methods. (</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xml:space="preserve">) Normalized feature importance is given for the top 30 lipids from the elastic net model trained on non-fasted samples. The top 10 features based on normalized importance are </w:t>
      </w:r>
      <w:r w:rsidR="00FB178B" w:rsidRPr="00C11F83">
        <w:rPr>
          <w:rFonts w:ascii="Arial" w:eastAsia="Times New Roman" w:hAnsi="Arial" w:cs="Arial"/>
          <w:color w:val="000000" w:themeColor="text1"/>
          <w:sz w:val="20"/>
          <w:szCs w:val="20"/>
        </w:rPr>
        <w:t>listed</w:t>
      </w:r>
      <w:r w:rsidRPr="00BF3F8F">
        <w:rPr>
          <w:rFonts w:ascii="Arial" w:eastAsia="Times New Roman" w:hAnsi="Arial" w:cs="Arial"/>
          <w:color w:val="000000" w:themeColor="text1"/>
          <w:sz w:val="20"/>
          <w:szCs w:val="20"/>
        </w:rPr>
        <w:t>.</w:t>
      </w:r>
    </w:p>
    <w:p w14:paraId="2CB0AAF7"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109B9FCC" w14:textId="77777777" w:rsidR="00BF3F8F" w:rsidRPr="00BF3F8F"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To understand the difference between the ability of fasted and non-fasted plasma metabolites to predict glucose tolerance, we constructed statistical models that were trained on either fasted or non-fasted metabolite data to predict OGTT glucose AUC. Model performance was assessed by calculating coefficient of determination (R2) in regression to each Nile rat’s 12-week OGTT glucose AUC. To ensure a fair and randomized assessment of each model’s performance, we performed 200 repetitions of 6-fold cross validation</w:t>
      </w:r>
      <w:hyperlink r:id="rId51" w:history="1">
        <w:r w:rsidRPr="00BF3F8F">
          <w:rPr>
            <w:rFonts w:ascii="Arial" w:eastAsia="Times New Roman" w:hAnsi="Arial" w:cs="Arial"/>
            <w:color w:val="000000" w:themeColor="text1"/>
            <w:vertAlign w:val="superscript"/>
          </w:rPr>
          <w:t>48</w:t>
        </w:r>
      </w:hyperlink>
      <w:r w:rsidRPr="00BF3F8F">
        <w:rPr>
          <w:rFonts w:ascii="Arial" w:eastAsia="Times New Roman" w:hAnsi="Arial" w:cs="Arial"/>
          <w:color w:val="000000" w:themeColor="text1"/>
        </w:rPr>
        <w:t xml:space="preserve"> </w:t>
      </w:r>
      <w:proofErr w:type="spellStart"/>
      <w:r w:rsidRPr="00BF3F8F">
        <w:rPr>
          <w:rFonts w:ascii="Arial" w:eastAsia="Times New Roman" w:hAnsi="Arial" w:cs="Arial"/>
          <w:color w:val="000000" w:themeColor="text1"/>
        </w:rPr>
        <w:t>totalling</w:t>
      </w:r>
      <w:proofErr w:type="spellEnd"/>
      <w:r w:rsidRPr="00BF3F8F">
        <w:rPr>
          <w:rFonts w:ascii="Arial" w:eastAsia="Times New Roman" w:hAnsi="Arial" w:cs="Arial"/>
          <w:color w:val="000000" w:themeColor="text1"/>
        </w:rPr>
        <w:t xml:space="preserve"> 1200 individual models and give their median R2 values in </w:t>
      </w:r>
      <w:r w:rsidRPr="00BF3F8F">
        <w:rPr>
          <w:rFonts w:ascii="Arial" w:eastAsia="Times New Roman" w:hAnsi="Arial" w:cs="Arial"/>
          <w:b/>
          <w:bCs/>
          <w:color w:val="000000" w:themeColor="text1"/>
        </w:rPr>
        <w:t>Figure 6A.</w:t>
      </w:r>
      <w:r w:rsidRPr="00BF3F8F">
        <w:rPr>
          <w:rFonts w:ascii="Arial" w:eastAsia="Times New Roman" w:hAnsi="Arial" w:cs="Arial"/>
          <w:color w:val="000000" w:themeColor="text1"/>
        </w:rPr>
        <w:t xml:space="preserve"> Overall, models trained on non-fasted data yielded higher median R2 over the same model trained on fasted data. It is important to note the difference between the regression models used here versus the linear regression models used in Figure 4B and 5B. Here, we perform multivariate regression to create a bulk model where all identified metabolite abundances are used as predictor variables to model OGTT as response as shown in eq. 1.</w:t>
      </w:r>
    </w:p>
    <w:p w14:paraId="3D4E1553" w14:textId="77777777" w:rsidR="00BF3F8F" w:rsidRPr="00BF3F8F" w:rsidRDefault="00BF3F8F" w:rsidP="00BF3F8F">
      <w:pPr>
        <w:spacing w:after="0" w:line="240" w:lineRule="auto"/>
        <w:rPr>
          <w:rFonts w:ascii="Arial" w:eastAsia="Times New Roman" w:hAnsi="Arial" w:cs="Arial"/>
          <w:color w:val="000000" w:themeColor="text1"/>
        </w:rPr>
      </w:pPr>
    </w:p>
    <w:p w14:paraId="7794DE2D" w14:textId="27996658" w:rsidR="00BF3F8F" w:rsidRPr="00BF3F8F" w:rsidRDefault="00BF3F8F" w:rsidP="00823843">
      <w:pPr>
        <w:spacing w:after="0" w:line="240" w:lineRule="auto"/>
        <w:jc w:val="center"/>
        <w:rPr>
          <w:rFonts w:ascii="Arial" w:eastAsia="Times New Roman" w:hAnsi="Arial" w:cs="Arial"/>
          <w:color w:val="000000" w:themeColor="text1"/>
        </w:rPr>
      </w:pPr>
      <w:r w:rsidRPr="00BF3F8F">
        <w:rPr>
          <w:rFonts w:ascii="Arial" w:eastAsia="Times New Roman" w:hAnsi="Arial" w:cs="Arial"/>
          <w:color w:val="000000" w:themeColor="text1"/>
        </w:rPr>
        <w:lastRenderedPageBreak/>
        <w:t xml:space="preserve">OGTT glucose AUC ~ Metabolite1 + Metabolite2 + ... + </w:t>
      </w:r>
      <w:proofErr w:type="spellStart"/>
      <w:r w:rsidRPr="00BF3F8F">
        <w:rPr>
          <w:rFonts w:ascii="Arial" w:eastAsia="Times New Roman" w:hAnsi="Arial" w:cs="Arial"/>
          <w:color w:val="000000" w:themeColor="text1"/>
        </w:rPr>
        <w:t>Metabolite</w:t>
      </w:r>
      <w:r w:rsidR="00FF4C78" w:rsidRPr="00C11F83">
        <w:rPr>
          <w:rFonts w:ascii="Arial" w:eastAsia="Times New Roman" w:hAnsi="Arial" w:cs="Arial"/>
          <w:color w:val="000000" w:themeColor="text1"/>
        </w:rPr>
        <w:t>_</w:t>
      </w:r>
      <w:r w:rsidRPr="00BF3F8F">
        <w:rPr>
          <w:rFonts w:ascii="Arial" w:eastAsia="Times New Roman" w:hAnsi="Arial" w:cs="Arial"/>
          <w:color w:val="000000" w:themeColor="text1"/>
        </w:rPr>
        <w:t>n</w:t>
      </w:r>
      <w:proofErr w:type="spellEnd"/>
    </w:p>
    <w:p w14:paraId="251C5A10" w14:textId="77777777" w:rsidR="00BF3F8F" w:rsidRPr="00BF3F8F" w:rsidRDefault="00BF3F8F" w:rsidP="00BF3F8F">
      <w:pPr>
        <w:spacing w:after="0" w:line="240" w:lineRule="auto"/>
        <w:rPr>
          <w:rFonts w:ascii="Arial" w:eastAsia="Times New Roman" w:hAnsi="Arial" w:cs="Arial"/>
          <w:color w:val="000000" w:themeColor="text1"/>
        </w:rPr>
      </w:pPr>
    </w:p>
    <w:p w14:paraId="4BB7D913" w14:textId="13856182" w:rsidR="00BF3F8F" w:rsidRPr="00C11F83"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 xml:space="preserve">Whereas in Figures 4 and 5, OGTT glucose AUC was used as the predictor variable to model the strength of correlation to the abundance of each metabolite, </w:t>
      </w:r>
      <w:proofErr w:type="spellStart"/>
      <w:r w:rsidRPr="00BF3F8F">
        <w:rPr>
          <w:rFonts w:ascii="Arial" w:eastAsia="Times New Roman" w:hAnsi="Arial" w:cs="Arial"/>
          <w:color w:val="000000" w:themeColor="text1"/>
        </w:rPr>
        <w:t>totalling</w:t>
      </w:r>
      <w:proofErr w:type="spellEnd"/>
      <w:r w:rsidRPr="00BF3F8F">
        <w:rPr>
          <w:rFonts w:ascii="Arial" w:eastAsia="Times New Roman" w:hAnsi="Arial" w:cs="Arial"/>
          <w:color w:val="000000" w:themeColor="text1"/>
        </w:rPr>
        <w:t xml:space="preserve"> 443 single metabolite linear models, as shown in eq 2:</w:t>
      </w:r>
    </w:p>
    <w:p w14:paraId="7EFA83FA" w14:textId="77777777" w:rsidR="00BF3F8F" w:rsidRPr="00BF3F8F" w:rsidRDefault="00BF3F8F" w:rsidP="00BF3F8F">
      <w:pPr>
        <w:spacing w:after="0" w:line="240" w:lineRule="auto"/>
        <w:jc w:val="both"/>
        <w:rPr>
          <w:rFonts w:ascii="Arial" w:eastAsia="Times New Roman" w:hAnsi="Arial" w:cs="Arial"/>
          <w:color w:val="000000" w:themeColor="text1"/>
        </w:rPr>
      </w:pPr>
    </w:p>
    <w:p w14:paraId="670F8FC2" w14:textId="55332EDB" w:rsidR="00BF3F8F" w:rsidRPr="00BF3F8F" w:rsidRDefault="00BF3F8F" w:rsidP="00823843">
      <w:pPr>
        <w:spacing w:after="0" w:line="240" w:lineRule="auto"/>
        <w:jc w:val="center"/>
        <w:rPr>
          <w:rFonts w:ascii="Arial" w:eastAsia="Times New Roman" w:hAnsi="Arial" w:cs="Arial"/>
          <w:color w:val="000000" w:themeColor="text1"/>
        </w:rPr>
      </w:pPr>
      <w:r w:rsidRPr="00BF3F8F">
        <w:rPr>
          <w:rFonts w:ascii="Arial" w:eastAsia="Times New Roman" w:hAnsi="Arial" w:cs="Arial"/>
          <w:color w:val="000000" w:themeColor="text1"/>
        </w:rPr>
        <w:t>Metabolite ~ OGTT glucose AUC</w:t>
      </w:r>
    </w:p>
    <w:p w14:paraId="5B0AE7DB" w14:textId="77777777" w:rsidR="00BF3F8F" w:rsidRPr="00BF3F8F" w:rsidRDefault="00BF3F8F" w:rsidP="00BF3F8F">
      <w:pPr>
        <w:spacing w:after="0" w:line="240" w:lineRule="auto"/>
        <w:rPr>
          <w:rFonts w:ascii="Arial" w:eastAsia="Times New Roman" w:hAnsi="Arial" w:cs="Arial"/>
          <w:color w:val="000000" w:themeColor="text1"/>
        </w:rPr>
      </w:pPr>
    </w:p>
    <w:p w14:paraId="4C6DA95B" w14:textId="77777777" w:rsidR="00BF3F8F" w:rsidRPr="00BF3F8F"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The single metabolite linear models give information at the level of the individual metabolite, while the bulk model is used to compare metabolite predictive performance against each other. </w:t>
      </w:r>
    </w:p>
    <w:p w14:paraId="2606D802" w14:textId="77777777" w:rsidR="00BF3F8F" w:rsidRPr="00BF3F8F" w:rsidRDefault="00BF3F8F" w:rsidP="00BF3F8F">
      <w:pPr>
        <w:spacing w:after="0" w:line="240" w:lineRule="auto"/>
        <w:rPr>
          <w:rFonts w:ascii="Arial" w:eastAsia="Times New Roman" w:hAnsi="Arial" w:cs="Arial"/>
          <w:color w:val="000000" w:themeColor="text1"/>
        </w:rPr>
      </w:pPr>
    </w:p>
    <w:p w14:paraId="6F99974C" w14:textId="42C6C63F" w:rsidR="00BF3F8F" w:rsidRPr="00BF3F8F"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 xml:space="preserve">The superior performance suggests that non-fasted plasma samples have metabolic insight that better correlates with the rat’s OGTT glucose AUC. While linear regression was most performant (R2 = 0.71), it is worth noting that our data falls under the paradigm of having more variables than observations that is common in -omics </w:t>
      </w:r>
      <w:r w:rsidR="00FF4C78" w:rsidRPr="00C11F83">
        <w:rPr>
          <w:rFonts w:ascii="Arial" w:eastAsia="Times New Roman" w:hAnsi="Arial" w:cs="Arial"/>
          <w:color w:val="000000" w:themeColor="text1"/>
        </w:rPr>
        <w:t>studies.</w:t>
      </w:r>
      <w:r w:rsidRPr="00BF3F8F">
        <w:rPr>
          <w:rFonts w:ascii="Arial" w:eastAsia="Times New Roman" w:hAnsi="Arial" w:cs="Arial"/>
          <w:color w:val="000000" w:themeColor="text1"/>
        </w:rPr>
        <w:t xml:space="preserve"> This is problematic due to the high number of features that show multicollinearity (supplemental </w:t>
      </w:r>
      <w:r w:rsidR="00FF4C78" w:rsidRPr="00C11F83">
        <w:rPr>
          <w:rFonts w:ascii="Arial" w:eastAsia="Times New Roman" w:hAnsi="Arial" w:cs="Arial"/>
          <w:color w:val="000000" w:themeColor="text1"/>
        </w:rPr>
        <w:t>figure X</w:t>
      </w:r>
      <w:r w:rsidRPr="00BF3F8F">
        <w:rPr>
          <w:rFonts w:ascii="Arial" w:eastAsia="Times New Roman" w:hAnsi="Arial" w:cs="Arial"/>
          <w:color w:val="000000" w:themeColor="text1"/>
        </w:rPr>
        <w:t>), which occurs when a feature’s abundance across plasma samples is highly correlated with multiple other features. This is prominent in TGs and phospholipids, where many of the lipid species undergo similar biological regulation and are therefore strongly multicollinear. This effectively diminishes the coefficient for each multicollinear feature, effectively diluting its actual importance. Techniques exist for overcoming multicollinearity by using coefficient shrinkage via regularization[citation], bootstrapping [random forest in biology citation] or transformation into latent spaces that capture the signal present in data in fewer dimensions [</w:t>
      </w:r>
      <w:proofErr w:type="spellStart"/>
      <w:r w:rsidRPr="00BF3F8F">
        <w:rPr>
          <w:rFonts w:ascii="Arial" w:eastAsia="Times New Roman" w:hAnsi="Arial" w:cs="Arial"/>
          <w:color w:val="000000" w:themeColor="text1"/>
        </w:rPr>
        <w:t>PLSr</w:t>
      </w:r>
      <w:proofErr w:type="spellEnd"/>
      <w:r w:rsidRPr="00BF3F8F">
        <w:rPr>
          <w:rFonts w:ascii="Arial" w:eastAsia="Times New Roman" w:hAnsi="Arial" w:cs="Arial"/>
          <w:color w:val="000000" w:themeColor="text1"/>
        </w:rPr>
        <w:t xml:space="preserve"> citation]. To accomplish this, we trained 5 regression models that use one of these techniques (all models except linear regression). To summarize, LASSO uses L1 regularization [citation] and performed poorly by R2. Ridge regression uses L2 and performed similarly to linear regression, however the model failed to significantly shrink the coefficients, and is therefore nearly identical to linear regression. Elastic net combines the methods in LASSO and </w:t>
      </w:r>
      <w:proofErr w:type="gramStart"/>
      <w:r w:rsidRPr="00BF3F8F">
        <w:rPr>
          <w:rFonts w:ascii="Arial" w:eastAsia="Times New Roman" w:hAnsi="Arial" w:cs="Arial"/>
          <w:color w:val="000000" w:themeColor="text1"/>
        </w:rPr>
        <w:t>ridge, and</w:t>
      </w:r>
      <w:proofErr w:type="gramEnd"/>
      <w:r w:rsidRPr="00BF3F8F">
        <w:rPr>
          <w:rFonts w:ascii="Arial" w:eastAsia="Times New Roman" w:hAnsi="Arial" w:cs="Arial"/>
          <w:color w:val="000000" w:themeColor="text1"/>
        </w:rPr>
        <w:t xml:space="preserve"> achieved nearly identical R2 to linear regression (0.67) while creating significant shrinkage of coefficients. Partial least squares regression (PLS-r) achieved good R2 but did not significantly shrink model coefficients. Random forest regression likely struggled due to problems interpolating OGTT glucose AUC between observations. </w:t>
      </w:r>
    </w:p>
    <w:p w14:paraId="724E1EE4" w14:textId="77777777" w:rsidR="00BF3F8F" w:rsidRPr="00BF3F8F" w:rsidRDefault="00BF3F8F" w:rsidP="00BF3F8F">
      <w:pPr>
        <w:spacing w:after="0" w:line="240" w:lineRule="auto"/>
        <w:rPr>
          <w:rFonts w:ascii="Arial" w:eastAsia="Times New Roman" w:hAnsi="Arial" w:cs="Arial"/>
          <w:color w:val="000000" w:themeColor="text1"/>
        </w:rPr>
      </w:pPr>
    </w:p>
    <w:p w14:paraId="3A03FA67" w14:textId="49470CF4" w:rsidR="00BF3F8F" w:rsidRPr="00BF3F8F" w:rsidRDefault="00BF3F8F" w:rsidP="00BF3F8F">
      <w:pPr>
        <w:spacing w:after="0" w:line="240" w:lineRule="auto"/>
        <w:jc w:val="both"/>
        <w:rPr>
          <w:rFonts w:ascii="Arial" w:eastAsia="Times New Roman" w:hAnsi="Arial" w:cs="Arial"/>
          <w:color w:val="000000" w:themeColor="text1"/>
        </w:rPr>
      </w:pPr>
      <w:r w:rsidRPr="00BF3F8F">
        <w:rPr>
          <w:rFonts w:ascii="Arial" w:eastAsia="Times New Roman" w:hAnsi="Arial" w:cs="Arial"/>
          <w:color w:val="000000" w:themeColor="text1"/>
        </w:rPr>
        <w:t xml:space="preserve">Gauging which metabolites most contribute to the prediction is calculated by averaging the model’s </w:t>
      </w:r>
      <w:r w:rsidR="00FF4C78" w:rsidRPr="00C11F83">
        <w:rPr>
          <w:rFonts w:ascii="Arial" w:eastAsia="Times New Roman" w:hAnsi="Arial" w:cs="Arial"/>
          <w:color w:val="000000" w:themeColor="text1"/>
        </w:rPr>
        <w:t>regression</w:t>
      </w:r>
      <w:r w:rsidRPr="00BF3F8F">
        <w:rPr>
          <w:rFonts w:ascii="Arial" w:eastAsia="Times New Roman" w:hAnsi="Arial" w:cs="Arial"/>
          <w:color w:val="000000" w:themeColor="text1"/>
        </w:rPr>
        <w:t xml:space="preserve"> coefficients (or Gini importance in the case of random forest) across all 1200 repetitions of cross validation. These averaged coefficients can be normalized such that the highest importance is 1, and the top lipids from the elastic net model trained on non-fasted data are shown (Figure 6B). Despite the dominance of TGs slope versus OGTT in Figure 5B (</w:t>
      </w:r>
      <w:proofErr w:type="gramStart"/>
      <w:r w:rsidRPr="00BF3F8F">
        <w:rPr>
          <w:rFonts w:ascii="Arial" w:eastAsia="Times New Roman" w:hAnsi="Arial" w:cs="Arial"/>
          <w:color w:val="000000" w:themeColor="text1"/>
        </w:rPr>
        <w:t>i.e.</w:t>
      </w:r>
      <w:proofErr w:type="gramEnd"/>
      <w:r w:rsidRPr="00BF3F8F">
        <w:rPr>
          <w:rFonts w:ascii="Arial" w:eastAsia="Times New Roman" w:hAnsi="Arial" w:cs="Arial"/>
          <w:color w:val="000000" w:themeColor="text1"/>
        </w:rPr>
        <w:t xml:space="preserve"> the large number of purple dots far from the origin), all other lipid classes are represented in the top 30, and the top 2 features are a </w:t>
      </w:r>
      <w:proofErr w:type="spellStart"/>
      <w:r w:rsidRPr="00BF3F8F">
        <w:rPr>
          <w:rFonts w:ascii="Arial" w:eastAsia="Times New Roman" w:hAnsi="Arial" w:cs="Arial"/>
          <w:color w:val="000000" w:themeColor="text1"/>
        </w:rPr>
        <w:t>plasmanyl</w:t>
      </w:r>
      <w:proofErr w:type="spellEnd"/>
      <w:r w:rsidRPr="00BF3F8F">
        <w:rPr>
          <w:rFonts w:ascii="Arial" w:eastAsia="Times New Roman" w:hAnsi="Arial" w:cs="Arial"/>
          <w:color w:val="000000" w:themeColor="text1"/>
        </w:rPr>
        <w:t>-PC and a sphingomyelin. Similar feature importance plots for both polar metabolites and lipids for all 6 models in both non-fasted and fasted datasets are given in Supplemental Figure X, along with R2 performance for many other machine learning model architectures. Notably, Supplement Figure XA shows that fasted models tend to rely more heavily on polar metabolites for prediction, whereas non-fasted models show more lipid features. </w:t>
      </w:r>
    </w:p>
    <w:p w14:paraId="45AA18B6" w14:textId="77777777" w:rsidR="00BF3F8F" w:rsidRPr="00BF3F8F" w:rsidRDefault="00BF3F8F" w:rsidP="00BF3F8F">
      <w:pPr>
        <w:spacing w:after="240" w:line="240" w:lineRule="auto"/>
        <w:rPr>
          <w:rFonts w:ascii="Arial" w:eastAsia="Times New Roman" w:hAnsi="Arial" w:cs="Arial"/>
          <w:color w:val="000000" w:themeColor="text1"/>
          <w:sz w:val="24"/>
          <w:szCs w:val="24"/>
        </w:rPr>
      </w:pPr>
      <w:r w:rsidRPr="00BF3F8F">
        <w:rPr>
          <w:rFonts w:ascii="Arial" w:eastAsia="Times New Roman" w:hAnsi="Arial" w:cs="Arial"/>
          <w:color w:val="000000" w:themeColor="text1"/>
          <w:sz w:val="24"/>
          <w:szCs w:val="24"/>
        </w:rPr>
        <w:br/>
      </w:r>
      <w:r w:rsidRPr="00BF3F8F">
        <w:rPr>
          <w:rFonts w:ascii="Arial" w:eastAsia="Times New Roman" w:hAnsi="Arial" w:cs="Arial"/>
          <w:color w:val="000000" w:themeColor="text1"/>
          <w:sz w:val="24"/>
          <w:szCs w:val="24"/>
        </w:rPr>
        <w:br/>
      </w:r>
      <w:r w:rsidRPr="00BF3F8F">
        <w:rPr>
          <w:rFonts w:ascii="Arial" w:eastAsia="Times New Roman" w:hAnsi="Arial" w:cs="Arial"/>
          <w:color w:val="000000" w:themeColor="text1"/>
          <w:sz w:val="24"/>
          <w:szCs w:val="24"/>
        </w:rPr>
        <w:br/>
      </w:r>
    </w:p>
    <w:p w14:paraId="2982C90C" w14:textId="18FAF6B8"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C11F83">
        <w:rPr>
          <w:rFonts w:ascii="Arial" w:eastAsia="Times New Roman" w:hAnsi="Arial" w:cs="Arial"/>
          <w:noProof/>
          <w:color w:val="000000" w:themeColor="text1"/>
          <w:sz w:val="20"/>
          <w:szCs w:val="20"/>
          <w:bdr w:val="none" w:sz="0" w:space="0" w:color="auto" w:frame="1"/>
        </w:rPr>
        <w:lastRenderedPageBreak/>
        <w:drawing>
          <wp:inline distT="0" distB="0" distL="0" distR="0" wp14:anchorId="4FB61306" wp14:editId="682971AD">
            <wp:extent cx="5943600" cy="63309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6330950"/>
                    </a:xfrm>
                    <a:prstGeom prst="rect">
                      <a:avLst/>
                    </a:prstGeom>
                    <a:noFill/>
                    <a:ln>
                      <a:noFill/>
                    </a:ln>
                  </pic:spPr>
                </pic:pic>
              </a:graphicData>
            </a:graphic>
          </wp:inline>
        </w:drawing>
      </w:r>
    </w:p>
    <w:p w14:paraId="6A36DDC4" w14:textId="77777777" w:rsidR="00C45C32" w:rsidRPr="00C11F83" w:rsidRDefault="00BF3F8F" w:rsidP="00BF3F8F">
      <w:pPr>
        <w:spacing w:after="0" w:line="240" w:lineRule="auto"/>
        <w:jc w:val="both"/>
        <w:rPr>
          <w:rFonts w:ascii="Arial" w:eastAsia="Times New Roman" w:hAnsi="Arial" w:cs="Arial"/>
          <w:b/>
          <w:bCs/>
          <w:color w:val="000000" w:themeColor="text1"/>
          <w:sz w:val="20"/>
          <w:szCs w:val="20"/>
        </w:rPr>
      </w:pPr>
      <w:r w:rsidRPr="00BF3F8F">
        <w:rPr>
          <w:rFonts w:ascii="Arial" w:eastAsia="Times New Roman" w:hAnsi="Arial" w:cs="Arial"/>
          <w:b/>
          <w:bCs/>
          <w:color w:val="000000" w:themeColor="text1"/>
          <w:sz w:val="20"/>
          <w:szCs w:val="20"/>
        </w:rPr>
        <w:t xml:space="preserve">Figure 7 – Validation of findings from age </w:t>
      </w:r>
      <w:proofErr w:type="gramStart"/>
      <w:r w:rsidRPr="00BF3F8F">
        <w:rPr>
          <w:rFonts w:ascii="Arial" w:eastAsia="Times New Roman" w:hAnsi="Arial" w:cs="Arial"/>
          <w:b/>
          <w:bCs/>
          <w:color w:val="000000" w:themeColor="text1"/>
          <w:sz w:val="20"/>
          <w:szCs w:val="20"/>
        </w:rPr>
        <w:t>8-10 week</w:t>
      </w:r>
      <w:proofErr w:type="gramEnd"/>
      <w:r w:rsidRPr="00BF3F8F">
        <w:rPr>
          <w:rFonts w:ascii="Arial" w:eastAsia="Times New Roman" w:hAnsi="Arial" w:cs="Arial"/>
          <w:b/>
          <w:bCs/>
          <w:color w:val="000000" w:themeColor="text1"/>
          <w:sz w:val="20"/>
          <w:szCs w:val="20"/>
        </w:rPr>
        <w:t xml:space="preserve"> Nile rats in mature 20-34 week Nile rats. </w:t>
      </w:r>
    </w:p>
    <w:p w14:paraId="19679D6A" w14:textId="2DBDECEC"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sz w:val="20"/>
          <w:szCs w:val="20"/>
        </w:rPr>
        <w:t>(</w:t>
      </w:r>
      <w:r w:rsidRPr="00BF3F8F">
        <w:rPr>
          <w:rFonts w:ascii="Arial" w:eastAsia="Times New Roman" w:hAnsi="Arial" w:cs="Arial"/>
          <w:b/>
          <w:bCs/>
          <w:color w:val="000000" w:themeColor="text1"/>
          <w:sz w:val="20"/>
          <w:szCs w:val="20"/>
        </w:rPr>
        <w:t>A</w:t>
      </w:r>
      <w:r w:rsidRPr="00BF3F8F">
        <w:rPr>
          <w:rFonts w:ascii="Arial" w:eastAsia="Times New Roman" w:hAnsi="Arial" w:cs="Arial"/>
          <w:color w:val="000000" w:themeColor="text1"/>
          <w:sz w:val="20"/>
          <w:szCs w:val="20"/>
        </w:rPr>
        <w:t>) A cohort of male and female Nile rats were measured for non-fasted random blood glucose starting after week 20. Rats that began to display elevated random blood glucose (hyperglycemia) were selected for non-fasted plasma sampling. n=6 female rats and n=5 male rats RBGs are averaged and RBG over time is shown as the number of weeks prior to OGTT. OGTT occurred between weeks 28 and 34 of age [double check numbers]. Plasma samples collected between 2 to 4 weeks prior to OGTT underwent LC-MS lipidomics and polar metabolomics as shown with gray background. (</w:t>
      </w:r>
      <w:r w:rsidRPr="00BF3F8F">
        <w:rPr>
          <w:rFonts w:ascii="Arial" w:eastAsia="Times New Roman" w:hAnsi="Arial" w:cs="Arial"/>
          <w:b/>
          <w:bCs/>
          <w:color w:val="000000" w:themeColor="text1"/>
          <w:sz w:val="20"/>
          <w:szCs w:val="20"/>
        </w:rPr>
        <w:t>B</w:t>
      </w:r>
      <w:r w:rsidRPr="00BF3F8F">
        <w:rPr>
          <w:rFonts w:ascii="Arial" w:eastAsia="Times New Roman" w:hAnsi="Arial" w:cs="Arial"/>
          <w:color w:val="000000" w:themeColor="text1"/>
          <w:sz w:val="20"/>
          <w:szCs w:val="20"/>
        </w:rPr>
        <w:t>) Similar to Figure 3, the repeated measures metabolite variance for the validation cohort of mature Nile rats is assessed via % RSD, with median RSD reported in percent, and 95% C.I. given by error bars. (</w:t>
      </w:r>
      <w:r w:rsidRPr="00BF3F8F">
        <w:rPr>
          <w:rFonts w:ascii="Arial" w:eastAsia="Times New Roman" w:hAnsi="Arial" w:cs="Arial"/>
          <w:b/>
          <w:bCs/>
          <w:color w:val="000000" w:themeColor="text1"/>
          <w:sz w:val="20"/>
          <w:szCs w:val="20"/>
        </w:rPr>
        <w:t>C</w:t>
      </w:r>
      <w:r w:rsidRPr="00BF3F8F">
        <w:rPr>
          <w:rFonts w:ascii="Arial" w:eastAsia="Times New Roman" w:hAnsi="Arial" w:cs="Arial"/>
          <w:color w:val="000000" w:themeColor="text1"/>
          <w:sz w:val="20"/>
          <w:szCs w:val="20"/>
        </w:rPr>
        <w:t>) Comparison of female versus male OGTT slopes for identified lipid species. (</w:t>
      </w:r>
      <w:r w:rsidRPr="00BF3F8F">
        <w:rPr>
          <w:rFonts w:ascii="Arial" w:eastAsia="Times New Roman" w:hAnsi="Arial" w:cs="Arial"/>
          <w:b/>
          <w:bCs/>
          <w:color w:val="000000" w:themeColor="text1"/>
          <w:sz w:val="20"/>
          <w:szCs w:val="20"/>
        </w:rPr>
        <w:t>D and E</w:t>
      </w:r>
      <w:r w:rsidRPr="00BF3F8F">
        <w:rPr>
          <w:rFonts w:ascii="Arial" w:eastAsia="Times New Roman" w:hAnsi="Arial" w:cs="Arial"/>
          <w:color w:val="000000" w:themeColor="text1"/>
          <w:sz w:val="20"/>
          <w:szCs w:val="20"/>
        </w:rPr>
        <w:t xml:space="preserve">) Two ceramide species that show strong trends versus OGTT in mature Nile rats.  </w:t>
      </w:r>
    </w:p>
    <w:p w14:paraId="370EACFF" w14:textId="77777777" w:rsidR="00BF3F8F" w:rsidRPr="00BF3F8F" w:rsidRDefault="00BF3F8F" w:rsidP="00BF3F8F">
      <w:pPr>
        <w:spacing w:before="400" w:after="120" w:line="240" w:lineRule="auto"/>
        <w:jc w:val="both"/>
        <w:outlineLvl w:val="0"/>
        <w:rPr>
          <w:rFonts w:ascii="Arial" w:eastAsia="Times New Roman" w:hAnsi="Arial" w:cs="Arial"/>
          <w:b/>
          <w:bCs/>
          <w:color w:val="000000" w:themeColor="text1"/>
          <w:kern w:val="36"/>
          <w:sz w:val="36"/>
          <w:szCs w:val="36"/>
        </w:rPr>
      </w:pPr>
      <w:r w:rsidRPr="00BF3F8F">
        <w:rPr>
          <w:rFonts w:ascii="Arial" w:eastAsia="Times New Roman" w:hAnsi="Arial" w:cs="Arial"/>
          <w:color w:val="000000" w:themeColor="text1"/>
          <w:kern w:val="36"/>
          <w:sz w:val="28"/>
          <w:szCs w:val="28"/>
        </w:rPr>
        <w:lastRenderedPageBreak/>
        <w:t>Discussion</w:t>
      </w:r>
    </w:p>
    <w:p w14:paraId="490F8309"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In this study, we revealed that Nile rat plasma metabolites show large differences in abundance between fasted and non-fasted dependent on glucose tolerance. Despite these large differences, the week-to-week variance of individual plasma metabolites in the non-fasted state is </w:t>
      </w:r>
      <w:proofErr w:type="gramStart"/>
      <w:r w:rsidRPr="00BF3F8F">
        <w:rPr>
          <w:rFonts w:ascii="Arial" w:eastAsia="Times New Roman" w:hAnsi="Arial" w:cs="Arial"/>
          <w:color w:val="000000" w:themeColor="text1"/>
        </w:rPr>
        <w:t>similar to</w:t>
      </w:r>
      <w:proofErr w:type="gramEnd"/>
      <w:r w:rsidRPr="00BF3F8F">
        <w:rPr>
          <w:rFonts w:ascii="Arial" w:eastAsia="Times New Roman" w:hAnsi="Arial" w:cs="Arial"/>
          <w:color w:val="000000" w:themeColor="text1"/>
        </w:rPr>
        <w:t xml:space="preserve"> the variance in fasted. Overall, these changes indicate that the choice of sampling blood plasma in fasted versus non-fasted condition can influence the quantitation of important biomarkers for type 2 diabetes. </w:t>
      </w:r>
    </w:p>
    <w:p w14:paraId="7322C649"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181DCC71" w14:textId="55941A33"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This work is the first analysis of plasma metabolites in the Nile rat species. It is notable that this work accomplished plasma analysis with several key benefits. First, we performed separate lipidomics and polar metabolomics to provide broader coverage of the diversity of polarities of molecules present in plasma, from hydrophobic triacylglycerols to hydrophilic carbohydrates. In addition, we used small amounts of plasma, less than 20 microliters for each plasma sample. With such small quantities, this </w:t>
      </w:r>
      <w:r w:rsidR="00FB178B" w:rsidRPr="00C11F83">
        <w:rPr>
          <w:rFonts w:ascii="Arial" w:eastAsia="Times New Roman" w:hAnsi="Arial" w:cs="Arial"/>
          <w:color w:val="000000" w:themeColor="text1"/>
        </w:rPr>
        <w:t xml:space="preserve">enables </w:t>
      </w:r>
      <w:r w:rsidRPr="00BF3F8F">
        <w:rPr>
          <w:rFonts w:ascii="Arial" w:eastAsia="Times New Roman" w:hAnsi="Arial" w:cs="Arial"/>
          <w:color w:val="000000" w:themeColor="text1"/>
        </w:rPr>
        <w:t>further analysis of plasma in smaller</w:t>
      </w:r>
      <w:r w:rsidR="00FB178B" w:rsidRPr="00C11F83">
        <w:rPr>
          <w:rFonts w:ascii="Arial" w:eastAsia="Times New Roman" w:hAnsi="Arial" w:cs="Arial"/>
          <w:color w:val="000000" w:themeColor="text1"/>
        </w:rPr>
        <w:t xml:space="preserve"> </w:t>
      </w:r>
      <w:r w:rsidRPr="00BF3F8F">
        <w:rPr>
          <w:rFonts w:ascii="Arial" w:eastAsia="Times New Roman" w:hAnsi="Arial" w:cs="Arial"/>
          <w:color w:val="000000" w:themeColor="text1"/>
        </w:rPr>
        <w:t xml:space="preserve">Nile rats, such as in weanlings, </w:t>
      </w:r>
      <w:r w:rsidR="00C45C32" w:rsidRPr="00C11F83">
        <w:rPr>
          <w:rFonts w:ascii="Arial" w:eastAsia="Times New Roman" w:hAnsi="Arial" w:cs="Arial"/>
          <w:color w:val="000000" w:themeColor="text1"/>
        </w:rPr>
        <w:t>allowing for</w:t>
      </w:r>
      <w:r w:rsidRPr="00BF3F8F">
        <w:rPr>
          <w:rFonts w:ascii="Arial" w:eastAsia="Times New Roman" w:hAnsi="Arial" w:cs="Arial"/>
          <w:color w:val="000000" w:themeColor="text1"/>
        </w:rPr>
        <w:t xml:space="preserve"> the monitoring of plasma metabolites </w:t>
      </w:r>
      <w:r w:rsidR="00FB178B" w:rsidRPr="00C11F83">
        <w:rPr>
          <w:rFonts w:ascii="Arial" w:eastAsia="Times New Roman" w:hAnsi="Arial" w:cs="Arial"/>
          <w:color w:val="000000" w:themeColor="text1"/>
        </w:rPr>
        <w:t>in even younger cohorts</w:t>
      </w:r>
      <w:r w:rsidRPr="00BF3F8F">
        <w:rPr>
          <w:rFonts w:ascii="Arial" w:eastAsia="Times New Roman" w:hAnsi="Arial" w:cs="Arial"/>
          <w:color w:val="000000" w:themeColor="text1"/>
        </w:rPr>
        <w:t>. </w:t>
      </w:r>
    </w:p>
    <w:p w14:paraId="4A38D082"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00A3F3AE" w14:textId="77777777" w:rsidR="00BF3F8F" w:rsidRPr="00BF3F8F" w:rsidRDefault="00BF3F8F" w:rsidP="00BF3F8F">
      <w:pPr>
        <w:spacing w:after="0" w:line="240" w:lineRule="auto"/>
        <w:jc w:val="both"/>
        <w:rPr>
          <w:rFonts w:ascii="Arial" w:eastAsia="Times New Roman" w:hAnsi="Arial" w:cs="Arial"/>
          <w:color w:val="000000" w:themeColor="text1"/>
          <w:sz w:val="24"/>
          <w:szCs w:val="24"/>
        </w:rPr>
      </w:pPr>
      <w:r w:rsidRPr="00BF3F8F">
        <w:rPr>
          <w:rFonts w:ascii="Arial" w:eastAsia="Times New Roman" w:hAnsi="Arial" w:cs="Arial"/>
          <w:color w:val="000000" w:themeColor="text1"/>
        </w:rPr>
        <w:t xml:space="preserve">In the context of diabetes, comparing the interaction effect between diabetic glucose tolerance and the fasted or non-fasted state is uncommon, yet can lead to key insights into diabetes disease etiology. This work shows the effect of glucose tolerance as measured by OGTT glucose AUC across a wide range of AUC values to show the extreme effect of diabetic glucose tolerance on metabolite quantitations. We also show these differences in different Nile rat age groups (10 week versus 30 week and in both sexes. While our data are enough to serve as a foundational baseline for future work on Nile rats, future studies will benefit from several strategies to increase statistical power in these associations and improve confidence in conclusions, </w:t>
      </w:r>
      <w:proofErr w:type="gramStart"/>
      <w:r w:rsidRPr="00BF3F8F">
        <w:rPr>
          <w:rFonts w:ascii="Arial" w:eastAsia="Times New Roman" w:hAnsi="Arial" w:cs="Arial"/>
          <w:color w:val="000000" w:themeColor="text1"/>
        </w:rPr>
        <w:t>namely</w:t>
      </w:r>
      <w:proofErr w:type="gramEnd"/>
      <w:r w:rsidRPr="00BF3F8F">
        <w:rPr>
          <w:rFonts w:ascii="Arial" w:eastAsia="Times New Roman" w:hAnsi="Arial" w:cs="Arial"/>
          <w:color w:val="000000" w:themeColor="text1"/>
        </w:rPr>
        <w:t xml:space="preserve"> to include greater numbers of Nile rats and using more females in cohorts. Studies will also benefit from a wider range of genetics from many different Nile rat litters due to the genetic diversity of these animals. Further study will benefit from continuing to use LCMS metabolomics to perform biomarker analysis and investigate disease associations with diabetes. </w:t>
      </w:r>
    </w:p>
    <w:p w14:paraId="0F06422A" w14:textId="5316355B" w:rsidR="00BF3F8F" w:rsidRPr="00C11F83" w:rsidRDefault="00BF3F8F">
      <w:pPr>
        <w:rPr>
          <w:rFonts w:ascii="Arial" w:hAnsi="Arial" w:cs="Arial"/>
          <w:color w:val="000000" w:themeColor="text1"/>
        </w:rPr>
      </w:pPr>
      <w:r w:rsidRPr="00C11F83">
        <w:rPr>
          <w:rFonts w:ascii="Arial" w:hAnsi="Arial" w:cs="Arial"/>
          <w:color w:val="000000" w:themeColor="text1"/>
        </w:rPr>
        <w:br w:type="page"/>
      </w:r>
    </w:p>
    <w:p w14:paraId="5C4CD440" w14:textId="77777777" w:rsidR="00BF3F8F" w:rsidRPr="00BF3F8F" w:rsidRDefault="00BF3F8F" w:rsidP="00BF3F8F">
      <w:pPr>
        <w:spacing w:after="0" w:line="240" w:lineRule="auto"/>
        <w:ind w:hanging="720"/>
        <w:rPr>
          <w:rFonts w:ascii="Arial" w:eastAsia="Times New Roman" w:hAnsi="Arial" w:cs="Arial"/>
          <w:color w:val="000000" w:themeColor="text1"/>
          <w:sz w:val="32"/>
          <w:szCs w:val="32"/>
        </w:rPr>
      </w:pPr>
      <w:r w:rsidRPr="00BF3F8F">
        <w:rPr>
          <w:rFonts w:ascii="Arial" w:eastAsia="Times New Roman" w:hAnsi="Arial" w:cs="Arial"/>
          <w:color w:val="000000" w:themeColor="text1"/>
          <w:sz w:val="28"/>
          <w:szCs w:val="28"/>
        </w:rPr>
        <w:lastRenderedPageBreak/>
        <w:t>References</w:t>
      </w:r>
    </w:p>
    <w:p w14:paraId="0A7775EB" w14:textId="77777777" w:rsidR="00BF3F8F" w:rsidRPr="00BF3F8F" w:rsidRDefault="00BF3F8F" w:rsidP="00BF3F8F">
      <w:pPr>
        <w:spacing w:after="0" w:line="240" w:lineRule="auto"/>
        <w:rPr>
          <w:rFonts w:ascii="Arial" w:eastAsia="Times New Roman" w:hAnsi="Arial" w:cs="Arial"/>
          <w:color w:val="000000" w:themeColor="text1"/>
          <w:sz w:val="24"/>
          <w:szCs w:val="24"/>
        </w:rPr>
      </w:pPr>
    </w:p>
    <w:p w14:paraId="23F3639B"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3" w:history="1">
        <w:r w:rsidRPr="00BF3F8F">
          <w:rPr>
            <w:rFonts w:ascii="Arial" w:eastAsia="Times New Roman" w:hAnsi="Arial" w:cs="Arial"/>
            <w:color w:val="000000" w:themeColor="text1"/>
          </w:rPr>
          <w:t xml:space="preserve">(1)    International Diabetes Federation. </w:t>
        </w:r>
        <w:r w:rsidRPr="00BF3F8F">
          <w:rPr>
            <w:rFonts w:ascii="Arial" w:eastAsia="Times New Roman" w:hAnsi="Arial" w:cs="Arial"/>
            <w:i/>
            <w:iCs/>
            <w:color w:val="000000" w:themeColor="text1"/>
          </w:rPr>
          <w:t>IDF Diabetes Atlas</w:t>
        </w:r>
        <w:r w:rsidRPr="00BF3F8F">
          <w:rPr>
            <w:rFonts w:ascii="Arial" w:eastAsia="Times New Roman" w:hAnsi="Arial" w:cs="Arial"/>
            <w:color w:val="000000" w:themeColor="text1"/>
          </w:rPr>
          <w:t xml:space="preserve"> No. 10th </w:t>
        </w:r>
        <w:proofErr w:type="spellStart"/>
        <w:r w:rsidRPr="00BF3F8F">
          <w:rPr>
            <w:rFonts w:ascii="Arial" w:eastAsia="Times New Roman" w:hAnsi="Arial" w:cs="Arial"/>
            <w:color w:val="000000" w:themeColor="text1"/>
          </w:rPr>
          <w:t>edn</w:t>
        </w:r>
        <w:proofErr w:type="spellEnd"/>
        <w:r w:rsidRPr="00BF3F8F">
          <w:rPr>
            <w:rFonts w:ascii="Arial" w:eastAsia="Times New Roman" w:hAnsi="Arial" w:cs="Arial"/>
            <w:color w:val="000000" w:themeColor="text1"/>
          </w:rPr>
          <w:t>.</w:t>
        </w:r>
      </w:hyperlink>
    </w:p>
    <w:p w14:paraId="4B4103BB"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4" w:history="1">
        <w:r w:rsidRPr="00BF3F8F">
          <w:rPr>
            <w:rFonts w:ascii="Arial" w:eastAsia="Times New Roman" w:hAnsi="Arial" w:cs="Arial"/>
            <w:color w:val="000000" w:themeColor="text1"/>
          </w:rPr>
          <w:t xml:space="preserve">(2)    Singh, J.; Yousuf, M. S.; Jones, K. E.; Shelemey, P. T. M.; Joy, T.; Macandili, H.; Kerr, B. J.; Zochodne, D. W.; Sauvé, Y.; Ballanyi, K.; Webber, C. A. Characterization of the Nile Grass Rat as a Unique Model for Type 2 Diabetic Polyneuropathy. </w:t>
        </w:r>
        <w:r w:rsidRPr="00BF3F8F">
          <w:rPr>
            <w:rFonts w:ascii="Arial" w:eastAsia="Times New Roman" w:hAnsi="Arial" w:cs="Arial"/>
            <w:i/>
            <w:iCs/>
            <w:color w:val="000000" w:themeColor="text1"/>
          </w:rPr>
          <w:t xml:space="preserve">J. Neuropathol. Exp. Neurol.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77</w:t>
        </w:r>
        <w:r w:rsidRPr="00BF3F8F">
          <w:rPr>
            <w:rFonts w:ascii="Arial" w:eastAsia="Times New Roman" w:hAnsi="Arial" w:cs="Arial"/>
            <w:color w:val="000000" w:themeColor="text1"/>
          </w:rPr>
          <w:t xml:space="preserve"> (6), 469–478. https://doi.org/10.1093/jnen/nly030.</w:t>
        </w:r>
      </w:hyperlink>
    </w:p>
    <w:p w14:paraId="1838EF4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5" w:history="1">
        <w:r w:rsidRPr="00BF3F8F">
          <w:rPr>
            <w:rFonts w:ascii="Arial" w:eastAsia="Times New Roman" w:hAnsi="Arial" w:cs="Arial"/>
            <w:color w:val="000000" w:themeColor="text1"/>
          </w:rPr>
          <w:t xml:space="preserve">(3)    Senzota, R. B. M. A Case of Rodent—Ungulate Resource Partitioning. </w:t>
        </w:r>
        <w:r w:rsidRPr="00BF3F8F">
          <w:rPr>
            <w:rFonts w:ascii="Arial" w:eastAsia="Times New Roman" w:hAnsi="Arial" w:cs="Arial"/>
            <w:i/>
            <w:iCs/>
            <w:color w:val="000000" w:themeColor="text1"/>
          </w:rPr>
          <w:t xml:space="preserve">J. Mammal. </w:t>
        </w:r>
        <w:r w:rsidRPr="00BF3F8F">
          <w:rPr>
            <w:rFonts w:ascii="Arial" w:eastAsia="Times New Roman" w:hAnsi="Arial" w:cs="Arial"/>
            <w:b/>
            <w:bCs/>
            <w:color w:val="000000" w:themeColor="text1"/>
          </w:rPr>
          <w:t>1983</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64</w:t>
        </w:r>
        <w:r w:rsidRPr="00BF3F8F">
          <w:rPr>
            <w:rFonts w:ascii="Arial" w:eastAsia="Times New Roman" w:hAnsi="Arial" w:cs="Arial"/>
            <w:color w:val="000000" w:themeColor="text1"/>
          </w:rPr>
          <w:t xml:space="preserve"> (2), 326–329. https://doi.org/10.2307/1380569.</w:t>
        </w:r>
      </w:hyperlink>
    </w:p>
    <w:p w14:paraId="5B40688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6" w:history="1">
        <w:r w:rsidRPr="00BF3F8F">
          <w:rPr>
            <w:rFonts w:ascii="Arial" w:eastAsia="Times New Roman" w:hAnsi="Arial" w:cs="Arial"/>
            <w:color w:val="000000" w:themeColor="text1"/>
          </w:rPr>
          <w:t xml:space="preserve">(4)    Ranaei Pirmardan, E.; Barakat, A.; Zhang, Y.; Naseri, M.; Hafezi-Moghadam, A. Diabetic Cataract in the Nile Grass Rat: A Longitudinal Phenotypic Study of Pathology Formation. </w:t>
        </w:r>
        <w:r w:rsidRPr="00BF3F8F">
          <w:rPr>
            <w:rFonts w:ascii="Arial" w:eastAsia="Times New Roman" w:hAnsi="Arial" w:cs="Arial"/>
            <w:i/>
            <w:iCs/>
            <w:color w:val="000000" w:themeColor="text1"/>
          </w:rPr>
          <w:t xml:space="preserve">FASEB J. </w:t>
        </w:r>
        <w:r w:rsidRPr="00BF3F8F">
          <w:rPr>
            <w:rFonts w:ascii="Arial" w:eastAsia="Times New Roman" w:hAnsi="Arial" w:cs="Arial"/>
            <w:b/>
            <w:bCs/>
            <w:color w:val="000000" w:themeColor="text1"/>
          </w:rPr>
          <w:t>2021</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35</w:t>
        </w:r>
        <w:r w:rsidRPr="00BF3F8F">
          <w:rPr>
            <w:rFonts w:ascii="Arial" w:eastAsia="Times New Roman" w:hAnsi="Arial" w:cs="Arial"/>
            <w:color w:val="000000" w:themeColor="text1"/>
          </w:rPr>
          <w:t xml:space="preserve"> (6), e21593. https://doi.org/10.1096/fj.202100353R.</w:t>
        </w:r>
      </w:hyperlink>
    </w:p>
    <w:p w14:paraId="50F71F45"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7" w:history="1">
        <w:r w:rsidRPr="00BF3F8F">
          <w:rPr>
            <w:rFonts w:ascii="Arial" w:eastAsia="Times New Roman" w:hAnsi="Arial" w:cs="Arial"/>
            <w:color w:val="000000" w:themeColor="text1"/>
          </w:rPr>
          <w:t xml:space="preserve">(5)    Schneider, J.; Kuny, S.; Beker, D.; Sauvé, Y.; Lemieux, H. Cardiovascular Sexual Dimorphism in a Diet-Induced Type 2 Diabetes Rodent Model, the Nile Rat (Arvicanthis Niloticus). </w:t>
        </w:r>
        <w:r w:rsidRPr="00BF3F8F">
          <w:rPr>
            <w:rFonts w:ascii="Arial" w:eastAsia="Times New Roman" w:hAnsi="Arial" w:cs="Arial"/>
            <w:i/>
            <w:iCs/>
            <w:color w:val="000000" w:themeColor="text1"/>
          </w:rPr>
          <w:t xml:space="preserve">PLOS ONE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13</w:t>
        </w:r>
        <w:r w:rsidRPr="00BF3F8F">
          <w:rPr>
            <w:rFonts w:ascii="Arial" w:eastAsia="Times New Roman" w:hAnsi="Arial" w:cs="Arial"/>
            <w:color w:val="000000" w:themeColor="text1"/>
          </w:rPr>
          <w:t xml:space="preserve"> (12), e0208987. https://doi.org/10.1371/journal.pone.0208987.</w:t>
        </w:r>
      </w:hyperlink>
    </w:p>
    <w:p w14:paraId="3377693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8" w:history="1">
        <w:r w:rsidRPr="00BF3F8F">
          <w:rPr>
            <w:rFonts w:ascii="Arial" w:eastAsia="Times New Roman" w:hAnsi="Arial" w:cs="Arial"/>
            <w:color w:val="000000" w:themeColor="text1"/>
          </w:rPr>
          <w:t xml:space="preserve">(6)    Toh, H.; Smolentsev, A.; Bozadjian, R. V.; Keeley, P. W.; Lockwood, M. D.; Sadjadi, R.; Clegg, D. O.; Blodi, B. A.; Coffey, P. J.; Reese, B. E.; Thomson, J. A. Vascular Changes in Diabetic Retinopathy—a Longitudinal Study in the Nile Rat. </w:t>
        </w:r>
        <w:r w:rsidRPr="00BF3F8F">
          <w:rPr>
            <w:rFonts w:ascii="Arial" w:eastAsia="Times New Roman" w:hAnsi="Arial" w:cs="Arial"/>
            <w:i/>
            <w:iCs/>
            <w:color w:val="000000" w:themeColor="text1"/>
          </w:rPr>
          <w:t xml:space="preserve">Lab. Invest. </w:t>
        </w:r>
        <w:r w:rsidRPr="00BF3F8F">
          <w:rPr>
            <w:rFonts w:ascii="Arial" w:eastAsia="Times New Roman" w:hAnsi="Arial" w:cs="Arial"/>
            <w:b/>
            <w:bCs/>
            <w:color w:val="000000" w:themeColor="text1"/>
          </w:rPr>
          <w:t>2019</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99</w:t>
        </w:r>
        <w:r w:rsidRPr="00BF3F8F">
          <w:rPr>
            <w:rFonts w:ascii="Arial" w:eastAsia="Times New Roman" w:hAnsi="Arial" w:cs="Arial"/>
            <w:color w:val="000000" w:themeColor="text1"/>
          </w:rPr>
          <w:t xml:space="preserve"> (10), 1547–1560. https://doi.org/10.1038/s41374-019-0264-3.</w:t>
        </w:r>
      </w:hyperlink>
    </w:p>
    <w:p w14:paraId="070B4F73"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59" w:history="1">
        <w:r w:rsidRPr="00BF3F8F">
          <w:rPr>
            <w:rFonts w:ascii="Arial" w:eastAsia="Times New Roman" w:hAnsi="Arial" w:cs="Arial"/>
            <w:color w:val="000000" w:themeColor="text1"/>
          </w:rPr>
          <w:t xml:space="preserve">(7)    Rabiu, S.; Rose, R. K. A Quantitative Study of Diet in Three Species of Rodents in Natural and Irrigated Savanna Fields. </w:t>
        </w:r>
        <w:r w:rsidRPr="00BF3F8F">
          <w:rPr>
            <w:rFonts w:ascii="Arial" w:eastAsia="Times New Roman" w:hAnsi="Arial" w:cs="Arial"/>
            <w:b/>
            <w:bCs/>
            <w:color w:val="000000" w:themeColor="text1"/>
          </w:rPr>
          <w:t>1997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42</w:t>
        </w:r>
        <w:r w:rsidRPr="00BF3F8F">
          <w:rPr>
            <w:rFonts w:ascii="Arial" w:eastAsia="Times New Roman" w:hAnsi="Arial" w:cs="Arial"/>
            <w:color w:val="000000" w:themeColor="text1"/>
          </w:rPr>
          <w:t xml:space="preserve"> (1), 55–70.</w:t>
        </w:r>
      </w:hyperlink>
    </w:p>
    <w:p w14:paraId="57F3AFAA"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0" w:history="1">
        <w:r w:rsidRPr="00BF3F8F">
          <w:rPr>
            <w:rFonts w:ascii="Arial" w:eastAsia="Times New Roman" w:hAnsi="Arial" w:cs="Arial"/>
            <w:color w:val="000000" w:themeColor="text1"/>
          </w:rPr>
          <w:t xml:space="preserve">(8)    Chao, P.-C.; Li, Y.; Chang, C.-H.; Shieh, J. P.; Cheng, J.-T.; Cheng, K.-C. Investigation of Insulin Resistance in the Popularly Used Four Rat Models of Type-2 Diabetes. </w:t>
        </w:r>
        <w:r w:rsidRPr="00BF3F8F">
          <w:rPr>
            <w:rFonts w:ascii="Arial" w:eastAsia="Times New Roman" w:hAnsi="Arial" w:cs="Arial"/>
            <w:i/>
            <w:iCs/>
            <w:color w:val="000000" w:themeColor="text1"/>
          </w:rPr>
          <w:t xml:space="preserve">Biomed. Pharmacother.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101</w:t>
        </w:r>
        <w:r w:rsidRPr="00BF3F8F">
          <w:rPr>
            <w:rFonts w:ascii="Arial" w:eastAsia="Times New Roman" w:hAnsi="Arial" w:cs="Arial"/>
            <w:color w:val="000000" w:themeColor="text1"/>
          </w:rPr>
          <w:t>, 155–161. https://doi.org/10.1016/j.biopha.2018.02.084.</w:t>
        </w:r>
      </w:hyperlink>
    </w:p>
    <w:p w14:paraId="3AA6F223"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1" w:history="1">
        <w:r w:rsidRPr="00BF3F8F">
          <w:rPr>
            <w:rFonts w:ascii="Arial" w:eastAsia="Times New Roman" w:hAnsi="Arial" w:cs="Arial"/>
            <w:color w:val="000000" w:themeColor="text1"/>
          </w:rPr>
          <w:t xml:space="preserve">(9)    Yan, L.; Smale, L.; Nunez, A. A. Circadian and Photic Modulation of Daily Rhythms in Diurnal Mammals. </w:t>
        </w:r>
        <w:r w:rsidRPr="00BF3F8F">
          <w:rPr>
            <w:rFonts w:ascii="Arial" w:eastAsia="Times New Roman" w:hAnsi="Arial" w:cs="Arial"/>
            <w:i/>
            <w:iCs/>
            <w:color w:val="000000" w:themeColor="text1"/>
          </w:rPr>
          <w:t xml:space="preserve">Eur. J. Neurosci.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51</w:t>
        </w:r>
        <w:r w:rsidRPr="00BF3F8F">
          <w:rPr>
            <w:rFonts w:ascii="Arial" w:eastAsia="Times New Roman" w:hAnsi="Arial" w:cs="Arial"/>
            <w:color w:val="000000" w:themeColor="text1"/>
          </w:rPr>
          <w:t xml:space="preserve"> (1), 551–566. https://doi.org/10.1111/ejn.14172.</w:t>
        </w:r>
      </w:hyperlink>
    </w:p>
    <w:p w14:paraId="31A3F957"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2" w:history="1">
        <w:r w:rsidRPr="00BF3F8F">
          <w:rPr>
            <w:rFonts w:ascii="Arial" w:eastAsia="Times New Roman" w:hAnsi="Arial" w:cs="Arial"/>
            <w:color w:val="000000" w:themeColor="text1"/>
          </w:rPr>
          <w:t xml:space="preserve">(10)    Rizza, R. A. Pathogenesis of Fasting and Postprandial Hyperglycemia in Type 2 Diabetes: Implications for Therapy. </w:t>
        </w:r>
        <w:r w:rsidRPr="00BF3F8F">
          <w:rPr>
            <w:rFonts w:ascii="Arial" w:eastAsia="Times New Roman" w:hAnsi="Arial" w:cs="Arial"/>
            <w:i/>
            <w:iCs/>
            <w:color w:val="000000" w:themeColor="text1"/>
          </w:rPr>
          <w:t xml:space="preserve">Diabetes </w:t>
        </w:r>
        <w:r w:rsidRPr="00BF3F8F">
          <w:rPr>
            <w:rFonts w:ascii="Arial" w:eastAsia="Times New Roman" w:hAnsi="Arial" w:cs="Arial"/>
            <w:b/>
            <w:bCs/>
            <w:color w:val="000000" w:themeColor="text1"/>
          </w:rPr>
          <w:t>2010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59</w:t>
        </w:r>
        <w:r w:rsidRPr="00BF3F8F">
          <w:rPr>
            <w:rFonts w:ascii="Arial" w:eastAsia="Times New Roman" w:hAnsi="Arial" w:cs="Arial"/>
            <w:color w:val="000000" w:themeColor="text1"/>
          </w:rPr>
          <w:t xml:space="preserve"> (11), 2697–2707. https://doi.org/10.2337/db10-1032.</w:t>
        </w:r>
      </w:hyperlink>
    </w:p>
    <w:p w14:paraId="7AA14329"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3" w:history="1">
        <w:r w:rsidRPr="00BF3F8F">
          <w:rPr>
            <w:rFonts w:ascii="Arial" w:eastAsia="Times New Roman" w:hAnsi="Arial" w:cs="Arial"/>
            <w:color w:val="000000" w:themeColor="text1"/>
          </w:rPr>
          <w:t xml:space="preserve">(11)    Monnier, L.; Colette, C.; Dunseath, G. J.; Owens, D. R. The Loss of Postprandial Glycemic Control Precedes Stepwise Deterioration of Fasting With Worsening Diabetes. </w:t>
        </w:r>
        <w:r w:rsidRPr="00BF3F8F">
          <w:rPr>
            <w:rFonts w:ascii="Arial" w:eastAsia="Times New Roman" w:hAnsi="Arial" w:cs="Arial"/>
            <w:i/>
            <w:iCs/>
            <w:color w:val="000000" w:themeColor="text1"/>
          </w:rPr>
          <w:t xml:space="preserve">Diabetes Care </w:t>
        </w:r>
        <w:r w:rsidRPr="00BF3F8F">
          <w:rPr>
            <w:rFonts w:ascii="Arial" w:eastAsia="Times New Roman" w:hAnsi="Arial" w:cs="Arial"/>
            <w:b/>
            <w:bCs/>
            <w:color w:val="000000" w:themeColor="text1"/>
          </w:rPr>
          <w:t>2007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30</w:t>
        </w:r>
        <w:r w:rsidRPr="00BF3F8F">
          <w:rPr>
            <w:rFonts w:ascii="Arial" w:eastAsia="Times New Roman" w:hAnsi="Arial" w:cs="Arial"/>
            <w:color w:val="000000" w:themeColor="text1"/>
          </w:rPr>
          <w:t xml:space="preserve"> (2), 263–269. https://doi.org/10.2337/dc06-1612.</w:t>
        </w:r>
      </w:hyperlink>
    </w:p>
    <w:p w14:paraId="179A83D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4" w:history="1">
        <w:r w:rsidRPr="00BF3F8F">
          <w:rPr>
            <w:rFonts w:ascii="Arial" w:eastAsia="Times New Roman" w:hAnsi="Arial" w:cs="Arial"/>
            <w:color w:val="000000" w:themeColor="text1"/>
          </w:rPr>
          <w:t xml:space="preserve">(12)    Leiter, L. A.; Ceriello, A.; Davidson, J. A.; Hanefeld, M.; Monnier, L.; Owens, D. R.; Tajima, N.; Tuomilehto, J. Postprandial Glucose Regulation: New Data Andnew Implications. </w:t>
        </w:r>
        <w:r w:rsidRPr="00BF3F8F">
          <w:rPr>
            <w:rFonts w:ascii="Arial" w:eastAsia="Times New Roman" w:hAnsi="Arial" w:cs="Arial"/>
            <w:i/>
            <w:iCs/>
            <w:color w:val="000000" w:themeColor="text1"/>
          </w:rPr>
          <w:t xml:space="preserve">Biphasic Insul. Aspart FlexPen Their Roles Treat. Diabetes </w:t>
        </w:r>
        <w:r w:rsidRPr="00BF3F8F">
          <w:rPr>
            <w:rFonts w:ascii="Arial" w:eastAsia="Times New Roman" w:hAnsi="Arial" w:cs="Arial"/>
            <w:b/>
            <w:bCs/>
            <w:color w:val="000000" w:themeColor="text1"/>
          </w:rPr>
          <w:t>2005</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27</w:t>
        </w:r>
        <w:r w:rsidRPr="00BF3F8F">
          <w:rPr>
            <w:rFonts w:ascii="Arial" w:eastAsia="Times New Roman" w:hAnsi="Arial" w:cs="Arial"/>
            <w:color w:val="000000" w:themeColor="text1"/>
          </w:rPr>
          <w:t>, S42–S56. https://doi.org/10.1016/j.clinthera.2005.11.020.</w:t>
        </w:r>
      </w:hyperlink>
    </w:p>
    <w:p w14:paraId="1DBFAF96"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5" w:history="1">
        <w:r w:rsidRPr="00BF3F8F">
          <w:rPr>
            <w:rFonts w:ascii="Arial" w:eastAsia="Times New Roman" w:hAnsi="Arial" w:cs="Arial"/>
            <w:color w:val="000000" w:themeColor="text1"/>
          </w:rPr>
          <w:t xml:space="preserve">(13)    Li, Y.; Feng, D.; Esangbedo, I. C.; Zhao, Y.; Han, L.; Zhu, Y.; Fu, J.; Li, G.; Wang, D.; Wang, Y.; Li, M.; Gao, S.; Willi, S. M. Insulin Resistance, Beta-Cell Function, Adipokine Profiles and Cardiometabolic Risk Factors among Chinese Youth with Isolated Impaired Fasting Glucose versus Impaired Glucose Tolerance: The BCAMS Study. </w:t>
        </w:r>
        <w:r w:rsidRPr="00BF3F8F">
          <w:rPr>
            <w:rFonts w:ascii="Arial" w:eastAsia="Times New Roman" w:hAnsi="Arial" w:cs="Arial"/>
            <w:i/>
            <w:iCs/>
            <w:color w:val="000000" w:themeColor="text1"/>
          </w:rPr>
          <w:t xml:space="preserve">BMJ Open Diabetes Res. Amp Care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8</w:t>
        </w:r>
        <w:r w:rsidRPr="00BF3F8F">
          <w:rPr>
            <w:rFonts w:ascii="Arial" w:eastAsia="Times New Roman" w:hAnsi="Arial" w:cs="Arial"/>
            <w:color w:val="000000" w:themeColor="text1"/>
          </w:rPr>
          <w:t xml:space="preserve"> (1), e000724. https://doi.org/10.1136/bmjdrc-2019-000724.</w:t>
        </w:r>
      </w:hyperlink>
    </w:p>
    <w:p w14:paraId="5DBFCBFB"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6" w:history="1">
        <w:r w:rsidRPr="00BF3F8F">
          <w:rPr>
            <w:rFonts w:ascii="Arial" w:eastAsia="Times New Roman" w:hAnsi="Arial" w:cs="Arial"/>
            <w:color w:val="000000" w:themeColor="text1"/>
          </w:rPr>
          <w:t xml:space="preserve">(14)    Cavalot, F.; Petrelli, A.; Traversa, M.; Bonomo, K.; Fiora, E.; Conti, M.; Anfossi, G.; Costa, G.; Trovati, M. Postprandial Blood Glucose Is a Stronger Predictor of Cardiovascular Events Than Fasting Blood Glucose in Type 2 Diabetes Mellitus, Particularly in Women: Lessons from the San Luigi Gonzaga Diabetes Study. </w:t>
        </w:r>
        <w:r w:rsidRPr="00BF3F8F">
          <w:rPr>
            <w:rFonts w:ascii="Arial" w:eastAsia="Times New Roman" w:hAnsi="Arial" w:cs="Arial"/>
            <w:i/>
            <w:iCs/>
            <w:color w:val="000000" w:themeColor="text1"/>
          </w:rPr>
          <w:t xml:space="preserve">J. Clin. Endocrinol. Metab. </w:t>
        </w:r>
        <w:r w:rsidRPr="00BF3F8F">
          <w:rPr>
            <w:rFonts w:ascii="Arial" w:eastAsia="Times New Roman" w:hAnsi="Arial" w:cs="Arial"/>
            <w:b/>
            <w:bCs/>
            <w:color w:val="000000" w:themeColor="text1"/>
          </w:rPr>
          <w:t>2006</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91</w:t>
        </w:r>
        <w:r w:rsidRPr="00BF3F8F">
          <w:rPr>
            <w:rFonts w:ascii="Arial" w:eastAsia="Times New Roman" w:hAnsi="Arial" w:cs="Arial"/>
            <w:color w:val="000000" w:themeColor="text1"/>
          </w:rPr>
          <w:t xml:space="preserve"> (3), 813–819. https://doi.org/10.1210/jc.2005-1005.</w:t>
        </w:r>
      </w:hyperlink>
    </w:p>
    <w:p w14:paraId="220148C2"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7" w:history="1">
        <w:r w:rsidRPr="00BF3F8F">
          <w:rPr>
            <w:rFonts w:ascii="Arial" w:eastAsia="Times New Roman" w:hAnsi="Arial" w:cs="Arial"/>
            <w:color w:val="000000" w:themeColor="text1"/>
          </w:rPr>
          <w:t xml:space="preserve">(15)    Node, K.; Inoue, T. Postprandial Hyperglycemia as an Etiological Factor in Vascular Failure. </w:t>
        </w:r>
        <w:r w:rsidRPr="00BF3F8F">
          <w:rPr>
            <w:rFonts w:ascii="Arial" w:eastAsia="Times New Roman" w:hAnsi="Arial" w:cs="Arial"/>
            <w:i/>
            <w:iCs/>
            <w:color w:val="000000" w:themeColor="text1"/>
          </w:rPr>
          <w:t xml:space="preserve">Cardiovasc. Diabetol. </w:t>
        </w:r>
        <w:r w:rsidRPr="00BF3F8F">
          <w:rPr>
            <w:rFonts w:ascii="Arial" w:eastAsia="Times New Roman" w:hAnsi="Arial" w:cs="Arial"/>
            <w:b/>
            <w:bCs/>
            <w:color w:val="000000" w:themeColor="text1"/>
          </w:rPr>
          <w:t>2009</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8</w:t>
        </w:r>
        <w:r w:rsidRPr="00BF3F8F">
          <w:rPr>
            <w:rFonts w:ascii="Arial" w:eastAsia="Times New Roman" w:hAnsi="Arial" w:cs="Arial"/>
            <w:color w:val="000000" w:themeColor="text1"/>
          </w:rPr>
          <w:t xml:space="preserve"> (1), 23. https://doi.org/10.1186/1475-2840-8-23.</w:t>
        </w:r>
      </w:hyperlink>
    </w:p>
    <w:p w14:paraId="2650F586"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8" w:history="1">
        <w:r w:rsidRPr="00BF3F8F">
          <w:rPr>
            <w:rFonts w:ascii="Arial" w:eastAsia="Times New Roman" w:hAnsi="Arial" w:cs="Arial"/>
            <w:color w:val="000000" w:themeColor="text1"/>
          </w:rPr>
          <w:t xml:space="preserve">(16)    Jiang, J.; Zhao, L.; Lin, L.; Gui, M.; Aleteng, Q.; Wu, B.; Wang, S.; Pan, B.; Ling, Y.; Gao, X. Postprandial Blood Glucose Outweighs Fasting Blood Glucose and HbA1c in Screening </w:t>
        </w:r>
        <w:r w:rsidRPr="00BF3F8F">
          <w:rPr>
            <w:rFonts w:ascii="Arial" w:eastAsia="Times New Roman" w:hAnsi="Arial" w:cs="Arial"/>
            <w:color w:val="000000" w:themeColor="text1"/>
          </w:rPr>
          <w:lastRenderedPageBreak/>
          <w:t xml:space="preserve">Coronary Heart Disease. </w:t>
        </w:r>
        <w:r w:rsidRPr="00BF3F8F">
          <w:rPr>
            <w:rFonts w:ascii="Arial" w:eastAsia="Times New Roman" w:hAnsi="Arial" w:cs="Arial"/>
            <w:i/>
            <w:iCs/>
            <w:color w:val="000000" w:themeColor="text1"/>
          </w:rPr>
          <w:t xml:space="preserve">Sci. Rep. </w:t>
        </w:r>
        <w:r w:rsidRPr="00BF3F8F">
          <w:rPr>
            <w:rFonts w:ascii="Arial" w:eastAsia="Times New Roman" w:hAnsi="Arial" w:cs="Arial"/>
            <w:b/>
            <w:bCs/>
            <w:color w:val="000000" w:themeColor="text1"/>
          </w:rPr>
          <w:t>2017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7</w:t>
        </w:r>
        <w:r w:rsidRPr="00BF3F8F">
          <w:rPr>
            <w:rFonts w:ascii="Arial" w:eastAsia="Times New Roman" w:hAnsi="Arial" w:cs="Arial"/>
            <w:color w:val="000000" w:themeColor="text1"/>
          </w:rPr>
          <w:t xml:space="preserve"> (1), 14212. https://doi.org/10.1038/s41598-017-14152-y.</w:t>
        </w:r>
      </w:hyperlink>
    </w:p>
    <w:p w14:paraId="0AE7CE4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69" w:history="1">
        <w:r w:rsidRPr="00BF3F8F">
          <w:rPr>
            <w:rFonts w:ascii="Arial" w:eastAsia="Times New Roman" w:hAnsi="Arial" w:cs="Arial"/>
            <w:color w:val="000000" w:themeColor="text1"/>
          </w:rPr>
          <w:t xml:space="preserve">(17)    Takao, T.; Takahashi, K.; Suka, M.; Suzuki, N.; Yanagisawa, H. Association between Postprandial Hyperglycemia at Clinic Visits and All-Cause and Cancer Mortality in Patients with Type 2 Diabetes: A Long-Term Historical Cohort Study in Japan. </w:t>
        </w:r>
        <w:r w:rsidRPr="00BF3F8F">
          <w:rPr>
            <w:rFonts w:ascii="Arial" w:eastAsia="Times New Roman" w:hAnsi="Arial" w:cs="Arial"/>
            <w:i/>
            <w:iCs/>
            <w:color w:val="000000" w:themeColor="text1"/>
          </w:rPr>
          <w:t xml:space="preserve">Diabetes Res. Clin. Pract. </w:t>
        </w:r>
        <w:r w:rsidRPr="00BF3F8F">
          <w:rPr>
            <w:rFonts w:ascii="Arial" w:eastAsia="Times New Roman" w:hAnsi="Arial" w:cs="Arial"/>
            <w:b/>
            <w:bCs/>
            <w:color w:val="000000" w:themeColor="text1"/>
          </w:rPr>
          <w:t>2019</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148</w:t>
        </w:r>
        <w:r w:rsidRPr="00BF3F8F">
          <w:rPr>
            <w:rFonts w:ascii="Arial" w:eastAsia="Times New Roman" w:hAnsi="Arial" w:cs="Arial"/>
            <w:color w:val="000000" w:themeColor="text1"/>
          </w:rPr>
          <w:t>, 152–159. https://doi.org/10.1016/j.diabres.2019.01.006.</w:t>
        </w:r>
      </w:hyperlink>
    </w:p>
    <w:p w14:paraId="79E04C6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0" w:history="1">
        <w:r w:rsidRPr="00BF3F8F">
          <w:rPr>
            <w:rFonts w:ascii="Arial" w:eastAsia="Times New Roman" w:hAnsi="Arial" w:cs="Arial"/>
            <w:color w:val="000000" w:themeColor="text1"/>
          </w:rPr>
          <w:t xml:space="preserve">(18)    Overmyer, K. A.; Muir, P.; Coon, J. J. Discovery Metabolomics and Lipidomics of Canine Synovial Fluid and Serum. </w:t>
        </w:r>
        <w:r w:rsidRPr="00BF3F8F">
          <w:rPr>
            <w:rFonts w:ascii="Arial" w:eastAsia="Times New Roman" w:hAnsi="Arial" w:cs="Arial"/>
            <w:i/>
            <w:iCs/>
            <w:color w:val="000000" w:themeColor="text1"/>
          </w:rPr>
          <w:t xml:space="preserve">Osteoarthritis Cartilage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26</w:t>
        </w:r>
        <w:r w:rsidRPr="00BF3F8F">
          <w:rPr>
            <w:rFonts w:ascii="Arial" w:eastAsia="Times New Roman" w:hAnsi="Arial" w:cs="Arial"/>
            <w:color w:val="000000" w:themeColor="text1"/>
          </w:rPr>
          <w:t>, S172. https://doi.org/10.1016/j.joca.2018.02.374.</w:t>
        </w:r>
      </w:hyperlink>
    </w:p>
    <w:p w14:paraId="2CE025D9"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1" w:history="1">
        <w:r w:rsidRPr="00BF3F8F">
          <w:rPr>
            <w:rFonts w:ascii="Arial" w:eastAsia="Times New Roman" w:hAnsi="Arial" w:cs="Arial"/>
            <w:color w:val="000000" w:themeColor="text1"/>
          </w:rPr>
          <w:t xml:space="preserve">(19)    Cajka, T.; Fiehn, O. Comprehensive Analysis of Lipids in Biological Systems by Liquid Chromatography-Mass Spectrometry. </w:t>
        </w:r>
        <w:r w:rsidRPr="00BF3F8F">
          <w:rPr>
            <w:rFonts w:ascii="Arial" w:eastAsia="Times New Roman" w:hAnsi="Arial" w:cs="Arial"/>
            <w:i/>
            <w:iCs/>
            <w:color w:val="000000" w:themeColor="text1"/>
          </w:rPr>
          <w:t xml:space="preserve">TrAC Trends Anal. Chem. </w:t>
        </w:r>
        <w:r w:rsidRPr="00BF3F8F">
          <w:rPr>
            <w:rFonts w:ascii="Arial" w:eastAsia="Times New Roman" w:hAnsi="Arial" w:cs="Arial"/>
            <w:b/>
            <w:bCs/>
            <w:color w:val="000000" w:themeColor="text1"/>
          </w:rPr>
          <w:t>2014</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61</w:t>
        </w:r>
        <w:r w:rsidRPr="00BF3F8F">
          <w:rPr>
            <w:rFonts w:ascii="Arial" w:eastAsia="Times New Roman" w:hAnsi="Arial" w:cs="Arial"/>
            <w:color w:val="000000" w:themeColor="text1"/>
          </w:rPr>
          <w:t>, 192–206. https://doi.org/10.1016/j.trac.2014.04.017.</w:t>
        </w:r>
      </w:hyperlink>
    </w:p>
    <w:p w14:paraId="2E18B73F"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2" w:history="1">
        <w:r w:rsidRPr="00BF3F8F">
          <w:rPr>
            <w:rFonts w:ascii="Arial" w:eastAsia="Times New Roman" w:hAnsi="Arial" w:cs="Arial"/>
            <w:color w:val="000000" w:themeColor="text1"/>
          </w:rPr>
          <w:t xml:space="preserve">(20)    Trabado, S.; Al-Salameh, A.; Croixmarie, V.; Masson, P.; Corruble, E.; Fève, B.; Colle, R.; Ripoll, L.; Walther, B.; Boursier-Neyret, C.; Werner, E.; Becquemont, L.; Chanson, P. The Human Plasma-Metabolome: Reference Values in 800 French Healthy Volunteers; Impact of Cholesterol, Gender and Age. </w:t>
        </w:r>
        <w:r w:rsidRPr="00BF3F8F">
          <w:rPr>
            <w:rFonts w:ascii="Arial" w:eastAsia="Times New Roman" w:hAnsi="Arial" w:cs="Arial"/>
            <w:i/>
            <w:iCs/>
            <w:color w:val="000000" w:themeColor="text1"/>
          </w:rPr>
          <w:t xml:space="preserve">PLOS ONE </w:t>
        </w:r>
        <w:r w:rsidRPr="00BF3F8F">
          <w:rPr>
            <w:rFonts w:ascii="Arial" w:eastAsia="Times New Roman" w:hAnsi="Arial" w:cs="Arial"/>
            <w:b/>
            <w:bCs/>
            <w:color w:val="000000" w:themeColor="text1"/>
          </w:rPr>
          <w:t>2017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12</w:t>
        </w:r>
        <w:r w:rsidRPr="00BF3F8F">
          <w:rPr>
            <w:rFonts w:ascii="Arial" w:eastAsia="Times New Roman" w:hAnsi="Arial" w:cs="Arial"/>
            <w:color w:val="000000" w:themeColor="text1"/>
          </w:rPr>
          <w:t xml:space="preserve"> (3), e0173615. https://doi.org/10.1371/journal.pone.0173615.</w:t>
        </w:r>
      </w:hyperlink>
    </w:p>
    <w:p w14:paraId="053AB552"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3" w:history="1">
        <w:r w:rsidRPr="00BF3F8F">
          <w:rPr>
            <w:rFonts w:ascii="Arial" w:eastAsia="Times New Roman" w:hAnsi="Arial" w:cs="Arial"/>
            <w:color w:val="000000" w:themeColor="text1"/>
          </w:rPr>
          <w:t xml:space="preserve">(21)    Linke, V.; Overmyer, K. A.; Miller, I. J.; Brademan, D. R.; Hutchins, P. D.; Trujillo, E. A.; Reddy, T. R.; Russell, J. D.; Cushing, E. M.; Schueler, K. L.; Stapleton, D. S.; Rabaglia, M. E.; Keller, M. P.; Gatti, D. M.; Keele, G. R.; Pham, D.; Broman, K. W.; Churchill, G. A.; Attie, A. D.; Coon, J. J. A Large-Scale Genome–Lipid Association Map Guides Lipid Identification. </w:t>
        </w:r>
        <w:r w:rsidRPr="00BF3F8F">
          <w:rPr>
            <w:rFonts w:ascii="Arial" w:eastAsia="Times New Roman" w:hAnsi="Arial" w:cs="Arial"/>
            <w:i/>
            <w:iCs/>
            <w:color w:val="000000" w:themeColor="text1"/>
          </w:rPr>
          <w:t xml:space="preserve">Nat. Metab.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2</w:t>
        </w:r>
        <w:r w:rsidRPr="00BF3F8F">
          <w:rPr>
            <w:rFonts w:ascii="Arial" w:eastAsia="Times New Roman" w:hAnsi="Arial" w:cs="Arial"/>
            <w:color w:val="000000" w:themeColor="text1"/>
          </w:rPr>
          <w:t xml:space="preserve"> (10), 1149–1162. https://doi.org/10.1038/s42255-020-00278-3.</w:t>
        </w:r>
      </w:hyperlink>
    </w:p>
    <w:p w14:paraId="384ABE9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4" w:history="1">
        <w:r w:rsidRPr="00BF3F8F">
          <w:rPr>
            <w:rFonts w:ascii="Arial" w:eastAsia="Times New Roman" w:hAnsi="Arial" w:cs="Arial"/>
            <w:color w:val="000000" w:themeColor="text1"/>
          </w:rPr>
          <w:t xml:space="preserve">(22)    LaBarre, J. L.; Hirschfeld, E.; Soni, T.; Kachman, M.; Wigginton, J.; Duren, W.; Fleischman, J. Y.; Karnovsky, A.; Burant, C. F.; Lee, J. M. Comparing the Fasting and Random-Fed Metabolome Response to an Oral Glucose Tolerance Test in Children and Adolescents: Implications of Sex, Obesity, and Insulin Resistance. </w:t>
        </w:r>
        <w:r w:rsidRPr="00BF3F8F">
          <w:rPr>
            <w:rFonts w:ascii="Arial" w:eastAsia="Times New Roman" w:hAnsi="Arial" w:cs="Arial"/>
            <w:i/>
            <w:iCs/>
            <w:color w:val="000000" w:themeColor="text1"/>
          </w:rPr>
          <w:t xml:space="preserve">Nutrients </w:t>
        </w:r>
        <w:r w:rsidRPr="00BF3F8F">
          <w:rPr>
            <w:rFonts w:ascii="Arial" w:eastAsia="Times New Roman" w:hAnsi="Arial" w:cs="Arial"/>
            <w:b/>
            <w:bCs/>
            <w:color w:val="000000" w:themeColor="text1"/>
          </w:rPr>
          <w:t>2021</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13</w:t>
        </w:r>
        <w:r w:rsidRPr="00BF3F8F">
          <w:rPr>
            <w:rFonts w:ascii="Arial" w:eastAsia="Times New Roman" w:hAnsi="Arial" w:cs="Arial"/>
            <w:color w:val="000000" w:themeColor="text1"/>
          </w:rPr>
          <w:t xml:space="preserve"> (10), 3365. https://doi.org/10.3390/nu13103365.</w:t>
        </w:r>
      </w:hyperlink>
    </w:p>
    <w:p w14:paraId="267D87DC"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5" w:history="1">
        <w:r w:rsidRPr="00BF3F8F">
          <w:rPr>
            <w:rFonts w:ascii="Arial" w:eastAsia="Times New Roman" w:hAnsi="Arial" w:cs="Arial"/>
            <w:color w:val="000000" w:themeColor="text1"/>
          </w:rPr>
          <w:t xml:space="preserve">(23)    Gorusupudi, A.; Chang, F.-Y.; Nelson, K.; Hageman, G. S.; Bernstein, P. S. N-3 PUFA Supplementation Alters Retinal Very-Long-Chain-PUFA Levels and Ratios in Diabetic Animal Models. </w:t>
        </w:r>
        <w:r w:rsidRPr="00BF3F8F">
          <w:rPr>
            <w:rFonts w:ascii="Arial" w:eastAsia="Times New Roman" w:hAnsi="Arial" w:cs="Arial"/>
            <w:i/>
            <w:iCs/>
            <w:color w:val="000000" w:themeColor="text1"/>
          </w:rPr>
          <w:t xml:space="preserve">Mol. Nutr. Food Res. </w:t>
        </w:r>
        <w:r w:rsidRPr="00BF3F8F">
          <w:rPr>
            <w:rFonts w:ascii="Arial" w:eastAsia="Times New Roman" w:hAnsi="Arial" w:cs="Arial"/>
            <w:b/>
            <w:bCs/>
            <w:color w:val="000000" w:themeColor="text1"/>
          </w:rPr>
          <w:t>2019</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63</w:t>
        </w:r>
        <w:r w:rsidRPr="00BF3F8F">
          <w:rPr>
            <w:rFonts w:ascii="Arial" w:eastAsia="Times New Roman" w:hAnsi="Arial" w:cs="Arial"/>
            <w:color w:val="000000" w:themeColor="text1"/>
          </w:rPr>
          <w:t xml:space="preserve"> (15), 1801058. https://doi.org/10.1002/mnfr.201801058.</w:t>
        </w:r>
      </w:hyperlink>
    </w:p>
    <w:p w14:paraId="38D1CBD4"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6" w:history="1">
        <w:r w:rsidRPr="00BF3F8F">
          <w:rPr>
            <w:rFonts w:ascii="Arial" w:eastAsia="Times New Roman" w:hAnsi="Arial" w:cs="Arial"/>
            <w:color w:val="000000" w:themeColor="text1"/>
          </w:rPr>
          <w:t xml:space="preserve">(24)    Johnson, H.; Yates, T.; Leedom, G.; Ramanathan, C.; Puppa, M.; van der Merwe, M.; Tipirneni-Sajja, A. Multi-Tissue Time-Domain NMR Metabolomics Investigation of Time-Restricted Feeding in Male and Female Nile Grass Rats. </w:t>
        </w:r>
        <w:r w:rsidRPr="00BF3F8F">
          <w:rPr>
            <w:rFonts w:ascii="Arial" w:eastAsia="Times New Roman" w:hAnsi="Arial" w:cs="Arial"/>
            <w:i/>
            <w:iCs/>
            <w:color w:val="000000" w:themeColor="text1"/>
          </w:rPr>
          <w:t xml:space="preserve">Metabolites </w:t>
        </w:r>
        <w:r w:rsidRPr="00BF3F8F">
          <w:rPr>
            <w:rFonts w:ascii="Arial" w:eastAsia="Times New Roman" w:hAnsi="Arial" w:cs="Arial"/>
            <w:b/>
            <w:bCs/>
            <w:color w:val="000000" w:themeColor="text1"/>
          </w:rPr>
          <w:t>2022</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12</w:t>
        </w:r>
        <w:r w:rsidRPr="00BF3F8F">
          <w:rPr>
            <w:rFonts w:ascii="Arial" w:eastAsia="Times New Roman" w:hAnsi="Arial" w:cs="Arial"/>
            <w:color w:val="000000" w:themeColor="text1"/>
          </w:rPr>
          <w:t xml:space="preserve"> (7), 657. https://doi.org/10.3390/metabo12070657.</w:t>
        </w:r>
      </w:hyperlink>
    </w:p>
    <w:p w14:paraId="638553BD"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7" w:history="1">
        <w:r w:rsidRPr="00BF3F8F">
          <w:rPr>
            <w:rFonts w:ascii="Arial" w:eastAsia="Times New Roman" w:hAnsi="Arial" w:cs="Arial"/>
            <w:color w:val="000000" w:themeColor="text1"/>
          </w:rPr>
          <w:t xml:space="preserve">(25)    Wishart, D. S.; Guo, A.; Oler, E.; Wang, F.; Anjum, A.; Peters, H.; Dizon, R.; Sayeeda, Z.; Tian, S.; Lee, B. L.; Berjanskii, M.; Mah, R.; Yamamoto, M.; Jovel, J.; Torres-Calzada, C.; Hiebert-Giesbrecht, M.; Lui, V. W.; Varshavi, D.; Varshavi, D.; Allen, D.; Arndt, D.; Khetarpal, N.; Sivakumaran, A.; Harford, K.; Sanford, S.; Yee, K.; Cao, X.; Budinski, Z.; Liigand, J.; Zhang, L.; Zheng, J.; Mandal, R.; Karu, N.; Dambrova, M.; Schiöth, H. B.; Greiner, R.; Gautam, V. HMDB 5.0: The Human Metabolome Database for 2022. </w:t>
        </w:r>
        <w:r w:rsidRPr="00BF3F8F">
          <w:rPr>
            <w:rFonts w:ascii="Arial" w:eastAsia="Times New Roman" w:hAnsi="Arial" w:cs="Arial"/>
            <w:i/>
            <w:iCs/>
            <w:color w:val="000000" w:themeColor="text1"/>
          </w:rPr>
          <w:t xml:space="preserve">Nucleic Acids Res. </w:t>
        </w:r>
        <w:r w:rsidRPr="00BF3F8F">
          <w:rPr>
            <w:rFonts w:ascii="Arial" w:eastAsia="Times New Roman" w:hAnsi="Arial" w:cs="Arial"/>
            <w:b/>
            <w:bCs/>
            <w:color w:val="000000" w:themeColor="text1"/>
          </w:rPr>
          <w:t>2022</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50</w:t>
        </w:r>
        <w:r w:rsidRPr="00BF3F8F">
          <w:rPr>
            <w:rFonts w:ascii="Arial" w:eastAsia="Times New Roman" w:hAnsi="Arial" w:cs="Arial"/>
            <w:color w:val="000000" w:themeColor="text1"/>
          </w:rPr>
          <w:t xml:space="preserve"> (D1), D622–D631. https://doi.org/10.1093/nar/gkab1062.</w:t>
        </w:r>
      </w:hyperlink>
    </w:p>
    <w:p w14:paraId="0CEA5DB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8" w:history="1">
        <w:r w:rsidRPr="00BF3F8F">
          <w:rPr>
            <w:rFonts w:ascii="Arial" w:eastAsia="Times New Roman" w:hAnsi="Arial" w:cs="Arial"/>
            <w:color w:val="000000" w:themeColor="text1"/>
          </w:rPr>
          <w:t xml:space="preserve">(26)    Cabrera, S. M.; Chen, Y.-G.; Hagopian, W. A.; Hessner, M. J. Blood-Based Signatures in Type 1 Diabetes. </w:t>
        </w:r>
        <w:r w:rsidRPr="00BF3F8F">
          <w:rPr>
            <w:rFonts w:ascii="Arial" w:eastAsia="Times New Roman" w:hAnsi="Arial" w:cs="Arial"/>
            <w:i/>
            <w:iCs/>
            <w:color w:val="000000" w:themeColor="text1"/>
          </w:rPr>
          <w:t xml:space="preserve">Diabetologia </w:t>
        </w:r>
        <w:r w:rsidRPr="00BF3F8F">
          <w:rPr>
            <w:rFonts w:ascii="Arial" w:eastAsia="Times New Roman" w:hAnsi="Arial" w:cs="Arial"/>
            <w:b/>
            <w:bCs/>
            <w:color w:val="000000" w:themeColor="text1"/>
          </w:rPr>
          <w:t>2016</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59</w:t>
        </w:r>
        <w:r w:rsidRPr="00BF3F8F">
          <w:rPr>
            <w:rFonts w:ascii="Arial" w:eastAsia="Times New Roman" w:hAnsi="Arial" w:cs="Arial"/>
            <w:color w:val="000000" w:themeColor="text1"/>
          </w:rPr>
          <w:t xml:space="preserve"> (3), 414–425. https://doi.org/10.1007/s00125-015-3843-x.</w:t>
        </w:r>
      </w:hyperlink>
    </w:p>
    <w:p w14:paraId="16191596"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79" w:history="1">
        <w:r w:rsidRPr="00BF3F8F">
          <w:rPr>
            <w:rFonts w:ascii="Arial" w:eastAsia="Times New Roman" w:hAnsi="Arial" w:cs="Arial"/>
            <w:color w:val="000000" w:themeColor="text1"/>
          </w:rPr>
          <w:t xml:space="preserve">(27)    Long, J.; Yang, Z.; Wang, L.; Han, Y.; Peng, C.; Yan, C.; Yan, D. Metabolite Biomarkers of Type 2 Diabetes Mellitus and Pre-Diabetes: A Systematic Review and Meta-Analysis. </w:t>
        </w:r>
        <w:r w:rsidRPr="00BF3F8F">
          <w:rPr>
            <w:rFonts w:ascii="Arial" w:eastAsia="Times New Roman" w:hAnsi="Arial" w:cs="Arial"/>
            <w:i/>
            <w:iCs/>
            <w:color w:val="000000" w:themeColor="text1"/>
          </w:rPr>
          <w:t xml:space="preserve">BMC Endocr. Disord.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20</w:t>
        </w:r>
        <w:r w:rsidRPr="00BF3F8F">
          <w:rPr>
            <w:rFonts w:ascii="Arial" w:eastAsia="Times New Roman" w:hAnsi="Arial" w:cs="Arial"/>
            <w:color w:val="000000" w:themeColor="text1"/>
          </w:rPr>
          <w:t xml:space="preserve"> (1), 174. https://doi.org/10.1186/s12902-020-00653-x.</w:t>
        </w:r>
      </w:hyperlink>
    </w:p>
    <w:p w14:paraId="5B5DDD8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0" w:history="1">
        <w:r w:rsidRPr="00BF3F8F">
          <w:rPr>
            <w:rFonts w:ascii="Arial" w:eastAsia="Times New Roman" w:hAnsi="Arial" w:cs="Arial"/>
            <w:color w:val="000000" w:themeColor="text1"/>
          </w:rPr>
          <w:t xml:space="preserve">(28)    Yokoi, N.; Beppu, M.; Yoshida, E.; Hoshikawa, R.; Hidaka, S.; Matsubara, T.; Shinohara, M.; Irino, Y.; Hatano, N.; Seino, S. Identification of Putative Biomarkers for Prediabetes by Metabolome Analysis of Rat Models of Type 2 Diabetes. </w:t>
        </w:r>
        <w:r w:rsidRPr="00BF3F8F">
          <w:rPr>
            <w:rFonts w:ascii="Arial" w:eastAsia="Times New Roman" w:hAnsi="Arial" w:cs="Arial"/>
            <w:i/>
            <w:iCs/>
            <w:color w:val="000000" w:themeColor="text1"/>
          </w:rPr>
          <w:t xml:space="preserve">Metabolomics </w:t>
        </w:r>
        <w:r w:rsidRPr="00BF3F8F">
          <w:rPr>
            <w:rFonts w:ascii="Arial" w:eastAsia="Times New Roman" w:hAnsi="Arial" w:cs="Arial"/>
            <w:b/>
            <w:bCs/>
            <w:color w:val="000000" w:themeColor="text1"/>
          </w:rPr>
          <w:t>2015</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11</w:t>
        </w:r>
        <w:r w:rsidRPr="00BF3F8F">
          <w:rPr>
            <w:rFonts w:ascii="Arial" w:eastAsia="Times New Roman" w:hAnsi="Arial" w:cs="Arial"/>
            <w:color w:val="000000" w:themeColor="text1"/>
          </w:rPr>
          <w:t xml:space="preserve"> (5), 1277–1286. https://doi.org/10.1007/s11306-015-0784-9.</w:t>
        </w:r>
      </w:hyperlink>
    </w:p>
    <w:p w14:paraId="3B0778AD"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1" w:history="1">
        <w:r w:rsidRPr="00BF3F8F">
          <w:rPr>
            <w:rFonts w:ascii="Arial" w:eastAsia="Times New Roman" w:hAnsi="Arial" w:cs="Arial"/>
            <w:color w:val="000000" w:themeColor="text1"/>
          </w:rPr>
          <w:t xml:space="preserve">(29)    Overmyer, K. A.; Shishkova, E.; Miller, I. J.; Balnis, J.; Bernstein, M. N.; Peters-Clarke, T. M.; Meyer, J. G.; Quan, Q.; Muehlbauer, L. K.; Trujillo, E. A.; He, Y.; Chopra, A.; Chieng, H. C.; Tiwari, A.; Judson, M. A.; Paulson, B.; Brademan, D. R.; Zhu, Y.; Serrano, L. R.; Linke, V.; Drake, L. A.; Adam, A. P.; Schwartz, B. S.; Singer, H. A.; Swanson, S.; Mosher, D. F.; Stewart, R.; Coon, J. J.; Jaitovich, A. Large-Scale Multi-Omic Analysis of COVID-19 Severity. </w:t>
        </w:r>
        <w:r w:rsidRPr="00BF3F8F">
          <w:rPr>
            <w:rFonts w:ascii="Arial" w:eastAsia="Times New Roman" w:hAnsi="Arial" w:cs="Arial"/>
            <w:i/>
            <w:iCs/>
            <w:color w:val="000000" w:themeColor="text1"/>
          </w:rPr>
          <w:t xml:space="preserve">Cell Syst. </w:t>
        </w:r>
        <w:r w:rsidRPr="00BF3F8F">
          <w:rPr>
            <w:rFonts w:ascii="Arial" w:eastAsia="Times New Roman" w:hAnsi="Arial" w:cs="Arial"/>
            <w:b/>
            <w:bCs/>
            <w:color w:val="000000" w:themeColor="text1"/>
          </w:rPr>
          <w:t>2021</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12</w:t>
        </w:r>
        <w:r w:rsidRPr="00BF3F8F">
          <w:rPr>
            <w:rFonts w:ascii="Arial" w:eastAsia="Times New Roman" w:hAnsi="Arial" w:cs="Arial"/>
            <w:color w:val="000000" w:themeColor="text1"/>
          </w:rPr>
          <w:t xml:space="preserve"> (1), 23-40.e7. https://doi.org/10.1016/j.cels.2020.10.003.</w:t>
        </w:r>
      </w:hyperlink>
    </w:p>
    <w:p w14:paraId="28AD6462"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2" w:history="1">
        <w:r w:rsidRPr="00BF3F8F">
          <w:rPr>
            <w:rFonts w:ascii="Arial" w:eastAsia="Times New Roman" w:hAnsi="Arial" w:cs="Arial"/>
            <w:color w:val="000000" w:themeColor="text1"/>
          </w:rPr>
          <w:t xml:space="preserve">(30)    Hutchins, P. D.; Russell, J. D.; Coon, J. J. LipiDex: An Integrated Software Package for High-Confidence Lipid Identification. </w:t>
        </w:r>
        <w:r w:rsidRPr="00BF3F8F">
          <w:rPr>
            <w:rFonts w:ascii="Arial" w:eastAsia="Times New Roman" w:hAnsi="Arial" w:cs="Arial"/>
            <w:i/>
            <w:iCs/>
            <w:color w:val="000000" w:themeColor="text1"/>
          </w:rPr>
          <w:t xml:space="preserve">Cell Syst.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6</w:t>
        </w:r>
        <w:r w:rsidRPr="00BF3F8F">
          <w:rPr>
            <w:rFonts w:ascii="Arial" w:eastAsia="Times New Roman" w:hAnsi="Arial" w:cs="Arial"/>
            <w:color w:val="000000" w:themeColor="text1"/>
          </w:rPr>
          <w:t xml:space="preserve"> (5), 621-625.e5. https://doi.org/10.1016/j.cels.2018.03.011.</w:t>
        </w:r>
      </w:hyperlink>
    </w:p>
    <w:p w14:paraId="1EF0CDC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3" w:history="1">
        <w:r w:rsidRPr="00BF3F8F">
          <w:rPr>
            <w:rFonts w:ascii="Arial" w:eastAsia="Times New Roman" w:hAnsi="Arial" w:cs="Arial"/>
            <w:color w:val="000000" w:themeColor="text1"/>
          </w:rPr>
          <w:t xml:space="preserve">(31)    Abdul-Ghani, M. A.; Abdul-Ghani, T.; Ali, N.; DeFronzo, R. A. One-Hour Plasma Glucose Concentration and the Metabolic Syndrome Identify Subjects at High Risk for Future Type 2 Diabetes. </w:t>
        </w:r>
        <w:r w:rsidRPr="00BF3F8F">
          <w:rPr>
            <w:rFonts w:ascii="Arial" w:eastAsia="Times New Roman" w:hAnsi="Arial" w:cs="Arial"/>
            <w:i/>
            <w:iCs/>
            <w:color w:val="000000" w:themeColor="text1"/>
          </w:rPr>
          <w:t xml:space="preserve">Diabetes Care </w:t>
        </w:r>
        <w:r w:rsidRPr="00BF3F8F">
          <w:rPr>
            <w:rFonts w:ascii="Arial" w:eastAsia="Times New Roman" w:hAnsi="Arial" w:cs="Arial"/>
            <w:b/>
            <w:bCs/>
            <w:color w:val="000000" w:themeColor="text1"/>
          </w:rPr>
          <w:t>2008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31</w:t>
        </w:r>
        <w:r w:rsidRPr="00BF3F8F">
          <w:rPr>
            <w:rFonts w:ascii="Arial" w:eastAsia="Times New Roman" w:hAnsi="Arial" w:cs="Arial"/>
            <w:color w:val="000000" w:themeColor="text1"/>
          </w:rPr>
          <w:t xml:space="preserve"> (8), 1650–1655. https://doi.org/10.2337/dc08-0225.</w:t>
        </w:r>
      </w:hyperlink>
    </w:p>
    <w:p w14:paraId="171344C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4" w:history="1">
        <w:r w:rsidRPr="00BF3F8F">
          <w:rPr>
            <w:rFonts w:ascii="Arial" w:eastAsia="Times New Roman" w:hAnsi="Arial" w:cs="Arial"/>
            <w:color w:val="000000" w:themeColor="text1"/>
          </w:rPr>
          <w:t xml:space="preserve">(32)    Guerreiro, V.; Maia, I.; Neves, J. S.; Salazar, D.; Ferreira, M. J.; Mendonça, F.; Silva, M. M.; Borges-Canha, M.; Viana, S.; Costa, C.; Pedro, J.; Varela, A.; Lau, E.; Freitas, P.; Carvalho, D.; AMTCO Group. Oral Glucose Tolerance Testing at 1 h and 2 h: Relationship with Glucose and Cardiometabolic Parameters and Agreement for Pre-Diabetes Diagnosis in Patients with Morbid Obesity. </w:t>
        </w:r>
        <w:r w:rsidRPr="00BF3F8F">
          <w:rPr>
            <w:rFonts w:ascii="Arial" w:eastAsia="Times New Roman" w:hAnsi="Arial" w:cs="Arial"/>
            <w:i/>
            <w:iCs/>
            <w:color w:val="000000" w:themeColor="text1"/>
          </w:rPr>
          <w:t xml:space="preserve">Diabetol. Metab. Syndr. </w:t>
        </w:r>
        <w:r w:rsidRPr="00BF3F8F">
          <w:rPr>
            <w:rFonts w:ascii="Arial" w:eastAsia="Times New Roman" w:hAnsi="Arial" w:cs="Arial"/>
            <w:b/>
            <w:bCs/>
            <w:color w:val="000000" w:themeColor="text1"/>
          </w:rPr>
          <w:t>2022</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14</w:t>
        </w:r>
        <w:r w:rsidRPr="00BF3F8F">
          <w:rPr>
            <w:rFonts w:ascii="Arial" w:eastAsia="Times New Roman" w:hAnsi="Arial" w:cs="Arial"/>
            <w:color w:val="000000" w:themeColor="text1"/>
          </w:rPr>
          <w:t xml:space="preserve"> (1), 91. https://doi.org/10.1186/s13098-022-00865-2.</w:t>
        </w:r>
      </w:hyperlink>
    </w:p>
    <w:p w14:paraId="59416472"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5" w:history="1">
        <w:r w:rsidRPr="00BF3F8F">
          <w:rPr>
            <w:rFonts w:ascii="Arial" w:eastAsia="Times New Roman" w:hAnsi="Arial" w:cs="Arial"/>
            <w:color w:val="000000" w:themeColor="text1"/>
          </w:rPr>
          <w:t xml:space="preserve">(33)    Pareek, M.; Bhatt, D. L.; Nielsen, M. L.; Jagannathan, R.; Eriksson, K.-F.; Nilsson, P. M.; Bergman, M.; Olsen, M. H. Enhanced Predictive Capability of a 1-Hour Oral Glucose Tolerance Test: A Prospective Population-Based Cohort Study. </w:t>
        </w:r>
        <w:r w:rsidRPr="00BF3F8F">
          <w:rPr>
            <w:rFonts w:ascii="Arial" w:eastAsia="Times New Roman" w:hAnsi="Arial" w:cs="Arial"/>
            <w:i/>
            <w:iCs/>
            <w:color w:val="000000" w:themeColor="text1"/>
          </w:rPr>
          <w:t xml:space="preserve">Diabetes Care </w:t>
        </w:r>
        <w:r w:rsidRPr="00BF3F8F">
          <w:rPr>
            <w:rFonts w:ascii="Arial" w:eastAsia="Times New Roman" w:hAnsi="Arial" w:cs="Arial"/>
            <w:b/>
            <w:bCs/>
            <w:color w:val="000000" w:themeColor="text1"/>
          </w:rPr>
          <w:t>2017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41</w:t>
        </w:r>
        <w:r w:rsidRPr="00BF3F8F">
          <w:rPr>
            <w:rFonts w:ascii="Arial" w:eastAsia="Times New Roman" w:hAnsi="Arial" w:cs="Arial"/>
            <w:color w:val="000000" w:themeColor="text1"/>
          </w:rPr>
          <w:t xml:space="preserve"> (1), 171–177. https://doi.org/10.2337/dc17-1351.</w:t>
        </w:r>
      </w:hyperlink>
    </w:p>
    <w:p w14:paraId="3CB75C6E"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6" w:history="1">
        <w:r w:rsidRPr="00BF3F8F">
          <w:rPr>
            <w:rFonts w:ascii="Arial" w:eastAsia="Times New Roman" w:hAnsi="Arial" w:cs="Arial"/>
            <w:color w:val="000000" w:themeColor="text1"/>
          </w:rPr>
          <w:t xml:space="preserve">(34)    Matyash, V.; Liebisch, G.; Kurzchalia, T. V.; Shevchenko, A.; Schwudke, D. Lipid Extraction by Methyl-Tert-Butyl Ether for High-Throughput Lipidomics. </w:t>
        </w:r>
        <w:r w:rsidRPr="00BF3F8F">
          <w:rPr>
            <w:rFonts w:ascii="Arial" w:eastAsia="Times New Roman" w:hAnsi="Arial" w:cs="Arial"/>
            <w:i/>
            <w:iCs/>
            <w:color w:val="000000" w:themeColor="text1"/>
          </w:rPr>
          <w:t xml:space="preserve">J. Lipid Res. </w:t>
        </w:r>
        <w:r w:rsidRPr="00BF3F8F">
          <w:rPr>
            <w:rFonts w:ascii="Arial" w:eastAsia="Times New Roman" w:hAnsi="Arial" w:cs="Arial"/>
            <w:b/>
            <w:bCs/>
            <w:color w:val="000000" w:themeColor="text1"/>
          </w:rPr>
          <w:t>2008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49</w:t>
        </w:r>
        <w:r w:rsidRPr="00BF3F8F">
          <w:rPr>
            <w:rFonts w:ascii="Arial" w:eastAsia="Times New Roman" w:hAnsi="Arial" w:cs="Arial"/>
            <w:color w:val="000000" w:themeColor="text1"/>
          </w:rPr>
          <w:t xml:space="preserve"> (5), 1137–1146. https://doi.org/10.1194/jlr.D700041-JLR200.</w:t>
        </w:r>
      </w:hyperlink>
    </w:p>
    <w:p w14:paraId="6161BAD4"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7" w:history="1">
        <w:r w:rsidRPr="00BF3F8F">
          <w:rPr>
            <w:rFonts w:ascii="Arial" w:eastAsia="Times New Roman" w:hAnsi="Arial" w:cs="Arial"/>
            <w:color w:val="000000" w:themeColor="text1"/>
          </w:rPr>
          <w:t xml:space="preserve">(35)    Fahy, E.; Sud, M.; Cotter, D.; Subramaniam, S. LIPID MAPS Online Tools for Lipid Research. </w:t>
        </w:r>
        <w:r w:rsidRPr="00BF3F8F">
          <w:rPr>
            <w:rFonts w:ascii="Arial" w:eastAsia="Times New Roman" w:hAnsi="Arial" w:cs="Arial"/>
            <w:i/>
            <w:iCs/>
            <w:color w:val="000000" w:themeColor="text1"/>
          </w:rPr>
          <w:t xml:space="preserve">Nucleic Acids Res. </w:t>
        </w:r>
        <w:r w:rsidRPr="00BF3F8F">
          <w:rPr>
            <w:rFonts w:ascii="Arial" w:eastAsia="Times New Roman" w:hAnsi="Arial" w:cs="Arial"/>
            <w:b/>
            <w:bCs/>
            <w:color w:val="000000" w:themeColor="text1"/>
          </w:rPr>
          <w:t>2007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35</w:t>
        </w:r>
        <w:r w:rsidRPr="00BF3F8F">
          <w:rPr>
            <w:rFonts w:ascii="Arial" w:eastAsia="Times New Roman" w:hAnsi="Arial" w:cs="Arial"/>
            <w:color w:val="000000" w:themeColor="text1"/>
          </w:rPr>
          <w:t xml:space="preserve"> (suppl_2), W606–W612. https://doi.org/10.1093/nar/gkm324.</w:t>
        </w:r>
      </w:hyperlink>
    </w:p>
    <w:p w14:paraId="7D49532B"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8" w:history="1">
        <w:r w:rsidRPr="00BF3F8F">
          <w:rPr>
            <w:rFonts w:ascii="Arial" w:eastAsia="Times New Roman" w:hAnsi="Arial" w:cs="Arial"/>
            <w:color w:val="000000" w:themeColor="text1"/>
          </w:rPr>
          <w:t xml:space="preserve">(36)    Liebisch, G.; Fahy, E.; Aoki, J.; Dennis, E. A.; Durand, T.; Ejsing, C. S.; Fedorova, M.; Feussner, I.; Griffiths, W. J.; Köfeler, H.; Merrill, A. H.; Murphy, R. C.; O’Donnell, V. B.; Oskolkova, O.; Subramaniam, S.; Wakelam, M. J. O.; Spener, F. Update on LIPID MAPS Classification, Nomenclature, and Shorthand Notation for MS-Derived Lipid Structures. </w:t>
        </w:r>
        <w:r w:rsidRPr="00BF3F8F">
          <w:rPr>
            <w:rFonts w:ascii="Arial" w:eastAsia="Times New Roman" w:hAnsi="Arial" w:cs="Arial"/>
            <w:i/>
            <w:iCs/>
            <w:color w:val="000000" w:themeColor="text1"/>
          </w:rPr>
          <w:t xml:space="preserve">J. Lipid Res.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61</w:t>
        </w:r>
        <w:r w:rsidRPr="00BF3F8F">
          <w:rPr>
            <w:rFonts w:ascii="Arial" w:eastAsia="Times New Roman" w:hAnsi="Arial" w:cs="Arial"/>
            <w:color w:val="000000" w:themeColor="text1"/>
          </w:rPr>
          <w:t xml:space="preserve"> (12), 1539–1555. https://doi.org/10.1194/jlr.S120001025.</w:t>
        </w:r>
      </w:hyperlink>
    </w:p>
    <w:p w14:paraId="01089801"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89" w:history="1">
        <w:r w:rsidRPr="00BF3F8F">
          <w:rPr>
            <w:rFonts w:ascii="Arial" w:eastAsia="Times New Roman" w:hAnsi="Arial" w:cs="Arial"/>
            <w:color w:val="000000" w:themeColor="text1"/>
          </w:rPr>
          <w:t xml:space="preserve">(37)    M. Parsons, H.; R. Ekman, D.; W. Collette, T.; R. Viant, M. Spectral Relative Standard Deviation: A Practical Benchmark in Metabolomics. </w:t>
        </w:r>
        <w:r w:rsidRPr="00BF3F8F">
          <w:rPr>
            <w:rFonts w:ascii="Arial" w:eastAsia="Times New Roman" w:hAnsi="Arial" w:cs="Arial"/>
            <w:i/>
            <w:iCs/>
            <w:color w:val="000000" w:themeColor="text1"/>
          </w:rPr>
          <w:t xml:space="preserve">Analyst </w:t>
        </w:r>
        <w:r w:rsidRPr="00BF3F8F">
          <w:rPr>
            <w:rFonts w:ascii="Arial" w:eastAsia="Times New Roman" w:hAnsi="Arial" w:cs="Arial"/>
            <w:b/>
            <w:bCs/>
            <w:color w:val="000000" w:themeColor="text1"/>
          </w:rPr>
          <w:t>2009</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134</w:t>
        </w:r>
        <w:r w:rsidRPr="00BF3F8F">
          <w:rPr>
            <w:rFonts w:ascii="Arial" w:eastAsia="Times New Roman" w:hAnsi="Arial" w:cs="Arial"/>
            <w:color w:val="000000" w:themeColor="text1"/>
          </w:rPr>
          <w:t xml:space="preserve"> (3), 478–485. https://doi.org/10.1039/B808986H.</w:t>
        </w:r>
      </w:hyperlink>
    </w:p>
    <w:p w14:paraId="41BC09BF"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0" w:history="1">
        <w:r w:rsidRPr="00BF3F8F">
          <w:rPr>
            <w:rFonts w:ascii="Arial" w:eastAsia="Times New Roman" w:hAnsi="Arial" w:cs="Arial"/>
            <w:color w:val="000000" w:themeColor="text1"/>
          </w:rPr>
          <w:t xml:space="preserve">(38)    Yu, E. A.; Yu, T.; Jones, D. P.; Ramirez-Zea, M.; Stein, A. D. Metabolomic Profiling After a Meal Shows Greater Changes and Lower Metabolic Flexibility in Cardiometabolic Diseases. </w:t>
        </w:r>
        <w:r w:rsidRPr="00BF3F8F">
          <w:rPr>
            <w:rFonts w:ascii="Arial" w:eastAsia="Times New Roman" w:hAnsi="Arial" w:cs="Arial"/>
            <w:i/>
            <w:iCs/>
            <w:color w:val="000000" w:themeColor="text1"/>
          </w:rPr>
          <w:t xml:space="preserve">J. Endocr. Soc.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4</w:t>
        </w:r>
        <w:r w:rsidRPr="00BF3F8F">
          <w:rPr>
            <w:rFonts w:ascii="Arial" w:eastAsia="Times New Roman" w:hAnsi="Arial" w:cs="Arial"/>
            <w:color w:val="000000" w:themeColor="text1"/>
          </w:rPr>
          <w:t xml:space="preserve"> (11), bvaa127. https://doi.org/10.1210/jendso/bvaa127.</w:t>
        </w:r>
      </w:hyperlink>
    </w:p>
    <w:p w14:paraId="65CEC4BE"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1" w:history="1">
        <w:r w:rsidRPr="00BF3F8F">
          <w:rPr>
            <w:rFonts w:ascii="Arial" w:eastAsia="Times New Roman" w:hAnsi="Arial" w:cs="Arial"/>
            <w:color w:val="000000" w:themeColor="text1"/>
          </w:rPr>
          <w:t xml:space="preserve">(39)    Mora, S. Nonfasting for Routine Lipid Testing: From Evidence to Action. </w:t>
        </w:r>
        <w:r w:rsidRPr="00BF3F8F">
          <w:rPr>
            <w:rFonts w:ascii="Arial" w:eastAsia="Times New Roman" w:hAnsi="Arial" w:cs="Arial"/>
            <w:i/>
            <w:iCs/>
            <w:color w:val="000000" w:themeColor="text1"/>
          </w:rPr>
          <w:t xml:space="preserve">JAMA Intern. Med. </w:t>
        </w:r>
        <w:r w:rsidRPr="00BF3F8F">
          <w:rPr>
            <w:rFonts w:ascii="Arial" w:eastAsia="Times New Roman" w:hAnsi="Arial" w:cs="Arial"/>
            <w:b/>
            <w:bCs/>
            <w:color w:val="000000" w:themeColor="text1"/>
          </w:rPr>
          <w:t>2016</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176</w:t>
        </w:r>
        <w:r w:rsidRPr="00BF3F8F">
          <w:rPr>
            <w:rFonts w:ascii="Arial" w:eastAsia="Times New Roman" w:hAnsi="Arial" w:cs="Arial"/>
            <w:color w:val="000000" w:themeColor="text1"/>
          </w:rPr>
          <w:t xml:space="preserve"> (7), 1005–1006. https://doi.org/10.1001/jamainternmed.2016.1979.</w:t>
        </w:r>
      </w:hyperlink>
    </w:p>
    <w:p w14:paraId="485EA8F4"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2" w:history="1">
        <w:r w:rsidRPr="00BF3F8F">
          <w:rPr>
            <w:rFonts w:ascii="Arial" w:eastAsia="Times New Roman" w:hAnsi="Arial" w:cs="Arial"/>
            <w:color w:val="000000" w:themeColor="text1"/>
          </w:rPr>
          <w:t xml:space="preserve">(40)    Farukhi, Z.; Mora, S. Is It Time to Abandon Fasting for Routine Lipid Testing? </w:t>
        </w:r>
        <w:r w:rsidRPr="00BF3F8F">
          <w:rPr>
            <w:rFonts w:ascii="Arial" w:eastAsia="Times New Roman" w:hAnsi="Arial" w:cs="Arial"/>
            <w:i/>
            <w:iCs/>
            <w:color w:val="000000" w:themeColor="text1"/>
          </w:rPr>
          <w:t xml:space="preserve">Cleve. Clin. J. Med. </w:t>
        </w:r>
        <w:r w:rsidRPr="00BF3F8F">
          <w:rPr>
            <w:rFonts w:ascii="Arial" w:eastAsia="Times New Roman" w:hAnsi="Arial" w:cs="Arial"/>
            <w:b/>
            <w:bCs/>
            <w:color w:val="000000" w:themeColor="text1"/>
          </w:rPr>
          <w:t>2017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84</w:t>
        </w:r>
        <w:r w:rsidRPr="00BF3F8F">
          <w:rPr>
            <w:rFonts w:ascii="Arial" w:eastAsia="Times New Roman" w:hAnsi="Arial" w:cs="Arial"/>
            <w:color w:val="000000" w:themeColor="text1"/>
          </w:rPr>
          <w:t xml:space="preserve"> (12), 919–922. https://doi.org/10.3949/ccjm.84a.16135.</w:t>
        </w:r>
      </w:hyperlink>
    </w:p>
    <w:p w14:paraId="7284831C"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3" w:history="1">
        <w:r w:rsidRPr="00BF3F8F">
          <w:rPr>
            <w:rFonts w:ascii="Arial" w:eastAsia="Times New Roman" w:hAnsi="Arial" w:cs="Arial"/>
            <w:color w:val="000000" w:themeColor="text1"/>
          </w:rPr>
          <w:t xml:space="preserve">(41)    O’Neal, T. B.; Luther, E. E. Dawn Phenomenon. In </w:t>
        </w:r>
        <w:proofErr w:type="spellStart"/>
        <w:r w:rsidRPr="00BF3F8F">
          <w:rPr>
            <w:rFonts w:ascii="Arial" w:eastAsia="Times New Roman" w:hAnsi="Arial" w:cs="Arial"/>
            <w:i/>
            <w:iCs/>
            <w:color w:val="000000" w:themeColor="text1"/>
          </w:rPr>
          <w:t>StatPearls</w:t>
        </w:r>
        <w:proofErr w:type="spellEnd"/>
        <w:r w:rsidRPr="00BF3F8F">
          <w:rPr>
            <w:rFonts w:ascii="Arial" w:eastAsia="Times New Roman" w:hAnsi="Arial" w:cs="Arial"/>
            <w:color w:val="000000" w:themeColor="text1"/>
          </w:rPr>
          <w:t xml:space="preserve">; </w:t>
        </w:r>
        <w:proofErr w:type="spellStart"/>
        <w:r w:rsidRPr="00BF3F8F">
          <w:rPr>
            <w:rFonts w:ascii="Arial" w:eastAsia="Times New Roman" w:hAnsi="Arial" w:cs="Arial"/>
            <w:color w:val="000000" w:themeColor="text1"/>
          </w:rPr>
          <w:t>StatPearls</w:t>
        </w:r>
        <w:proofErr w:type="spellEnd"/>
        <w:r w:rsidRPr="00BF3F8F">
          <w:rPr>
            <w:rFonts w:ascii="Arial" w:eastAsia="Times New Roman" w:hAnsi="Arial" w:cs="Arial"/>
            <w:color w:val="000000" w:themeColor="text1"/>
          </w:rPr>
          <w:t xml:space="preserve"> Publishing: Treasure Island (FL), 2022.</w:t>
        </w:r>
      </w:hyperlink>
    </w:p>
    <w:p w14:paraId="60A6CDA5"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4" w:history="1">
        <w:r w:rsidRPr="00BF3F8F">
          <w:rPr>
            <w:rFonts w:ascii="Arial" w:eastAsia="Times New Roman" w:hAnsi="Arial" w:cs="Arial"/>
            <w:color w:val="000000" w:themeColor="text1"/>
          </w:rPr>
          <w:t xml:space="preserve">(42)    </w:t>
        </w:r>
        <w:r w:rsidRPr="00BF3F8F">
          <w:rPr>
            <w:rFonts w:ascii="Arial" w:eastAsia="Times New Roman" w:hAnsi="Arial" w:cs="Arial"/>
            <w:i/>
            <w:iCs/>
            <w:color w:val="000000" w:themeColor="text1"/>
          </w:rPr>
          <w:t>Comparative Physiology of Fasting, Starvation, and Food Limitation</w:t>
        </w:r>
        <w:r w:rsidRPr="00BF3F8F">
          <w:rPr>
            <w:rFonts w:ascii="Arial" w:eastAsia="Times New Roman" w:hAnsi="Arial" w:cs="Arial"/>
            <w:color w:val="000000" w:themeColor="text1"/>
          </w:rPr>
          <w:t>; McCue, M. D., Ed.; Springer Berlin Heidelberg: Berlin, Heidelberg, 2012. https://doi.org/10.1007/978-3-642-29056-5.</w:t>
        </w:r>
      </w:hyperlink>
    </w:p>
    <w:p w14:paraId="7A2C122C"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5" w:history="1">
        <w:r w:rsidRPr="00BF3F8F">
          <w:rPr>
            <w:rFonts w:ascii="Arial" w:eastAsia="Times New Roman" w:hAnsi="Arial" w:cs="Arial"/>
            <w:color w:val="000000" w:themeColor="text1"/>
          </w:rPr>
          <w:t xml:space="preserve">(43)    Bowen, M. E.; Xuan, L.; Lingvay, I.; Halm, E. A. Random Blood Glucose: A Robust Risk Factor For Type 2 Diabetes. </w:t>
        </w:r>
        <w:r w:rsidRPr="00BF3F8F">
          <w:rPr>
            <w:rFonts w:ascii="Arial" w:eastAsia="Times New Roman" w:hAnsi="Arial" w:cs="Arial"/>
            <w:i/>
            <w:iCs/>
            <w:color w:val="000000" w:themeColor="text1"/>
          </w:rPr>
          <w:t xml:space="preserve">J. Clin. Endocrinol. Metab. </w:t>
        </w:r>
        <w:r w:rsidRPr="00BF3F8F">
          <w:rPr>
            <w:rFonts w:ascii="Arial" w:eastAsia="Times New Roman" w:hAnsi="Arial" w:cs="Arial"/>
            <w:b/>
            <w:bCs/>
            <w:color w:val="000000" w:themeColor="text1"/>
          </w:rPr>
          <w:t>2015</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100</w:t>
        </w:r>
        <w:r w:rsidRPr="00BF3F8F">
          <w:rPr>
            <w:rFonts w:ascii="Arial" w:eastAsia="Times New Roman" w:hAnsi="Arial" w:cs="Arial"/>
            <w:color w:val="000000" w:themeColor="text1"/>
          </w:rPr>
          <w:t xml:space="preserve"> (4), 1503–1510. https://doi.org/10.1210/jc.2014-4116.</w:t>
        </w:r>
      </w:hyperlink>
    </w:p>
    <w:p w14:paraId="07C21D05"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6" w:history="1">
        <w:r w:rsidRPr="00BF3F8F">
          <w:rPr>
            <w:rFonts w:ascii="Arial" w:eastAsia="Times New Roman" w:hAnsi="Arial" w:cs="Arial"/>
            <w:color w:val="000000" w:themeColor="text1"/>
          </w:rPr>
          <w:t xml:space="preserve">(44)    </w:t>
        </w:r>
        <w:proofErr w:type="spellStart"/>
        <w:r w:rsidRPr="00BF3F8F">
          <w:rPr>
            <w:rFonts w:ascii="Arial" w:eastAsia="Times New Roman" w:hAnsi="Arial" w:cs="Arial"/>
            <w:color w:val="000000" w:themeColor="text1"/>
          </w:rPr>
          <w:t>Freckmann</w:t>
        </w:r>
        <w:proofErr w:type="spellEnd"/>
        <w:r w:rsidRPr="00BF3F8F">
          <w:rPr>
            <w:rFonts w:ascii="Arial" w:eastAsia="Times New Roman" w:hAnsi="Arial" w:cs="Arial"/>
            <w:color w:val="000000" w:themeColor="text1"/>
          </w:rPr>
          <w:t xml:space="preserve">, G.; </w:t>
        </w:r>
        <w:proofErr w:type="spellStart"/>
        <w:r w:rsidRPr="00BF3F8F">
          <w:rPr>
            <w:rFonts w:ascii="Arial" w:eastAsia="Times New Roman" w:hAnsi="Arial" w:cs="Arial"/>
            <w:color w:val="000000" w:themeColor="text1"/>
          </w:rPr>
          <w:t>Hagenlocher</w:t>
        </w:r>
        <w:proofErr w:type="spellEnd"/>
        <w:r w:rsidRPr="00BF3F8F">
          <w:rPr>
            <w:rFonts w:ascii="Arial" w:eastAsia="Times New Roman" w:hAnsi="Arial" w:cs="Arial"/>
            <w:color w:val="000000" w:themeColor="text1"/>
          </w:rPr>
          <w:t xml:space="preserve">, S.; </w:t>
        </w:r>
        <w:proofErr w:type="spellStart"/>
        <w:r w:rsidRPr="00BF3F8F">
          <w:rPr>
            <w:rFonts w:ascii="Arial" w:eastAsia="Times New Roman" w:hAnsi="Arial" w:cs="Arial"/>
            <w:color w:val="000000" w:themeColor="text1"/>
          </w:rPr>
          <w:t>Baumstark</w:t>
        </w:r>
        <w:proofErr w:type="spellEnd"/>
        <w:r w:rsidRPr="00BF3F8F">
          <w:rPr>
            <w:rFonts w:ascii="Arial" w:eastAsia="Times New Roman" w:hAnsi="Arial" w:cs="Arial"/>
            <w:color w:val="000000" w:themeColor="text1"/>
          </w:rPr>
          <w:t xml:space="preserve">, A.; </w:t>
        </w:r>
        <w:proofErr w:type="spellStart"/>
        <w:r w:rsidRPr="00BF3F8F">
          <w:rPr>
            <w:rFonts w:ascii="Arial" w:eastAsia="Times New Roman" w:hAnsi="Arial" w:cs="Arial"/>
            <w:color w:val="000000" w:themeColor="text1"/>
          </w:rPr>
          <w:t>Jendrike</w:t>
        </w:r>
        <w:proofErr w:type="spellEnd"/>
        <w:r w:rsidRPr="00BF3F8F">
          <w:rPr>
            <w:rFonts w:ascii="Arial" w:eastAsia="Times New Roman" w:hAnsi="Arial" w:cs="Arial"/>
            <w:color w:val="000000" w:themeColor="text1"/>
          </w:rPr>
          <w:t xml:space="preserve">, N.; Gillen, R. C.; </w:t>
        </w:r>
        <w:proofErr w:type="spellStart"/>
        <w:r w:rsidRPr="00BF3F8F">
          <w:rPr>
            <w:rFonts w:ascii="Arial" w:eastAsia="Times New Roman" w:hAnsi="Arial" w:cs="Arial"/>
            <w:color w:val="000000" w:themeColor="text1"/>
          </w:rPr>
          <w:t>Rössner</w:t>
        </w:r>
        <w:proofErr w:type="spellEnd"/>
        <w:r w:rsidRPr="00BF3F8F">
          <w:rPr>
            <w:rFonts w:ascii="Arial" w:eastAsia="Times New Roman" w:hAnsi="Arial" w:cs="Arial"/>
            <w:color w:val="000000" w:themeColor="text1"/>
          </w:rPr>
          <w:t xml:space="preserve">, K.; </w:t>
        </w:r>
        <w:proofErr w:type="spellStart"/>
        <w:r w:rsidRPr="00BF3F8F">
          <w:rPr>
            <w:rFonts w:ascii="Arial" w:eastAsia="Times New Roman" w:hAnsi="Arial" w:cs="Arial"/>
            <w:color w:val="000000" w:themeColor="text1"/>
          </w:rPr>
          <w:t>Haug</w:t>
        </w:r>
        <w:proofErr w:type="spellEnd"/>
        <w:r w:rsidRPr="00BF3F8F">
          <w:rPr>
            <w:rFonts w:ascii="Arial" w:eastAsia="Times New Roman" w:hAnsi="Arial" w:cs="Arial"/>
            <w:color w:val="000000" w:themeColor="text1"/>
          </w:rPr>
          <w:t xml:space="preserve">, C. Continuous Glucose Profiles in Healthy Subjects under Everyday Life Conditions and after Different Meals. </w:t>
        </w:r>
        <w:r w:rsidRPr="00BF3F8F">
          <w:rPr>
            <w:rFonts w:ascii="Arial" w:eastAsia="Times New Roman" w:hAnsi="Arial" w:cs="Arial"/>
            <w:i/>
            <w:iCs/>
            <w:color w:val="000000" w:themeColor="text1"/>
          </w:rPr>
          <w:t xml:space="preserve">J. Diabetes Sci. Technol. Online </w:t>
        </w:r>
        <w:r w:rsidRPr="00BF3F8F">
          <w:rPr>
            <w:rFonts w:ascii="Arial" w:eastAsia="Times New Roman" w:hAnsi="Arial" w:cs="Arial"/>
            <w:b/>
            <w:bCs/>
            <w:color w:val="000000" w:themeColor="text1"/>
          </w:rPr>
          <w:t>2007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w:t>
        </w:r>
        <w:r w:rsidRPr="00BF3F8F">
          <w:rPr>
            <w:rFonts w:ascii="Arial" w:eastAsia="Times New Roman" w:hAnsi="Arial" w:cs="Arial"/>
            <w:color w:val="000000" w:themeColor="text1"/>
          </w:rPr>
          <w:t xml:space="preserve"> (5), 695–703.</w:t>
        </w:r>
      </w:hyperlink>
    </w:p>
    <w:p w14:paraId="3CE0062F"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7" w:history="1">
        <w:r w:rsidRPr="00BF3F8F">
          <w:rPr>
            <w:rFonts w:ascii="Arial" w:eastAsia="Times New Roman" w:hAnsi="Arial" w:cs="Arial"/>
            <w:color w:val="000000" w:themeColor="text1"/>
          </w:rPr>
          <w:t xml:space="preserve">(45)    Clifford, M. N.; Kerimi, A.; Williamson, G. Bioavailability and Metabolism of Chlorogenic Acids (Acyl-Quinic Acids) in Humans. </w:t>
        </w:r>
        <w:r w:rsidRPr="00BF3F8F">
          <w:rPr>
            <w:rFonts w:ascii="Arial" w:eastAsia="Times New Roman" w:hAnsi="Arial" w:cs="Arial"/>
            <w:i/>
            <w:iCs/>
            <w:color w:val="000000" w:themeColor="text1"/>
          </w:rPr>
          <w:t xml:space="preserve">Compr. Rev. Food Sci. Food Saf. </w:t>
        </w:r>
        <w:r w:rsidRPr="00BF3F8F">
          <w:rPr>
            <w:rFonts w:ascii="Arial" w:eastAsia="Times New Roman" w:hAnsi="Arial" w:cs="Arial"/>
            <w:b/>
            <w:bCs/>
            <w:color w:val="000000" w:themeColor="text1"/>
          </w:rPr>
          <w:t>2020</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19</w:t>
        </w:r>
        <w:r w:rsidRPr="00BF3F8F">
          <w:rPr>
            <w:rFonts w:ascii="Arial" w:eastAsia="Times New Roman" w:hAnsi="Arial" w:cs="Arial"/>
            <w:color w:val="000000" w:themeColor="text1"/>
          </w:rPr>
          <w:t xml:space="preserve"> (4), 1299–1352. https://doi.org/10.1111/1541-4337.12518.</w:t>
        </w:r>
      </w:hyperlink>
    </w:p>
    <w:p w14:paraId="795A09D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8" w:history="1">
        <w:r w:rsidRPr="00BF3F8F">
          <w:rPr>
            <w:rFonts w:ascii="Arial" w:eastAsia="Times New Roman" w:hAnsi="Arial" w:cs="Arial"/>
            <w:color w:val="000000" w:themeColor="text1"/>
          </w:rPr>
          <w:t xml:space="preserve">(46)    Bloomgarden, Z. Diabetes and Branched-Chain Amino Acids: What Is the Link? </w:t>
        </w:r>
        <w:r w:rsidRPr="00BF3F8F">
          <w:rPr>
            <w:rFonts w:ascii="Arial" w:eastAsia="Times New Roman" w:hAnsi="Arial" w:cs="Arial"/>
            <w:i/>
            <w:iCs/>
            <w:color w:val="000000" w:themeColor="text1"/>
          </w:rPr>
          <w:t xml:space="preserve">J. Diabetes </w:t>
        </w:r>
        <w:r w:rsidRPr="00BF3F8F">
          <w:rPr>
            <w:rFonts w:ascii="Arial" w:eastAsia="Times New Roman" w:hAnsi="Arial" w:cs="Arial"/>
            <w:b/>
            <w:bCs/>
            <w:color w:val="000000" w:themeColor="text1"/>
          </w:rPr>
          <w:t>2018</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10</w:t>
        </w:r>
        <w:r w:rsidRPr="00BF3F8F">
          <w:rPr>
            <w:rFonts w:ascii="Arial" w:eastAsia="Times New Roman" w:hAnsi="Arial" w:cs="Arial"/>
            <w:color w:val="000000" w:themeColor="text1"/>
          </w:rPr>
          <w:t xml:space="preserve"> (5), 350–352. https://doi.org/10.1111/1753-0407.12645.</w:t>
        </w:r>
      </w:hyperlink>
    </w:p>
    <w:p w14:paraId="0E389C55"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99" w:history="1">
        <w:r w:rsidRPr="00BF3F8F">
          <w:rPr>
            <w:rFonts w:ascii="Arial" w:eastAsia="Times New Roman" w:hAnsi="Arial" w:cs="Arial"/>
            <w:color w:val="000000" w:themeColor="text1"/>
          </w:rPr>
          <w:t xml:space="preserve">(47)    Quehenberger, O.; Dennis, E. A. The Human Plasma Lipidome. </w:t>
        </w:r>
        <w:r w:rsidRPr="00BF3F8F">
          <w:rPr>
            <w:rFonts w:ascii="Arial" w:eastAsia="Times New Roman" w:hAnsi="Arial" w:cs="Arial"/>
            <w:i/>
            <w:iCs/>
            <w:color w:val="000000" w:themeColor="text1"/>
          </w:rPr>
          <w:t xml:space="preserve">N. Engl. J. Med. </w:t>
        </w:r>
        <w:r w:rsidRPr="00BF3F8F">
          <w:rPr>
            <w:rFonts w:ascii="Arial" w:eastAsia="Times New Roman" w:hAnsi="Arial" w:cs="Arial"/>
            <w:b/>
            <w:bCs/>
            <w:color w:val="000000" w:themeColor="text1"/>
          </w:rPr>
          <w:t>2011</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365</w:t>
        </w:r>
        <w:r w:rsidRPr="00BF3F8F">
          <w:rPr>
            <w:rFonts w:ascii="Arial" w:eastAsia="Times New Roman" w:hAnsi="Arial" w:cs="Arial"/>
            <w:color w:val="000000" w:themeColor="text1"/>
          </w:rPr>
          <w:t xml:space="preserve"> (19), 1812–1823. https://doi.org/10.1056/NEJMra1104901.</w:t>
        </w:r>
      </w:hyperlink>
    </w:p>
    <w:p w14:paraId="2CD21BE8" w14:textId="77777777" w:rsidR="00BF3F8F" w:rsidRPr="00BF3F8F" w:rsidRDefault="00BF3F8F" w:rsidP="00BF3F8F">
      <w:pPr>
        <w:spacing w:after="0" w:line="240" w:lineRule="auto"/>
        <w:ind w:hanging="504"/>
        <w:rPr>
          <w:rFonts w:ascii="Arial" w:eastAsia="Times New Roman" w:hAnsi="Arial" w:cs="Arial"/>
          <w:color w:val="000000" w:themeColor="text1"/>
          <w:sz w:val="24"/>
          <w:szCs w:val="24"/>
        </w:rPr>
      </w:pPr>
      <w:hyperlink r:id="rId100" w:history="1">
        <w:r w:rsidRPr="00BF3F8F">
          <w:rPr>
            <w:rFonts w:ascii="Arial" w:eastAsia="Times New Roman" w:hAnsi="Arial" w:cs="Arial"/>
            <w:color w:val="000000" w:themeColor="text1"/>
          </w:rPr>
          <w:t xml:space="preserve">(48)    Chicco, D. Ten Quick Tips for Machine Learning in Computational Biology. </w:t>
        </w:r>
        <w:r w:rsidRPr="00BF3F8F">
          <w:rPr>
            <w:rFonts w:ascii="Arial" w:eastAsia="Times New Roman" w:hAnsi="Arial" w:cs="Arial"/>
            <w:i/>
            <w:iCs/>
            <w:color w:val="000000" w:themeColor="text1"/>
          </w:rPr>
          <w:t xml:space="preserve">BioData Min. </w:t>
        </w:r>
        <w:r w:rsidRPr="00BF3F8F">
          <w:rPr>
            <w:rFonts w:ascii="Arial" w:eastAsia="Times New Roman" w:hAnsi="Arial" w:cs="Arial"/>
            <w:b/>
            <w:bCs/>
            <w:color w:val="000000" w:themeColor="text1"/>
          </w:rPr>
          <w:t>2017</w:t>
        </w:r>
        <w:r w:rsidRPr="00BF3F8F">
          <w:rPr>
            <w:rFonts w:ascii="Arial" w:eastAsia="Times New Roman" w:hAnsi="Arial" w:cs="Arial"/>
            <w:color w:val="000000" w:themeColor="text1"/>
          </w:rPr>
          <w:t xml:space="preserve">, </w:t>
        </w:r>
        <w:r w:rsidRPr="00BF3F8F">
          <w:rPr>
            <w:rFonts w:ascii="Arial" w:eastAsia="Times New Roman" w:hAnsi="Arial" w:cs="Arial"/>
            <w:i/>
            <w:iCs/>
            <w:color w:val="000000" w:themeColor="text1"/>
          </w:rPr>
          <w:t>10</w:t>
        </w:r>
        <w:r w:rsidRPr="00BF3F8F">
          <w:rPr>
            <w:rFonts w:ascii="Arial" w:eastAsia="Times New Roman" w:hAnsi="Arial" w:cs="Arial"/>
            <w:color w:val="000000" w:themeColor="text1"/>
          </w:rPr>
          <w:t xml:space="preserve"> (1), 35. https://doi.org/10.1186/s13040-017-0155-3.</w:t>
        </w:r>
      </w:hyperlink>
    </w:p>
    <w:p w14:paraId="1609B91B" w14:textId="77777777" w:rsidR="00004FE3" w:rsidRPr="00C11F83" w:rsidRDefault="00000000">
      <w:pPr>
        <w:rPr>
          <w:rFonts w:ascii="Arial" w:hAnsi="Arial" w:cs="Arial"/>
          <w:color w:val="000000" w:themeColor="text1"/>
        </w:rPr>
      </w:pPr>
    </w:p>
    <w:sectPr w:rsidR="00004FE3" w:rsidRPr="00C11F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F8F"/>
    <w:rsid w:val="000D133E"/>
    <w:rsid w:val="00280D34"/>
    <w:rsid w:val="00476942"/>
    <w:rsid w:val="00823843"/>
    <w:rsid w:val="009B1E78"/>
    <w:rsid w:val="00BF3F8F"/>
    <w:rsid w:val="00C11F83"/>
    <w:rsid w:val="00C45C32"/>
    <w:rsid w:val="00FB178B"/>
    <w:rsid w:val="00FF4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D4188"/>
  <w15:chartTrackingRefBased/>
  <w15:docId w15:val="{1927944C-482B-4AAB-8013-5D4BCB925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3F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F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F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F3F8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F3F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F3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32533">
      <w:bodyDiv w:val="1"/>
      <w:marLeft w:val="0"/>
      <w:marRight w:val="0"/>
      <w:marTop w:val="0"/>
      <w:marBottom w:val="0"/>
      <w:divBdr>
        <w:top w:val="none" w:sz="0" w:space="0" w:color="auto"/>
        <w:left w:val="none" w:sz="0" w:space="0" w:color="auto"/>
        <w:bottom w:val="none" w:sz="0" w:space="0" w:color="auto"/>
        <w:right w:val="none" w:sz="0" w:space="0" w:color="auto"/>
      </w:divBdr>
    </w:div>
    <w:div w:id="151349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11P8Ht" TargetMode="External"/><Relationship Id="rId21" Type="http://schemas.openxmlformats.org/officeDocument/2006/relationships/hyperlink" Target="https://www.zotero.org/google-docs/?QKHQp9" TargetMode="External"/><Relationship Id="rId42" Type="http://schemas.openxmlformats.org/officeDocument/2006/relationships/hyperlink" Target="https://www.zotero.org/google-docs/?KWmM3Q" TargetMode="External"/><Relationship Id="rId47" Type="http://schemas.openxmlformats.org/officeDocument/2006/relationships/image" Target="media/image6.png"/><Relationship Id="rId63" Type="http://schemas.openxmlformats.org/officeDocument/2006/relationships/hyperlink" Target="https://www.zotero.org/google-docs/?gH1g4l" TargetMode="External"/><Relationship Id="rId68" Type="http://schemas.openxmlformats.org/officeDocument/2006/relationships/hyperlink" Target="https://www.zotero.org/google-docs/?gH1g4l" TargetMode="External"/><Relationship Id="rId84" Type="http://schemas.openxmlformats.org/officeDocument/2006/relationships/hyperlink" Target="https://www.zotero.org/google-docs/?gH1g4l" TargetMode="External"/><Relationship Id="rId89" Type="http://schemas.openxmlformats.org/officeDocument/2006/relationships/hyperlink" Target="https://www.zotero.org/google-docs/?gH1g4l" TargetMode="External"/><Relationship Id="rId16" Type="http://schemas.openxmlformats.org/officeDocument/2006/relationships/hyperlink" Target="https://www.zotero.org/google-docs/?yHQWNk" TargetMode="External"/><Relationship Id="rId11" Type="http://schemas.openxmlformats.org/officeDocument/2006/relationships/hyperlink" Target="https://www.zotero.org/google-docs/?MtfxuK" TargetMode="External"/><Relationship Id="rId32" Type="http://schemas.openxmlformats.org/officeDocument/2006/relationships/image" Target="media/image2.png"/><Relationship Id="rId37" Type="http://schemas.openxmlformats.org/officeDocument/2006/relationships/hyperlink" Target="https://www.zotero.org/google-docs/?KzKvkc" TargetMode="External"/><Relationship Id="rId53" Type="http://schemas.openxmlformats.org/officeDocument/2006/relationships/hyperlink" Target="https://www.zotero.org/google-docs/?gH1g4l" TargetMode="External"/><Relationship Id="rId58" Type="http://schemas.openxmlformats.org/officeDocument/2006/relationships/hyperlink" Target="https://www.zotero.org/google-docs/?gH1g4l" TargetMode="External"/><Relationship Id="rId74" Type="http://schemas.openxmlformats.org/officeDocument/2006/relationships/hyperlink" Target="https://www.zotero.org/google-docs/?gH1g4l" TargetMode="External"/><Relationship Id="rId79" Type="http://schemas.openxmlformats.org/officeDocument/2006/relationships/hyperlink" Target="https://www.zotero.org/google-docs/?gH1g4l" TargetMode="External"/><Relationship Id="rId102" Type="http://schemas.openxmlformats.org/officeDocument/2006/relationships/theme" Target="theme/theme1.xml"/><Relationship Id="rId5" Type="http://schemas.openxmlformats.org/officeDocument/2006/relationships/hyperlink" Target="https://www.zotero.org/google-docs/?7L3HDm" TargetMode="External"/><Relationship Id="rId90" Type="http://schemas.openxmlformats.org/officeDocument/2006/relationships/hyperlink" Target="https://www.zotero.org/google-docs/?gH1g4l" TargetMode="External"/><Relationship Id="rId95" Type="http://schemas.openxmlformats.org/officeDocument/2006/relationships/hyperlink" Target="https://www.zotero.org/google-docs/?gH1g4l" TargetMode="External"/><Relationship Id="rId22" Type="http://schemas.openxmlformats.org/officeDocument/2006/relationships/hyperlink" Target="https://www.zotero.org/google-docs/?JA2sXu" TargetMode="External"/><Relationship Id="rId27" Type="http://schemas.openxmlformats.org/officeDocument/2006/relationships/hyperlink" Target="https://www.nature.com/articles/s41374-019-0264-3" TargetMode="External"/><Relationship Id="rId43" Type="http://schemas.openxmlformats.org/officeDocument/2006/relationships/image" Target="media/image4.png"/><Relationship Id="rId48" Type="http://schemas.openxmlformats.org/officeDocument/2006/relationships/hyperlink" Target="https://www.zotero.org/google-docs/?labMmq" TargetMode="External"/><Relationship Id="rId64" Type="http://schemas.openxmlformats.org/officeDocument/2006/relationships/hyperlink" Target="https://www.zotero.org/google-docs/?gH1g4l" TargetMode="External"/><Relationship Id="rId69" Type="http://schemas.openxmlformats.org/officeDocument/2006/relationships/hyperlink" Target="https://www.zotero.org/google-docs/?gH1g4l" TargetMode="External"/><Relationship Id="rId80" Type="http://schemas.openxmlformats.org/officeDocument/2006/relationships/hyperlink" Target="https://www.zotero.org/google-docs/?gH1g4l" TargetMode="External"/><Relationship Id="rId85" Type="http://schemas.openxmlformats.org/officeDocument/2006/relationships/hyperlink" Target="https://www.zotero.org/google-docs/?gH1g4l" TargetMode="External"/><Relationship Id="rId12" Type="http://schemas.openxmlformats.org/officeDocument/2006/relationships/hyperlink" Target="https://www.zotero.org/google-docs/?2daMzV" TargetMode="External"/><Relationship Id="rId17" Type="http://schemas.openxmlformats.org/officeDocument/2006/relationships/hyperlink" Target="https://www.zotero.org/google-docs/?YAJUGD" TargetMode="External"/><Relationship Id="rId25" Type="http://schemas.openxmlformats.org/officeDocument/2006/relationships/hyperlink" Target="https://www.zotero.org/google-docs/?Ou5Agz" TargetMode="External"/><Relationship Id="rId33" Type="http://schemas.openxmlformats.org/officeDocument/2006/relationships/hyperlink" Target="https://www.zotero.org/google-docs/?9u2cSz" TargetMode="External"/><Relationship Id="rId38" Type="http://schemas.openxmlformats.org/officeDocument/2006/relationships/hyperlink" Target="https://www.zotero.org/google-docs/?LqyPso" TargetMode="External"/><Relationship Id="rId46" Type="http://schemas.openxmlformats.org/officeDocument/2006/relationships/image" Target="media/image5.png"/><Relationship Id="rId59" Type="http://schemas.openxmlformats.org/officeDocument/2006/relationships/hyperlink" Target="https://www.zotero.org/google-docs/?gH1g4l" TargetMode="External"/><Relationship Id="rId67" Type="http://schemas.openxmlformats.org/officeDocument/2006/relationships/hyperlink" Target="https://www.zotero.org/google-docs/?gH1g4l" TargetMode="External"/><Relationship Id="rId20" Type="http://schemas.openxmlformats.org/officeDocument/2006/relationships/hyperlink" Target="https://www.zotero.org/google-docs/?EXbk1y" TargetMode="External"/><Relationship Id="rId41" Type="http://schemas.openxmlformats.org/officeDocument/2006/relationships/hyperlink" Target="https://www.zotero.org/google-docs/?eYA1sP" TargetMode="External"/><Relationship Id="rId54" Type="http://schemas.openxmlformats.org/officeDocument/2006/relationships/hyperlink" Target="https://www.zotero.org/google-docs/?gH1g4l" TargetMode="External"/><Relationship Id="rId62" Type="http://schemas.openxmlformats.org/officeDocument/2006/relationships/hyperlink" Target="https://www.zotero.org/google-docs/?gH1g4l" TargetMode="External"/><Relationship Id="rId70" Type="http://schemas.openxmlformats.org/officeDocument/2006/relationships/hyperlink" Target="https://www.zotero.org/google-docs/?gH1g4l" TargetMode="External"/><Relationship Id="rId75" Type="http://schemas.openxmlformats.org/officeDocument/2006/relationships/hyperlink" Target="https://www.zotero.org/google-docs/?gH1g4l" TargetMode="External"/><Relationship Id="rId83" Type="http://schemas.openxmlformats.org/officeDocument/2006/relationships/hyperlink" Target="https://www.zotero.org/google-docs/?gH1g4l" TargetMode="External"/><Relationship Id="rId88" Type="http://schemas.openxmlformats.org/officeDocument/2006/relationships/hyperlink" Target="https://www.zotero.org/google-docs/?gH1g4l" TargetMode="External"/><Relationship Id="rId91" Type="http://schemas.openxmlformats.org/officeDocument/2006/relationships/hyperlink" Target="https://www.zotero.org/google-docs/?gH1g4l" TargetMode="External"/><Relationship Id="rId96" Type="http://schemas.openxmlformats.org/officeDocument/2006/relationships/hyperlink" Target="https://www.zotero.org/google-docs/?gH1g4l" TargetMode="External"/><Relationship Id="rId1" Type="http://schemas.openxmlformats.org/officeDocument/2006/relationships/styles" Target="styles.xml"/><Relationship Id="rId6" Type="http://schemas.openxmlformats.org/officeDocument/2006/relationships/hyperlink" Target="https://www.zotero.org/google-docs/?k0dPJk" TargetMode="External"/><Relationship Id="rId15" Type="http://schemas.openxmlformats.org/officeDocument/2006/relationships/hyperlink" Target="https://www.zotero.org/google-docs/?e0xRVR" TargetMode="External"/><Relationship Id="rId23" Type="http://schemas.openxmlformats.org/officeDocument/2006/relationships/hyperlink" Target="https://www.zotero.org/google-docs/?ObOSHH" TargetMode="External"/><Relationship Id="rId28" Type="http://schemas.openxmlformats.org/officeDocument/2006/relationships/hyperlink" Target="https://www.zotero.org/google-docs/?tANmgc" TargetMode="External"/><Relationship Id="rId36" Type="http://schemas.openxmlformats.org/officeDocument/2006/relationships/image" Target="media/image3.png"/><Relationship Id="rId49" Type="http://schemas.openxmlformats.org/officeDocument/2006/relationships/hyperlink" Target="https://www.zotero.org/google-docs/?WWghhs" TargetMode="External"/><Relationship Id="rId57" Type="http://schemas.openxmlformats.org/officeDocument/2006/relationships/hyperlink" Target="https://www.zotero.org/google-docs/?gH1g4l" TargetMode="External"/><Relationship Id="rId10" Type="http://schemas.openxmlformats.org/officeDocument/2006/relationships/hyperlink" Target="https://www.zotero.org/google-docs/?ueVYNF" TargetMode="External"/><Relationship Id="rId31" Type="http://schemas.openxmlformats.org/officeDocument/2006/relationships/image" Target="media/image1.png"/><Relationship Id="rId44" Type="http://schemas.openxmlformats.org/officeDocument/2006/relationships/hyperlink" Target="https://www.zotero.org/google-docs/?3M8nVL" TargetMode="External"/><Relationship Id="rId52" Type="http://schemas.openxmlformats.org/officeDocument/2006/relationships/image" Target="media/image8.png"/><Relationship Id="rId60" Type="http://schemas.openxmlformats.org/officeDocument/2006/relationships/hyperlink" Target="https://www.zotero.org/google-docs/?gH1g4l" TargetMode="External"/><Relationship Id="rId65" Type="http://schemas.openxmlformats.org/officeDocument/2006/relationships/hyperlink" Target="https://www.zotero.org/google-docs/?gH1g4l" TargetMode="External"/><Relationship Id="rId73" Type="http://schemas.openxmlformats.org/officeDocument/2006/relationships/hyperlink" Target="https://www.zotero.org/google-docs/?gH1g4l" TargetMode="External"/><Relationship Id="rId78" Type="http://schemas.openxmlformats.org/officeDocument/2006/relationships/hyperlink" Target="https://www.zotero.org/google-docs/?gH1g4l" TargetMode="External"/><Relationship Id="rId81" Type="http://schemas.openxmlformats.org/officeDocument/2006/relationships/hyperlink" Target="https://www.zotero.org/google-docs/?gH1g4l" TargetMode="External"/><Relationship Id="rId86" Type="http://schemas.openxmlformats.org/officeDocument/2006/relationships/hyperlink" Target="https://www.zotero.org/google-docs/?gH1g4l" TargetMode="External"/><Relationship Id="rId94" Type="http://schemas.openxmlformats.org/officeDocument/2006/relationships/hyperlink" Target="https://www.zotero.org/google-docs/?gH1g4l" TargetMode="External"/><Relationship Id="rId99" Type="http://schemas.openxmlformats.org/officeDocument/2006/relationships/hyperlink" Target="https://www.zotero.org/google-docs/?gH1g4l" TargetMode="External"/><Relationship Id="rId101" Type="http://schemas.openxmlformats.org/officeDocument/2006/relationships/fontTable" Target="fontTable.xml"/><Relationship Id="rId4" Type="http://schemas.openxmlformats.org/officeDocument/2006/relationships/hyperlink" Target="https://www.zotero.org/google-docs/?tULKVh" TargetMode="External"/><Relationship Id="rId9" Type="http://schemas.openxmlformats.org/officeDocument/2006/relationships/hyperlink" Target="https://www.zotero.org/google-docs/?J76eWB" TargetMode="External"/><Relationship Id="rId13" Type="http://schemas.openxmlformats.org/officeDocument/2006/relationships/hyperlink" Target="https://doi.org/10.2337/db10-1032" TargetMode="External"/><Relationship Id="rId18" Type="http://schemas.openxmlformats.org/officeDocument/2006/relationships/hyperlink" Target="https://www.zotero.org/google-docs/?iHpUUx" TargetMode="External"/><Relationship Id="rId39" Type="http://schemas.openxmlformats.org/officeDocument/2006/relationships/hyperlink" Target="https://www.zotero.org/google-docs/?4rxFpF" TargetMode="External"/><Relationship Id="rId34" Type="http://schemas.openxmlformats.org/officeDocument/2006/relationships/hyperlink" Target="https://www.zotero.org/google-docs/?Idlbgn" TargetMode="External"/><Relationship Id="rId50" Type="http://schemas.openxmlformats.org/officeDocument/2006/relationships/image" Target="media/image7.png"/><Relationship Id="rId55" Type="http://schemas.openxmlformats.org/officeDocument/2006/relationships/hyperlink" Target="https://www.zotero.org/google-docs/?gH1g4l" TargetMode="External"/><Relationship Id="rId76" Type="http://schemas.openxmlformats.org/officeDocument/2006/relationships/hyperlink" Target="https://www.zotero.org/google-docs/?gH1g4l" TargetMode="External"/><Relationship Id="rId97" Type="http://schemas.openxmlformats.org/officeDocument/2006/relationships/hyperlink" Target="https://www.zotero.org/google-docs/?gH1g4l" TargetMode="External"/><Relationship Id="rId7" Type="http://schemas.openxmlformats.org/officeDocument/2006/relationships/hyperlink" Target="https://www.zotero.org/google-docs/?R1TLCB" TargetMode="External"/><Relationship Id="rId71" Type="http://schemas.openxmlformats.org/officeDocument/2006/relationships/hyperlink" Target="https://www.zotero.org/google-docs/?gH1g4l" TargetMode="External"/><Relationship Id="rId92" Type="http://schemas.openxmlformats.org/officeDocument/2006/relationships/hyperlink" Target="https://www.zotero.org/google-docs/?gH1g4l" TargetMode="External"/><Relationship Id="rId2" Type="http://schemas.openxmlformats.org/officeDocument/2006/relationships/settings" Target="settings.xml"/><Relationship Id="rId29" Type="http://schemas.openxmlformats.org/officeDocument/2006/relationships/hyperlink" Target="https://www.zotero.org/google-docs/?a3v7dq" TargetMode="External"/><Relationship Id="rId24" Type="http://schemas.openxmlformats.org/officeDocument/2006/relationships/hyperlink" Target="https://www.zotero.org/google-docs/?rmeL02" TargetMode="External"/><Relationship Id="rId40" Type="http://schemas.openxmlformats.org/officeDocument/2006/relationships/hyperlink" Target="https://www.zotero.org/google-docs/?M7u6yl" TargetMode="External"/><Relationship Id="rId45" Type="http://schemas.openxmlformats.org/officeDocument/2006/relationships/hyperlink" Target="https://www.zotero.org/google-docs/?YPMGTG" TargetMode="External"/><Relationship Id="rId66" Type="http://schemas.openxmlformats.org/officeDocument/2006/relationships/hyperlink" Target="https://www.zotero.org/google-docs/?gH1g4l" TargetMode="External"/><Relationship Id="rId87" Type="http://schemas.openxmlformats.org/officeDocument/2006/relationships/hyperlink" Target="https://www.zotero.org/google-docs/?gH1g4l" TargetMode="External"/><Relationship Id="rId61" Type="http://schemas.openxmlformats.org/officeDocument/2006/relationships/hyperlink" Target="https://www.zotero.org/google-docs/?gH1g4l" TargetMode="External"/><Relationship Id="rId82" Type="http://schemas.openxmlformats.org/officeDocument/2006/relationships/hyperlink" Target="https://www.zotero.org/google-docs/?gH1g4l" TargetMode="External"/><Relationship Id="rId19" Type="http://schemas.openxmlformats.org/officeDocument/2006/relationships/hyperlink" Target="https://www.zotero.org/google-docs/?ym9aDQ" TargetMode="External"/><Relationship Id="rId14" Type="http://schemas.openxmlformats.org/officeDocument/2006/relationships/hyperlink" Target="https://www.zotero.org/google-docs/?wNScyJ" TargetMode="External"/><Relationship Id="rId30" Type="http://schemas.openxmlformats.org/officeDocument/2006/relationships/hyperlink" Target="https://www.zotero.org/google-docs/?4ylQ5f" TargetMode="External"/><Relationship Id="rId35" Type="http://schemas.openxmlformats.org/officeDocument/2006/relationships/hyperlink" Target="https://www.zotero.org/google-docs/?rTKLgV" TargetMode="External"/><Relationship Id="rId56" Type="http://schemas.openxmlformats.org/officeDocument/2006/relationships/hyperlink" Target="https://www.zotero.org/google-docs/?gH1g4l" TargetMode="External"/><Relationship Id="rId77" Type="http://schemas.openxmlformats.org/officeDocument/2006/relationships/hyperlink" Target="https://www.zotero.org/google-docs/?gH1g4l" TargetMode="External"/><Relationship Id="rId100" Type="http://schemas.openxmlformats.org/officeDocument/2006/relationships/hyperlink" Target="https://www.zotero.org/google-docs/?gH1g4l" TargetMode="External"/><Relationship Id="rId8" Type="http://schemas.openxmlformats.org/officeDocument/2006/relationships/hyperlink" Target="https://www.zotero.org/google-docs/?0ufVMe" TargetMode="External"/><Relationship Id="rId51" Type="http://schemas.openxmlformats.org/officeDocument/2006/relationships/hyperlink" Target="https://www.zotero.org/google-docs/?qt2Lrg" TargetMode="External"/><Relationship Id="rId72" Type="http://schemas.openxmlformats.org/officeDocument/2006/relationships/hyperlink" Target="https://www.zotero.org/google-docs/?gH1g4l" TargetMode="External"/><Relationship Id="rId93" Type="http://schemas.openxmlformats.org/officeDocument/2006/relationships/hyperlink" Target="https://www.zotero.org/google-docs/?gH1g4l" TargetMode="External"/><Relationship Id="rId98" Type="http://schemas.openxmlformats.org/officeDocument/2006/relationships/hyperlink" Target="https://www.zotero.org/google-docs/?gH1g4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21</Pages>
  <Words>8440</Words>
  <Characters>48109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Anderson</dc:creator>
  <cp:keywords/>
  <dc:description/>
  <cp:lastModifiedBy>Ben Anderson</cp:lastModifiedBy>
  <cp:revision>6</cp:revision>
  <dcterms:created xsi:type="dcterms:W3CDTF">2022-10-24T20:41:00Z</dcterms:created>
  <dcterms:modified xsi:type="dcterms:W3CDTF">2022-10-24T21:43:00Z</dcterms:modified>
</cp:coreProperties>
</file>