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F9E5" w14:textId="77777777" w:rsidR="00851525" w:rsidRPr="00E101F3" w:rsidRDefault="00851525" w:rsidP="00851525">
      <w:pPr>
        <w:pStyle w:val="Heading1"/>
        <w:spacing w:before="0" w:beforeAutospacing="0" w:after="240" w:afterAutospacing="0"/>
        <w:rPr>
          <w:rFonts w:ascii="Segoe UI" w:hAnsi="Segoe UI" w:cs="Segoe UI"/>
          <w:sz w:val="40"/>
          <w:szCs w:val="40"/>
        </w:rPr>
      </w:pPr>
      <w:r w:rsidRPr="00E101F3">
        <w:rPr>
          <w:rFonts w:ascii="Segoe UI" w:hAnsi="Segoe UI" w:cs="Segoe UI"/>
          <w:sz w:val="40"/>
          <w:szCs w:val="40"/>
        </w:rPr>
        <w:t>Utilizing the Clay Foundation Model and Sentinel-2 Imagery for Urban Growth Monitoring in Johnston County, North Carolina</w:t>
      </w:r>
    </w:p>
    <w:p w14:paraId="0A7E0ABC" w14:textId="4BE4987B" w:rsidR="00A25C26" w:rsidRPr="00E101F3" w:rsidRDefault="00A25C26" w:rsidP="00A25C26">
      <w:pPr>
        <w:pStyle w:val="Subtitle"/>
        <w:rPr>
          <w:rFonts w:ascii="Segoe UI" w:hAnsi="Segoe UI" w:cs="Segoe UI"/>
          <w:color w:val="auto"/>
        </w:rPr>
      </w:pPr>
      <w:r w:rsidRPr="00E101F3">
        <w:rPr>
          <w:rFonts w:ascii="Segoe UI" w:hAnsi="Segoe UI" w:cs="Segoe UI"/>
          <w:color w:val="auto"/>
        </w:rPr>
        <w:t>Benton Tripp</w:t>
      </w:r>
    </w:p>
    <w:p w14:paraId="35CD8C40"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Introduction</w:t>
      </w:r>
    </w:p>
    <w:p w14:paraId="298A46B9"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Urbanization is a transformative process that reshapes landscapes, alters ecosystems, and influences socio-economic dynamics. Monitoring urban growth is essential for sustainable urban planning, environmental conservation, and resource management. Remote sensing technologies, particularly satellite imagery, offer valuable tools for observing and analyzing urban expansion over large areas and time periods. The Sentinel-2 satellite mission provides high-resolution, multispectral imagery that is instrumental in land cover and land use studies.</w:t>
      </w:r>
    </w:p>
    <w:p w14:paraId="38C7E805"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Advancements in machine learning have enhanced the capacity to process and interpret vast amounts of remote sensing data. The Clay Foundation Model, an open-source artificial intelligence model for Earth observation, leverages self-supervised learning and Vision Transformer architectures to generate embeddings representing spatial and temporal features of the Earth's surface. These embeddings can be utilized for various downstream tasks, including classification, regression, and change detection.</w:t>
      </w:r>
    </w:p>
    <w:p w14:paraId="681CE639"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This project aims to develop a proof-of-concept for monitoring urban growth in Johnston County, North Carolina. By integrating Sentinel-2 imagery with the Clay Foundation Model, the study seeks to analyze urban expansion patterns and assess the effectiveness of different modeling approaches.</w:t>
      </w:r>
    </w:p>
    <w:p w14:paraId="37B913D1"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Objective</w:t>
      </w:r>
    </w:p>
    <w:p w14:paraId="5239FD1C"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primary objective is to utilize the Clay Foundation Model and Sentinel-2 imagery to monitor and analyze urban growth in Johnston County, North Carolina.</w:t>
      </w:r>
    </w:p>
    <w:p w14:paraId="15B0004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project will:</w:t>
      </w:r>
    </w:p>
    <w:p w14:paraId="1C06725E"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Develop a methodology for processing and integrating Sentinel-2 imagery with urban density data.</w:t>
      </w:r>
    </w:p>
    <w:p w14:paraId="3E5E2ED4"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Generate embeddings using the Clay Foundation Model to capture spatial features.</w:t>
      </w:r>
    </w:p>
    <w:p w14:paraId="3E375B13"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Explore modeling approaches such as regression, classification, and binning to predict urban density percentages.</w:t>
      </w:r>
    </w:p>
    <w:p w14:paraId="6CADBC7E"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Determine the most effective method through testing and evaluation.</w:t>
      </w:r>
    </w:p>
    <w:p w14:paraId="602530BF" w14:textId="77777777" w:rsidR="00851525" w:rsidRPr="00E101F3" w:rsidRDefault="00851525" w:rsidP="00851525">
      <w:pPr>
        <w:pStyle w:val="code-line"/>
        <w:numPr>
          <w:ilvl w:val="0"/>
          <w:numId w:val="10"/>
        </w:numPr>
        <w:rPr>
          <w:rFonts w:ascii="Segoe UI" w:hAnsi="Segoe UI" w:cs="Segoe UI"/>
          <w:sz w:val="21"/>
          <w:szCs w:val="21"/>
        </w:rPr>
      </w:pPr>
      <w:r w:rsidRPr="00E101F3">
        <w:rPr>
          <w:rFonts w:ascii="Segoe UI" w:hAnsi="Segoe UI" w:cs="Segoe UI"/>
          <w:sz w:val="21"/>
          <w:szCs w:val="21"/>
        </w:rPr>
        <w:t>Provide insights into urban growth patterns within the study area.</w:t>
      </w:r>
    </w:p>
    <w:p w14:paraId="0DCBFCB6"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Study Site</w:t>
      </w:r>
    </w:p>
    <w:p w14:paraId="65AA861E"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Johnston County is located in the eastern part of North Carolina, United States, covering approximately 2,050 square kilometers. It lies between latitudes 35.3°N to 35.8°N and longitudes 78.0°W to 78.6°W. The county is part of the rapidly expanding Raleigh-Durham-Chapel Hill metropolitan area, making it a pertinent case study for urban growth analysis.</w:t>
      </w:r>
    </w:p>
    <w:p w14:paraId="1B44A7DA" w14:textId="77777777" w:rsidR="00586FF6" w:rsidRDefault="00586FF6" w:rsidP="00851525">
      <w:pPr>
        <w:pStyle w:val="code-line"/>
        <w:spacing w:before="0" w:beforeAutospacing="0" w:after="240" w:afterAutospacing="0"/>
        <w:rPr>
          <w:rFonts w:ascii="Segoe UI" w:hAnsi="Segoe UI" w:cs="Segoe UI"/>
          <w:sz w:val="21"/>
          <w:szCs w:val="21"/>
        </w:rPr>
      </w:pPr>
      <w:r w:rsidRPr="00586FF6">
        <w:rPr>
          <w:rFonts w:ascii="Segoe UI" w:hAnsi="Segoe UI" w:cs="Segoe UI"/>
          <w:sz w:val="21"/>
          <w:szCs w:val="21"/>
        </w:rPr>
        <w:lastRenderedPageBreak/>
        <w:t>Coordinates are defined in the Universal Transverse Mercator (UTM) coordinate system, specifically UTM Zone 17N (EPSG:32617), with units in meters. This coordinate system is used by Sentinel-2 imagery in this region and ensures spatial accuracy and consistency in measurements across the study area.</w:t>
      </w:r>
    </w:p>
    <w:p w14:paraId="5D4929C9" w14:textId="3AFD1CBF" w:rsidR="00806726" w:rsidRPr="00E101F3" w:rsidRDefault="00806726" w:rsidP="00851525">
      <w:pPr>
        <w:pStyle w:val="code-line"/>
        <w:spacing w:before="0" w:beforeAutospacing="0" w:after="240" w:afterAutospacing="0"/>
        <w:rPr>
          <w:rFonts w:ascii="Segoe UI" w:hAnsi="Segoe UI" w:cs="Segoe UI"/>
          <w:sz w:val="21"/>
          <w:szCs w:val="21"/>
        </w:rPr>
      </w:pPr>
      <w:r w:rsidRPr="00E101F3">
        <w:rPr>
          <w:noProof/>
        </w:rPr>
        <w:drawing>
          <wp:inline distT="0" distB="0" distL="0" distR="0" wp14:anchorId="5A29CFAB" wp14:editId="66D3D72E">
            <wp:extent cx="5943600" cy="3674745"/>
            <wp:effectExtent l="0" t="0" r="0" b="1905"/>
            <wp:docPr id="13634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5"/>
                    <a:stretch>
                      <a:fillRect/>
                    </a:stretch>
                  </pic:blipFill>
                  <pic:spPr>
                    <a:xfrm>
                      <a:off x="0" y="0"/>
                      <a:ext cx="5943600" cy="3674745"/>
                    </a:xfrm>
                    <a:prstGeom prst="rect">
                      <a:avLst/>
                    </a:prstGeom>
                  </pic:spPr>
                </pic:pic>
              </a:graphicData>
            </a:graphic>
          </wp:inline>
        </w:drawing>
      </w:r>
    </w:p>
    <w:p w14:paraId="35AD8E74" w14:textId="1EB7B89A" w:rsidR="00851525" w:rsidRPr="00E101F3" w:rsidRDefault="00851525" w:rsidP="00851525">
      <w:pPr>
        <w:pStyle w:val="code-line"/>
        <w:spacing w:before="0" w:beforeAutospacing="0" w:after="240" w:afterAutospacing="0"/>
        <w:rPr>
          <w:rFonts w:ascii="Segoe UI" w:hAnsi="Segoe UI" w:cs="Segoe UI"/>
          <w:sz w:val="21"/>
          <w:szCs w:val="21"/>
        </w:rPr>
      </w:pPr>
      <w:r w:rsidRPr="00E101F3">
        <w:rPr>
          <w:rStyle w:val="Emphasis"/>
          <w:rFonts w:ascii="Segoe UI" w:hAnsi="Segoe UI" w:cs="Segoe UI"/>
          <w:sz w:val="21"/>
          <w:szCs w:val="21"/>
        </w:rPr>
        <w:t>Figure 1: Johnston County, North Carolina</w:t>
      </w:r>
      <w:r w:rsidR="00806726" w:rsidRPr="00E101F3">
        <w:rPr>
          <w:rStyle w:val="Emphasis"/>
          <w:rFonts w:ascii="Segoe UI" w:hAnsi="Segoe UI" w:cs="Segoe UI"/>
          <w:sz w:val="21"/>
          <w:szCs w:val="21"/>
        </w:rPr>
        <w:t xml:space="preserve"> (obtained from </w:t>
      </w:r>
      <w:hyperlink r:id="rId6" w:history="1">
        <w:r w:rsidR="00806726" w:rsidRPr="00E101F3">
          <w:rPr>
            <w:rStyle w:val="Hyperlink"/>
            <w:rFonts w:ascii="Segoe UI" w:hAnsi="Segoe UI" w:cs="Segoe UI"/>
            <w:i/>
            <w:iCs/>
            <w:color w:val="auto"/>
            <w:sz w:val="21"/>
            <w:szCs w:val="21"/>
          </w:rPr>
          <w:t>Johnston County Economic Development</w:t>
        </w:r>
      </w:hyperlink>
      <w:r w:rsidR="00806726" w:rsidRPr="00E101F3">
        <w:rPr>
          <w:rStyle w:val="Emphasis"/>
          <w:rFonts w:ascii="Segoe UI" w:hAnsi="Segoe UI" w:cs="Segoe UI"/>
          <w:i w:val="0"/>
          <w:iCs w:val="0"/>
          <w:sz w:val="21"/>
          <w:szCs w:val="21"/>
        </w:rPr>
        <w:t>)</w:t>
      </w:r>
    </w:p>
    <w:p w14:paraId="5E3EC8FD"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Data</w:t>
      </w:r>
    </w:p>
    <w:p w14:paraId="29B16B60"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Johnston County GIS Data</w:t>
      </w:r>
    </w:p>
    <w:p w14:paraId="16711712" w14:textId="77777777" w:rsidR="00851525" w:rsidRPr="00E101F3" w:rsidRDefault="00851525" w:rsidP="00851525">
      <w:pPr>
        <w:pStyle w:val="code-line"/>
        <w:numPr>
          <w:ilvl w:val="0"/>
          <w:numId w:val="11"/>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Provides the official county boundary for spatial extent definition.</w:t>
      </w:r>
    </w:p>
    <w:p w14:paraId="0B8ED52D" w14:textId="77777777" w:rsidR="00851525" w:rsidRPr="00E101F3" w:rsidRDefault="00851525" w:rsidP="00851525">
      <w:pPr>
        <w:pStyle w:val="code-line"/>
        <w:numPr>
          <w:ilvl w:val="0"/>
          <w:numId w:val="11"/>
        </w:numPr>
        <w:rPr>
          <w:rFonts w:ascii="Segoe UI" w:hAnsi="Segoe UI" w:cs="Segoe UI"/>
          <w:sz w:val="21"/>
          <w:szCs w:val="21"/>
        </w:rPr>
      </w:pPr>
      <w:r w:rsidRPr="00E101F3">
        <w:rPr>
          <w:rStyle w:val="Strong"/>
          <w:rFonts w:ascii="Segoe UI" w:hAnsi="Segoe UI" w:cs="Segoe UI"/>
          <w:sz w:val="21"/>
          <w:szCs w:val="21"/>
        </w:rPr>
        <w:t>Source</w:t>
      </w:r>
      <w:r w:rsidRPr="00E101F3">
        <w:rPr>
          <w:rFonts w:ascii="Segoe UI" w:hAnsi="Segoe UI" w:cs="Segoe UI"/>
          <w:sz w:val="21"/>
          <w:szCs w:val="21"/>
        </w:rPr>
        <w:t>: </w:t>
      </w:r>
      <w:hyperlink r:id="rId7" w:tooltip="https://www.johnstonnc.com/gis2/content.cfm?PD=data" w:history="1">
        <w:r w:rsidRPr="00E101F3">
          <w:rPr>
            <w:rStyle w:val="Hyperlink"/>
            <w:rFonts w:ascii="Segoe UI" w:hAnsi="Segoe UI" w:cs="Segoe UI"/>
            <w:color w:val="auto"/>
            <w:sz w:val="21"/>
            <w:szCs w:val="21"/>
          </w:rPr>
          <w:t>Johnston County GIS Data (county boundary)</w:t>
        </w:r>
      </w:hyperlink>
    </w:p>
    <w:p w14:paraId="0194C557"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Sentinel-2 Satellite Imagery</w:t>
      </w:r>
    </w:p>
    <w:p w14:paraId="4363519A"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Multispectral imagery with 10-meter spatial resolution.</w:t>
      </w:r>
    </w:p>
    <w:p w14:paraId="543E6739"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Features</w:t>
      </w:r>
      <w:r w:rsidRPr="00E101F3">
        <w:rPr>
          <w:rFonts w:ascii="Segoe UI" w:hAnsi="Segoe UI" w:cs="Segoe UI"/>
          <w:sz w:val="21"/>
          <w:szCs w:val="21"/>
        </w:rPr>
        <w:t>:</w:t>
      </w:r>
    </w:p>
    <w:p w14:paraId="790AD8AF"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High temporal resolution with revisit times of approximately five days.</w:t>
      </w:r>
    </w:p>
    <w:p w14:paraId="3027AFC1"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Includes 13 spectral bands suitable for land cover analysis.</w:t>
      </w:r>
    </w:p>
    <w:p w14:paraId="7D8E5474" w14:textId="77777777" w:rsidR="00851525" w:rsidRPr="00E101F3" w:rsidRDefault="00851525" w:rsidP="00851525">
      <w:pPr>
        <w:pStyle w:val="code-line"/>
        <w:numPr>
          <w:ilvl w:val="0"/>
          <w:numId w:val="12"/>
        </w:numPr>
        <w:rPr>
          <w:rFonts w:ascii="Segoe UI" w:hAnsi="Segoe UI" w:cs="Segoe UI"/>
          <w:sz w:val="21"/>
          <w:szCs w:val="21"/>
        </w:rPr>
      </w:pPr>
      <w:r w:rsidRPr="00E101F3">
        <w:rPr>
          <w:rStyle w:val="Strong"/>
          <w:rFonts w:ascii="Segoe UI" w:hAnsi="Segoe UI" w:cs="Segoe UI"/>
          <w:sz w:val="21"/>
          <w:szCs w:val="21"/>
        </w:rPr>
        <w:t>Access Methods</w:t>
      </w:r>
      <w:r w:rsidRPr="00E101F3">
        <w:rPr>
          <w:rFonts w:ascii="Segoe UI" w:hAnsi="Segoe UI" w:cs="Segoe UI"/>
          <w:sz w:val="21"/>
          <w:szCs w:val="21"/>
        </w:rPr>
        <w:t>:</w:t>
      </w:r>
    </w:p>
    <w:p w14:paraId="584AE212" w14:textId="77777777" w:rsidR="00851525" w:rsidRPr="00E101F3" w:rsidRDefault="00851525" w:rsidP="00851525">
      <w:pPr>
        <w:pStyle w:val="code-line"/>
        <w:numPr>
          <w:ilvl w:val="1"/>
          <w:numId w:val="12"/>
        </w:numPr>
        <w:rPr>
          <w:rFonts w:ascii="Segoe UI" w:hAnsi="Segoe UI" w:cs="Segoe UI"/>
          <w:sz w:val="21"/>
          <w:szCs w:val="21"/>
        </w:rPr>
      </w:pPr>
      <w:r w:rsidRPr="00E101F3">
        <w:rPr>
          <w:rFonts w:ascii="Segoe UI" w:hAnsi="Segoe UI" w:cs="Segoe UI"/>
          <w:sz w:val="21"/>
          <w:szCs w:val="21"/>
        </w:rPr>
        <w:t>Accessed via the </w:t>
      </w:r>
      <w:r w:rsidRPr="00E101F3">
        <w:rPr>
          <w:rStyle w:val="HTMLCode"/>
          <w:sz w:val="21"/>
          <w:szCs w:val="21"/>
        </w:rPr>
        <w:t>pystac_client</w:t>
      </w:r>
      <w:r w:rsidRPr="00E101F3">
        <w:rPr>
          <w:rFonts w:ascii="Segoe UI" w:hAnsi="Segoe UI" w:cs="Segoe UI"/>
          <w:sz w:val="21"/>
          <w:szCs w:val="21"/>
        </w:rPr>
        <w:t> library from:</w:t>
      </w:r>
    </w:p>
    <w:p w14:paraId="4BCFB729" w14:textId="77777777" w:rsidR="00851525" w:rsidRPr="00E101F3" w:rsidRDefault="00000000" w:rsidP="00851525">
      <w:pPr>
        <w:pStyle w:val="code-line"/>
        <w:numPr>
          <w:ilvl w:val="2"/>
          <w:numId w:val="12"/>
        </w:numPr>
        <w:rPr>
          <w:rFonts w:ascii="Segoe UI" w:hAnsi="Segoe UI" w:cs="Segoe UI"/>
          <w:sz w:val="21"/>
          <w:szCs w:val="21"/>
        </w:rPr>
      </w:pPr>
      <w:hyperlink r:id="rId8" w:tooltip="https://planetarycomputer.microsoft.com/api/stac/v1/" w:history="1">
        <w:r w:rsidR="00851525" w:rsidRPr="00E101F3">
          <w:rPr>
            <w:rStyle w:val="Hyperlink"/>
            <w:rFonts w:ascii="Segoe UI" w:hAnsi="Segoe UI" w:cs="Segoe UI"/>
            <w:color w:val="auto"/>
            <w:sz w:val="21"/>
            <w:szCs w:val="21"/>
          </w:rPr>
          <w:t>Microsoft Planetary Computer STAC API</w:t>
        </w:r>
      </w:hyperlink>
    </w:p>
    <w:p w14:paraId="7AB28BF0" w14:textId="77777777" w:rsidR="00851525" w:rsidRPr="00E101F3" w:rsidRDefault="00000000" w:rsidP="00851525">
      <w:pPr>
        <w:pStyle w:val="code-line"/>
        <w:numPr>
          <w:ilvl w:val="2"/>
          <w:numId w:val="12"/>
        </w:numPr>
        <w:rPr>
          <w:rFonts w:ascii="Segoe UI" w:hAnsi="Segoe UI" w:cs="Segoe UI"/>
          <w:sz w:val="21"/>
          <w:szCs w:val="21"/>
        </w:rPr>
      </w:pPr>
      <w:hyperlink r:id="rId9" w:tooltip="https://earth-search.aws.element84.com/v1" w:history="1">
        <w:r w:rsidR="00851525" w:rsidRPr="00E101F3">
          <w:rPr>
            <w:rStyle w:val="Hyperlink"/>
            <w:rFonts w:ascii="Segoe UI" w:hAnsi="Segoe UI" w:cs="Segoe UI"/>
            <w:color w:val="auto"/>
            <w:sz w:val="21"/>
            <w:szCs w:val="21"/>
          </w:rPr>
          <w:t>Earth Search AWS STAC API</w:t>
        </w:r>
      </w:hyperlink>
    </w:p>
    <w:p w14:paraId="2EAF738B"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Urban Density Raster Data</w:t>
      </w:r>
    </w:p>
    <w:p w14:paraId="1BF070FE"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t>Description</w:t>
      </w:r>
      <w:r w:rsidRPr="00E101F3">
        <w:rPr>
          <w:rFonts w:ascii="Segoe UI" w:hAnsi="Segoe UI" w:cs="Segoe UI"/>
          <w:sz w:val="21"/>
          <w:szCs w:val="21"/>
        </w:rPr>
        <w:t>: Raster datasets indicating urban impervious surfaces to generate labels.</w:t>
      </w:r>
    </w:p>
    <w:p w14:paraId="722B7D6A"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lastRenderedPageBreak/>
        <w:t>Potential Sources</w:t>
      </w:r>
      <w:r w:rsidRPr="00E101F3">
        <w:rPr>
          <w:rFonts w:ascii="Segoe UI" w:hAnsi="Segoe UI" w:cs="Segoe UI"/>
          <w:sz w:val="21"/>
          <w:szCs w:val="21"/>
        </w:rPr>
        <w:t>:</w:t>
      </w:r>
    </w:p>
    <w:p w14:paraId="09772DBE" w14:textId="77777777" w:rsidR="00851525" w:rsidRPr="00E101F3" w:rsidRDefault="00851525" w:rsidP="00851525">
      <w:pPr>
        <w:pStyle w:val="code-line"/>
        <w:numPr>
          <w:ilvl w:val="1"/>
          <w:numId w:val="13"/>
        </w:numPr>
        <w:rPr>
          <w:rFonts w:ascii="Segoe UI" w:hAnsi="Segoe UI" w:cs="Segoe UI"/>
          <w:sz w:val="21"/>
          <w:szCs w:val="21"/>
        </w:rPr>
      </w:pPr>
      <w:r w:rsidRPr="00E101F3">
        <w:rPr>
          <w:rStyle w:val="Strong"/>
          <w:rFonts w:ascii="Segoe UI" w:hAnsi="Segoe UI" w:cs="Segoe UI"/>
          <w:sz w:val="21"/>
          <w:szCs w:val="21"/>
        </w:rPr>
        <w:t>National Land Cover Database (NLCD)</w:t>
      </w:r>
      <w:r w:rsidRPr="00E101F3">
        <w:rPr>
          <w:rFonts w:ascii="Segoe UI" w:hAnsi="Segoe UI" w:cs="Segoe UI"/>
          <w:sz w:val="21"/>
          <w:szCs w:val="21"/>
        </w:rPr>
        <w:t>: Provides 30-meter resolution data on land cover and imperviousness.</w:t>
      </w:r>
    </w:p>
    <w:p w14:paraId="3C228A98" w14:textId="77777777" w:rsidR="00851525" w:rsidRPr="00E101F3" w:rsidRDefault="00000000" w:rsidP="00851525">
      <w:pPr>
        <w:pStyle w:val="code-line"/>
        <w:numPr>
          <w:ilvl w:val="2"/>
          <w:numId w:val="13"/>
        </w:numPr>
        <w:rPr>
          <w:rFonts w:ascii="Segoe UI" w:hAnsi="Segoe UI" w:cs="Segoe UI"/>
          <w:sz w:val="21"/>
          <w:szCs w:val="21"/>
        </w:rPr>
      </w:pPr>
      <w:hyperlink r:id="rId10" w:tooltip="https://www.mrlc.gov/data" w:history="1">
        <w:r w:rsidR="00851525" w:rsidRPr="00E101F3">
          <w:rPr>
            <w:rStyle w:val="Hyperlink"/>
            <w:rFonts w:ascii="Segoe UI" w:hAnsi="Segoe UI" w:cs="Segoe UI"/>
            <w:color w:val="auto"/>
            <w:sz w:val="21"/>
            <w:szCs w:val="21"/>
          </w:rPr>
          <w:t>NLCD Data</w:t>
        </w:r>
      </w:hyperlink>
    </w:p>
    <w:p w14:paraId="142BC861" w14:textId="77777777" w:rsidR="00851525" w:rsidRPr="00E101F3" w:rsidRDefault="00851525" w:rsidP="00851525">
      <w:pPr>
        <w:pStyle w:val="code-line"/>
        <w:numPr>
          <w:ilvl w:val="0"/>
          <w:numId w:val="13"/>
        </w:numPr>
        <w:rPr>
          <w:rFonts w:ascii="Segoe UI" w:hAnsi="Segoe UI" w:cs="Segoe UI"/>
          <w:sz w:val="21"/>
          <w:szCs w:val="21"/>
        </w:rPr>
      </w:pPr>
      <w:r w:rsidRPr="00E101F3">
        <w:rPr>
          <w:rStyle w:val="Strong"/>
          <w:rFonts w:ascii="Segoe UI" w:hAnsi="Segoe UI" w:cs="Segoe UI"/>
          <w:sz w:val="21"/>
          <w:szCs w:val="21"/>
        </w:rPr>
        <w:t>Usage</w:t>
      </w:r>
      <w:r w:rsidRPr="00E101F3">
        <w:rPr>
          <w:rFonts w:ascii="Segoe UI" w:hAnsi="Segoe UI" w:cs="Segoe UI"/>
          <w:sz w:val="21"/>
          <w:szCs w:val="21"/>
        </w:rPr>
        <w:t>: Used to calculate urban density percentages within spatial patches.</w:t>
      </w:r>
    </w:p>
    <w:p w14:paraId="6EB2FEF0"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Methods and Tools</w:t>
      </w:r>
    </w:p>
    <w:p w14:paraId="63EB24E3"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Data Processing</w:t>
      </w:r>
    </w:p>
    <w:p w14:paraId="4EF3014A"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Data Acquisition</w:t>
      </w:r>
      <w:r w:rsidRPr="00E101F3">
        <w:rPr>
          <w:rFonts w:ascii="Segoe UI" w:hAnsi="Segoe UI" w:cs="Segoe UI"/>
          <w:sz w:val="21"/>
          <w:szCs w:val="21"/>
        </w:rPr>
        <w:t>:</w:t>
      </w:r>
    </w:p>
    <w:p w14:paraId="5B855224"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Obtain Sentinel-2 imagery covering Johnston County for the selected dates.</w:t>
      </w:r>
    </w:p>
    <w:p w14:paraId="24AD1C40"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Acquire urban density raster data corresponding to the same period.</w:t>
      </w:r>
    </w:p>
    <w:p w14:paraId="20218FAE"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Preprocessing</w:t>
      </w:r>
      <w:r w:rsidRPr="00E101F3">
        <w:rPr>
          <w:rFonts w:ascii="Segoe UI" w:hAnsi="Segoe UI" w:cs="Segoe UI"/>
          <w:sz w:val="21"/>
          <w:szCs w:val="21"/>
        </w:rPr>
        <w:t>:</w:t>
      </w:r>
    </w:p>
    <w:p w14:paraId="4291C42D"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Coordinate Alignment</w:t>
      </w:r>
      <w:r w:rsidRPr="00E101F3">
        <w:rPr>
          <w:rFonts w:ascii="Segoe UI" w:hAnsi="Segoe UI" w:cs="Segoe UI"/>
          <w:sz w:val="21"/>
          <w:szCs w:val="21"/>
        </w:rPr>
        <w:t>: Ensure all datasets are in the NAD83 coordinate system.</w:t>
      </w:r>
    </w:p>
    <w:p w14:paraId="6D1FD480"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Cloud Masking</w:t>
      </w:r>
      <w:r w:rsidRPr="00E101F3">
        <w:rPr>
          <w:rFonts w:ascii="Segoe UI" w:hAnsi="Segoe UI" w:cs="Segoe UI"/>
          <w:sz w:val="21"/>
          <w:szCs w:val="21"/>
        </w:rPr>
        <w:t>: Apply cloud masks to Sentinel-2 imagery to remove cloud-covered areas.</w:t>
      </w:r>
    </w:p>
    <w:p w14:paraId="792830C0"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Resampling</w:t>
      </w:r>
      <w:r w:rsidRPr="00E101F3">
        <w:rPr>
          <w:rFonts w:ascii="Segoe UI" w:hAnsi="Segoe UI" w:cs="Segoe UI"/>
          <w:sz w:val="21"/>
          <w:szCs w:val="21"/>
        </w:rPr>
        <w:t>:</w:t>
      </w:r>
    </w:p>
    <w:p w14:paraId="15E33881"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Resample urban density data to 10-meter resolution to match Sentinel-2 imagery.</w:t>
      </w:r>
    </w:p>
    <w:p w14:paraId="48FB5EFD" w14:textId="248DEF3A"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 xml:space="preserve">Aggregate data into </w:t>
      </w:r>
      <w:r w:rsidR="00F329BA">
        <w:rPr>
          <w:rFonts w:ascii="Segoe UI" w:hAnsi="Segoe UI" w:cs="Segoe UI"/>
          <w:sz w:val="21"/>
          <w:szCs w:val="21"/>
        </w:rPr>
        <w:t>600</w:t>
      </w:r>
      <w:r w:rsidRPr="00E101F3">
        <w:rPr>
          <w:rFonts w:ascii="Segoe UI" w:hAnsi="Segoe UI" w:cs="Segoe UI"/>
          <w:sz w:val="21"/>
          <w:szCs w:val="21"/>
        </w:rPr>
        <w:t>x</w:t>
      </w:r>
      <w:r w:rsidR="00F329BA">
        <w:rPr>
          <w:rFonts w:ascii="Segoe UI" w:hAnsi="Segoe UI" w:cs="Segoe UI"/>
          <w:sz w:val="21"/>
          <w:szCs w:val="21"/>
        </w:rPr>
        <w:t>600</w:t>
      </w:r>
      <w:r w:rsidRPr="00E101F3">
        <w:rPr>
          <w:rFonts w:ascii="Segoe UI" w:hAnsi="Segoe UI" w:cs="Segoe UI"/>
          <w:sz w:val="21"/>
          <w:szCs w:val="21"/>
        </w:rPr>
        <w:t xml:space="preserve">-meter patches, equivalent to </w:t>
      </w:r>
      <w:r w:rsidR="00F329BA">
        <w:rPr>
          <w:rFonts w:ascii="Segoe UI" w:hAnsi="Segoe UI" w:cs="Segoe UI"/>
          <w:sz w:val="21"/>
          <w:szCs w:val="21"/>
        </w:rPr>
        <w:t>60x60</w:t>
      </w:r>
      <w:r w:rsidRPr="00E101F3">
        <w:rPr>
          <w:rFonts w:ascii="Segoe UI" w:hAnsi="Segoe UI" w:cs="Segoe UI"/>
          <w:sz w:val="21"/>
          <w:szCs w:val="21"/>
        </w:rPr>
        <w:t xml:space="preserve"> pixels.</w:t>
      </w:r>
    </w:p>
    <w:p w14:paraId="6E77FD9A" w14:textId="77777777" w:rsidR="00851525" w:rsidRPr="00E101F3" w:rsidRDefault="00851525" w:rsidP="00851525">
      <w:pPr>
        <w:pStyle w:val="code-line"/>
        <w:numPr>
          <w:ilvl w:val="1"/>
          <w:numId w:val="14"/>
        </w:numPr>
        <w:rPr>
          <w:rFonts w:ascii="Segoe UI" w:hAnsi="Segoe UI" w:cs="Segoe UI"/>
          <w:sz w:val="21"/>
          <w:szCs w:val="21"/>
        </w:rPr>
      </w:pPr>
      <w:r w:rsidRPr="00E101F3">
        <w:rPr>
          <w:rStyle w:val="Strong"/>
          <w:rFonts w:ascii="Segoe UI" w:hAnsi="Segoe UI" w:cs="Segoe UI"/>
          <w:sz w:val="21"/>
          <w:szCs w:val="21"/>
        </w:rPr>
        <w:t>Label Generation</w:t>
      </w:r>
      <w:r w:rsidRPr="00E101F3">
        <w:rPr>
          <w:rFonts w:ascii="Segoe UI" w:hAnsi="Segoe UI" w:cs="Segoe UI"/>
          <w:sz w:val="21"/>
          <w:szCs w:val="21"/>
        </w:rPr>
        <w:t>:</w:t>
      </w:r>
    </w:p>
    <w:p w14:paraId="0C48FA27"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Calculate the proportion of urban area within each patch.</w:t>
      </w:r>
    </w:p>
    <w:p w14:paraId="66B171B9" w14:textId="77777777" w:rsidR="00851525" w:rsidRPr="00E101F3" w:rsidRDefault="00851525" w:rsidP="00851525">
      <w:pPr>
        <w:pStyle w:val="code-line"/>
        <w:numPr>
          <w:ilvl w:val="2"/>
          <w:numId w:val="14"/>
        </w:numPr>
        <w:rPr>
          <w:rFonts w:ascii="Segoe UI" w:hAnsi="Segoe UI" w:cs="Segoe UI"/>
          <w:sz w:val="21"/>
          <w:szCs w:val="21"/>
        </w:rPr>
      </w:pPr>
      <w:r w:rsidRPr="00E101F3">
        <w:rPr>
          <w:rFonts w:ascii="Segoe UI" w:hAnsi="Segoe UI" w:cs="Segoe UI"/>
          <w:sz w:val="21"/>
          <w:szCs w:val="21"/>
        </w:rPr>
        <w:t>Labels may represent continuous percentages or be categorized for classification tasks.</w:t>
      </w:r>
    </w:p>
    <w:p w14:paraId="4064B1F4" w14:textId="77777777" w:rsidR="00851525" w:rsidRPr="00E101F3" w:rsidRDefault="00851525" w:rsidP="00851525">
      <w:pPr>
        <w:pStyle w:val="code-line"/>
        <w:numPr>
          <w:ilvl w:val="0"/>
          <w:numId w:val="14"/>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Embedding Generation</w:t>
      </w:r>
      <w:r w:rsidRPr="00E101F3">
        <w:rPr>
          <w:rFonts w:ascii="Segoe UI" w:hAnsi="Segoe UI" w:cs="Segoe UI"/>
          <w:sz w:val="21"/>
          <w:szCs w:val="21"/>
        </w:rPr>
        <w:t>:</w:t>
      </w:r>
    </w:p>
    <w:p w14:paraId="720BBF1F"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Use the Clay Foundation Model to generate embeddings from the Sentinel-2 image patches.</w:t>
      </w:r>
    </w:p>
    <w:p w14:paraId="47AFEE2A" w14:textId="77777777" w:rsidR="00851525" w:rsidRPr="00E101F3" w:rsidRDefault="00851525" w:rsidP="00851525">
      <w:pPr>
        <w:pStyle w:val="code-line"/>
        <w:numPr>
          <w:ilvl w:val="1"/>
          <w:numId w:val="14"/>
        </w:numPr>
        <w:rPr>
          <w:rFonts w:ascii="Segoe UI" w:hAnsi="Segoe UI" w:cs="Segoe UI"/>
          <w:sz w:val="21"/>
          <w:szCs w:val="21"/>
        </w:rPr>
      </w:pPr>
      <w:r w:rsidRPr="00E101F3">
        <w:rPr>
          <w:rFonts w:ascii="Segoe UI" w:hAnsi="Segoe UI" w:cs="Segoe UI"/>
          <w:sz w:val="21"/>
          <w:szCs w:val="21"/>
        </w:rPr>
        <w:t>The model leverages self-supervised learning with Masked Autoencoder (MAE) methods.</w:t>
      </w:r>
    </w:p>
    <w:p w14:paraId="43509C4C"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Modeling Approaches</w:t>
      </w:r>
    </w:p>
    <w:p w14:paraId="0688DDB0"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project will explore different modeling approaches to predict urban density using embeddings generated from the Clay Foundation Model. Initially, potential methods include regression, classification, and binning techniques. Regression involves predicting the percentage of urban area within each patch as a continuous variable, capturing nuanced variations in urban density. Classification simplifies the problem by categorizing patches as urban or non-urban based on a defined threshold, which may overlook subtle differences but reduces complexity. Binning offers a balance by grouping urban percentages into categories such as low, medium, and high density, providing more detail than binary classification while maintaining manageable complexity.</w:t>
      </w:r>
    </w:p>
    <w:p w14:paraId="4BAD66C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selection of the most appropriate modeling approach will be determined after a thorough exploration of the data, its distribution, and the capabilities of the Clay model framework. This preliminary analysis will inform the decision, allowing for the alignment of the modeling technique with the data characteristics and project objectives. Performance metrics and feasibility considerations will guide the choice without necessarily testing all methods extensively.</w:t>
      </w:r>
    </w:p>
    <w:p w14:paraId="564BCE55" w14:textId="77777777" w:rsidR="00851525" w:rsidRPr="00E101F3" w:rsidRDefault="00851525" w:rsidP="00851525">
      <w:pPr>
        <w:pStyle w:val="Heading3"/>
        <w:spacing w:before="360" w:beforeAutospacing="0" w:after="240" w:afterAutospacing="0"/>
        <w:rPr>
          <w:rFonts w:ascii="Segoe UI" w:hAnsi="Segoe UI" w:cs="Segoe UI"/>
          <w:sz w:val="24"/>
          <w:szCs w:val="24"/>
        </w:rPr>
      </w:pPr>
      <w:r w:rsidRPr="00E101F3">
        <w:rPr>
          <w:rFonts w:ascii="Segoe UI" w:hAnsi="Segoe UI" w:cs="Segoe UI"/>
          <w:sz w:val="24"/>
          <w:szCs w:val="24"/>
        </w:rPr>
        <w:t>Tools and Software</w:t>
      </w:r>
    </w:p>
    <w:p w14:paraId="35377303"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Programming Language</w:t>
      </w:r>
      <w:r w:rsidRPr="00E101F3">
        <w:rPr>
          <w:rFonts w:ascii="Segoe UI" w:hAnsi="Segoe UI" w:cs="Segoe UI"/>
          <w:sz w:val="21"/>
          <w:szCs w:val="21"/>
        </w:rPr>
        <w:t>:</w:t>
      </w:r>
    </w:p>
    <w:p w14:paraId="2B4415A7"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Strong"/>
          <w:rFonts w:ascii="Segoe UI" w:hAnsi="Segoe UI" w:cs="Segoe UI"/>
          <w:sz w:val="21"/>
          <w:szCs w:val="21"/>
        </w:rPr>
        <w:t>Python</w:t>
      </w:r>
      <w:r w:rsidRPr="00E101F3">
        <w:rPr>
          <w:rFonts w:ascii="Segoe UI" w:hAnsi="Segoe UI" w:cs="Segoe UI"/>
          <w:sz w:val="21"/>
          <w:szCs w:val="21"/>
        </w:rPr>
        <w:t>: Selected for its versatility and extensive libraries.</w:t>
      </w:r>
    </w:p>
    <w:p w14:paraId="6DFF8028"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Data Processing Libraries</w:t>
      </w:r>
      <w:r w:rsidRPr="00E101F3">
        <w:rPr>
          <w:rFonts w:ascii="Segoe UI" w:hAnsi="Segoe UI" w:cs="Segoe UI"/>
          <w:sz w:val="21"/>
          <w:szCs w:val="21"/>
        </w:rPr>
        <w:t>:</w:t>
      </w:r>
    </w:p>
    <w:p w14:paraId="7DE46C39"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lastRenderedPageBreak/>
        <w:t>geopandas</w:t>
      </w:r>
      <w:r w:rsidRPr="00E101F3">
        <w:rPr>
          <w:rFonts w:ascii="Segoe UI" w:hAnsi="Segoe UI" w:cs="Segoe UI"/>
          <w:sz w:val="21"/>
          <w:szCs w:val="21"/>
        </w:rPr>
        <w:t>, </w:t>
      </w:r>
      <w:r w:rsidRPr="00E101F3">
        <w:rPr>
          <w:rStyle w:val="HTMLCode"/>
          <w:sz w:val="21"/>
          <w:szCs w:val="21"/>
        </w:rPr>
        <w:t>rasterio</w:t>
      </w:r>
      <w:r w:rsidRPr="00E101F3">
        <w:rPr>
          <w:rFonts w:ascii="Segoe UI" w:hAnsi="Segoe UI" w:cs="Segoe UI"/>
          <w:sz w:val="21"/>
          <w:szCs w:val="21"/>
        </w:rPr>
        <w:t>, </w:t>
      </w:r>
      <w:r w:rsidRPr="00E101F3">
        <w:rPr>
          <w:rStyle w:val="HTMLCode"/>
          <w:sz w:val="21"/>
          <w:szCs w:val="21"/>
        </w:rPr>
        <w:t>xarray</w:t>
      </w:r>
      <w:r w:rsidRPr="00E101F3">
        <w:rPr>
          <w:rFonts w:ascii="Segoe UI" w:hAnsi="Segoe UI" w:cs="Segoe UI"/>
          <w:sz w:val="21"/>
          <w:szCs w:val="21"/>
        </w:rPr>
        <w:t>, </w:t>
      </w:r>
      <w:r w:rsidRPr="00E101F3">
        <w:rPr>
          <w:rStyle w:val="HTMLCode"/>
          <w:sz w:val="21"/>
          <w:szCs w:val="21"/>
        </w:rPr>
        <w:t>rioxarray</w:t>
      </w:r>
      <w:r w:rsidRPr="00E101F3">
        <w:rPr>
          <w:rFonts w:ascii="Segoe UI" w:hAnsi="Segoe UI" w:cs="Segoe UI"/>
          <w:sz w:val="21"/>
          <w:szCs w:val="21"/>
        </w:rPr>
        <w:t>: For spatial data handling.</w:t>
      </w:r>
    </w:p>
    <w:p w14:paraId="3F18C3EA"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numpy</w:t>
      </w:r>
      <w:r w:rsidRPr="00E101F3">
        <w:rPr>
          <w:rFonts w:ascii="Segoe UI" w:hAnsi="Segoe UI" w:cs="Segoe UI"/>
          <w:sz w:val="21"/>
          <w:szCs w:val="21"/>
        </w:rPr>
        <w:t>: For numerical computations.</w:t>
      </w:r>
    </w:p>
    <w:p w14:paraId="3420AF91"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Machine Learning Libraries</w:t>
      </w:r>
      <w:r w:rsidRPr="00E101F3">
        <w:rPr>
          <w:rFonts w:ascii="Segoe UI" w:hAnsi="Segoe UI" w:cs="Segoe UI"/>
          <w:sz w:val="21"/>
          <w:szCs w:val="21"/>
        </w:rPr>
        <w:t>:</w:t>
      </w:r>
    </w:p>
    <w:p w14:paraId="64FC130F"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torch</w:t>
      </w:r>
      <w:r w:rsidRPr="00E101F3">
        <w:rPr>
          <w:rFonts w:ascii="Segoe UI" w:hAnsi="Segoe UI" w:cs="Segoe UI"/>
          <w:sz w:val="21"/>
          <w:szCs w:val="21"/>
        </w:rPr>
        <w:t> (PyTorch): For utilizing the Clay Foundation Model.</w:t>
      </w:r>
    </w:p>
    <w:p w14:paraId="357407EF"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scikit-learn</w:t>
      </w:r>
      <w:r w:rsidRPr="00E101F3">
        <w:rPr>
          <w:rFonts w:ascii="Segoe UI" w:hAnsi="Segoe UI" w:cs="Segoe UI"/>
          <w:sz w:val="21"/>
          <w:szCs w:val="21"/>
        </w:rPr>
        <w:t>: For implementing machine learning algorithms.</w:t>
      </w:r>
    </w:p>
    <w:p w14:paraId="3BE7A092" w14:textId="77777777" w:rsidR="008B0C08" w:rsidRPr="00E101F3" w:rsidRDefault="008B0C08" w:rsidP="008B0C08">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Clay Foundation Model</w:t>
      </w:r>
      <w:r w:rsidRPr="00E101F3">
        <w:rPr>
          <w:rFonts w:ascii="Segoe UI" w:hAnsi="Segoe UI" w:cs="Segoe UI"/>
          <w:sz w:val="21"/>
          <w:szCs w:val="21"/>
        </w:rPr>
        <w:t>:</w:t>
      </w:r>
    </w:p>
    <w:p w14:paraId="4007C620" w14:textId="77777777" w:rsidR="008B0C08" w:rsidRPr="00E101F3" w:rsidRDefault="008B0C08" w:rsidP="008B0C08">
      <w:pPr>
        <w:pStyle w:val="code-line"/>
        <w:numPr>
          <w:ilvl w:val="1"/>
          <w:numId w:val="15"/>
        </w:numPr>
        <w:rPr>
          <w:rFonts w:ascii="Segoe UI" w:hAnsi="Segoe UI" w:cs="Segoe UI"/>
          <w:sz w:val="21"/>
          <w:szCs w:val="21"/>
        </w:rPr>
      </w:pPr>
      <w:r w:rsidRPr="00E101F3">
        <w:rPr>
          <w:rFonts w:ascii="Segoe UI" w:hAnsi="Segoe UI" w:cs="Segoe UI"/>
          <w:sz w:val="21"/>
          <w:szCs w:val="21"/>
        </w:rPr>
        <w:t>Accessed via the Hugging Face repository </w:t>
      </w:r>
      <w:hyperlink r:id="rId11" w:tooltip="https://huggingface.co/made-with-clay/Clay" w:history="1">
        <w:r w:rsidRPr="00E101F3">
          <w:rPr>
            <w:rStyle w:val="Hyperlink"/>
            <w:rFonts w:ascii="Segoe UI" w:hAnsi="Segoe UI" w:cs="Segoe UI"/>
            <w:color w:val="auto"/>
            <w:sz w:val="21"/>
            <w:szCs w:val="21"/>
          </w:rPr>
          <w:t>made-with-clay/Clay</w:t>
        </w:r>
      </w:hyperlink>
      <w:r w:rsidRPr="00E101F3">
        <w:rPr>
          <w:rFonts w:ascii="Segoe UI" w:hAnsi="Segoe UI" w:cs="Segoe UI"/>
          <w:sz w:val="21"/>
          <w:szCs w:val="21"/>
        </w:rPr>
        <w:t> for processing Earth observation data.</w:t>
      </w:r>
    </w:p>
    <w:p w14:paraId="3F611B5D"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Satellite Data Access</w:t>
      </w:r>
      <w:r w:rsidRPr="00E101F3">
        <w:rPr>
          <w:rFonts w:ascii="Segoe UI" w:hAnsi="Segoe UI" w:cs="Segoe UI"/>
          <w:sz w:val="21"/>
          <w:szCs w:val="21"/>
        </w:rPr>
        <w:t>:</w:t>
      </w:r>
    </w:p>
    <w:p w14:paraId="0B6399D4"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pystac_client</w:t>
      </w:r>
      <w:r w:rsidRPr="00E101F3">
        <w:rPr>
          <w:rFonts w:ascii="Segoe UI" w:hAnsi="Segoe UI" w:cs="Segoe UI"/>
          <w:sz w:val="21"/>
          <w:szCs w:val="21"/>
        </w:rPr>
        <w:t>: For accessing Sentinel-2 imagery through STAC APIs.</w:t>
      </w:r>
    </w:p>
    <w:p w14:paraId="071101BB" w14:textId="77777777" w:rsidR="00851525" w:rsidRPr="00E101F3" w:rsidRDefault="00851525" w:rsidP="00851525">
      <w:pPr>
        <w:pStyle w:val="code-line"/>
        <w:numPr>
          <w:ilvl w:val="0"/>
          <w:numId w:val="15"/>
        </w:numPr>
        <w:spacing w:before="0" w:beforeAutospacing="0" w:after="168" w:afterAutospacing="0"/>
        <w:rPr>
          <w:rFonts w:ascii="Segoe UI" w:hAnsi="Segoe UI" w:cs="Segoe UI"/>
          <w:sz w:val="21"/>
          <w:szCs w:val="21"/>
        </w:rPr>
      </w:pPr>
      <w:r w:rsidRPr="00E101F3">
        <w:rPr>
          <w:rStyle w:val="Strong"/>
          <w:rFonts w:ascii="Segoe UI" w:hAnsi="Segoe UI" w:cs="Segoe UI"/>
          <w:sz w:val="21"/>
          <w:szCs w:val="21"/>
        </w:rPr>
        <w:t>Visualization</w:t>
      </w:r>
      <w:r w:rsidRPr="00E101F3">
        <w:rPr>
          <w:rFonts w:ascii="Segoe UI" w:hAnsi="Segoe UI" w:cs="Segoe UI"/>
          <w:sz w:val="21"/>
          <w:szCs w:val="21"/>
        </w:rPr>
        <w:t>:</w:t>
      </w:r>
    </w:p>
    <w:p w14:paraId="327C20C0" w14:textId="77777777" w:rsidR="00851525" w:rsidRPr="00E101F3" w:rsidRDefault="00851525" w:rsidP="00851525">
      <w:pPr>
        <w:pStyle w:val="code-line"/>
        <w:numPr>
          <w:ilvl w:val="1"/>
          <w:numId w:val="15"/>
        </w:numPr>
        <w:rPr>
          <w:rFonts w:ascii="Segoe UI" w:hAnsi="Segoe UI" w:cs="Segoe UI"/>
          <w:sz w:val="21"/>
          <w:szCs w:val="21"/>
        </w:rPr>
      </w:pPr>
      <w:r w:rsidRPr="00E101F3">
        <w:rPr>
          <w:rStyle w:val="HTMLCode"/>
          <w:sz w:val="21"/>
          <w:szCs w:val="21"/>
        </w:rPr>
        <w:t>matplotlib</w:t>
      </w:r>
      <w:r w:rsidRPr="00E101F3">
        <w:rPr>
          <w:rFonts w:ascii="Segoe UI" w:hAnsi="Segoe UI" w:cs="Segoe UI"/>
          <w:sz w:val="21"/>
          <w:szCs w:val="21"/>
        </w:rPr>
        <w:t>: For data visualization and plotting.</w:t>
      </w:r>
    </w:p>
    <w:p w14:paraId="5F0139F8"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Expected Results</w:t>
      </w:r>
    </w:p>
    <w:p w14:paraId="4D19BF3A"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The anticipated outcome of this project is the development of a model capable of predicting urban density in Johnston County using Sentinel-2 imagery and embeddings from the Clay Foundation Model. By employing the selected modeling approach, the study aims to generate detailed maps illustrating the distribution of urban density across the county. These visualizations are expected to reveal patterns of urban growth and identify areas experiencing significant development.</w:t>
      </w:r>
    </w:p>
    <w:p w14:paraId="6FC9EFA1" w14:textId="77777777" w:rsidR="00851525" w:rsidRPr="00E101F3" w:rsidRDefault="00851525" w:rsidP="00851525">
      <w:pPr>
        <w:pStyle w:val="code-line"/>
        <w:spacing w:before="0" w:beforeAutospacing="0" w:after="240" w:afterAutospacing="0"/>
        <w:rPr>
          <w:rFonts w:ascii="Segoe UI" w:hAnsi="Segoe UI" w:cs="Segoe UI"/>
          <w:sz w:val="21"/>
          <w:szCs w:val="21"/>
        </w:rPr>
      </w:pPr>
      <w:r w:rsidRPr="00E101F3">
        <w:rPr>
          <w:rFonts w:ascii="Segoe UI" w:hAnsi="Segoe UI" w:cs="Segoe UI"/>
          <w:sz w:val="21"/>
          <w:szCs w:val="21"/>
        </w:rPr>
        <w:t>Methodologically, the project intends to demonstrate the applicability of the Clay Foundation Model in the context of urban growth monitoring. By providing a framework that integrates advanced machine learning techniques with remote sensing data, the study may offer valuable insights for future research in similar domains. Additionally, the project will address challenges encountered during the process, such as data resolution discrepancies and temporal alignment issues, and will suggest strategies for improving accuracy and extending the methodology in subsequent studies.</w:t>
      </w:r>
    </w:p>
    <w:p w14:paraId="30FAF258" w14:textId="77777777" w:rsidR="00851525" w:rsidRPr="00E101F3" w:rsidRDefault="00851525" w:rsidP="00851525">
      <w:pPr>
        <w:pStyle w:val="Heading2"/>
        <w:spacing w:before="360" w:beforeAutospacing="0" w:after="240" w:afterAutospacing="0"/>
        <w:rPr>
          <w:rFonts w:ascii="Segoe UI" w:hAnsi="Segoe UI" w:cs="Segoe UI"/>
          <w:sz w:val="32"/>
          <w:szCs w:val="32"/>
        </w:rPr>
      </w:pPr>
      <w:r w:rsidRPr="00E101F3">
        <w:rPr>
          <w:rFonts w:ascii="Segoe UI" w:hAnsi="Segoe UI" w:cs="Segoe UI"/>
          <w:sz w:val="32"/>
          <w:szCs w:val="32"/>
        </w:rPr>
        <w:t>References</w:t>
      </w:r>
    </w:p>
    <w:p w14:paraId="4D240843" w14:textId="75FE0F2D" w:rsidR="00F82012" w:rsidRDefault="00F82012" w:rsidP="00D95705">
      <w:pPr>
        <w:pStyle w:val="code-line"/>
        <w:numPr>
          <w:ilvl w:val="0"/>
          <w:numId w:val="18"/>
        </w:numPr>
        <w:spacing w:before="0" w:beforeAutospacing="0" w:after="168" w:afterAutospacing="0"/>
        <w:rPr>
          <w:rFonts w:ascii="Segoe UI" w:hAnsi="Segoe UI" w:cs="Segoe UI"/>
          <w:sz w:val="21"/>
          <w:szCs w:val="21"/>
        </w:rPr>
      </w:pPr>
      <w:r w:rsidRPr="00F82012">
        <w:rPr>
          <w:rFonts w:ascii="Segoe UI" w:hAnsi="Segoe UI" w:cs="Segoe UI"/>
          <w:sz w:val="21"/>
          <w:szCs w:val="21"/>
        </w:rPr>
        <w:t xml:space="preserve">Ayush, K., Uzkent, B., Meng, C., Kumar, T., Burke, M., Lobell, D., &amp; Ermon, S. (2021). Geography-Aware Self-Supervised Learning. In Proceedings of the IEEE/CVF International Conference on Computer Vision (ICCV) (pp. 10181–10190). </w:t>
      </w:r>
      <w:r w:rsidR="00103649" w:rsidRPr="00103649">
        <w:rPr>
          <w:rFonts w:ascii="Segoe UI" w:hAnsi="Segoe UI" w:cs="Segoe UI"/>
          <w:sz w:val="21"/>
          <w:szCs w:val="21"/>
        </w:rPr>
        <w:t>10.1109/ICCV48922.2021.01002</w:t>
      </w:r>
      <w:r w:rsidRPr="00F82012">
        <w:rPr>
          <w:rFonts w:ascii="Segoe UI" w:hAnsi="Segoe UI" w:cs="Segoe UI"/>
          <w:sz w:val="21"/>
          <w:szCs w:val="21"/>
        </w:rPr>
        <w:t xml:space="preserve"> </w:t>
      </w:r>
    </w:p>
    <w:p w14:paraId="7BD99C9E" w14:textId="1C964D66" w:rsidR="00D95705" w:rsidRPr="00EA793B" w:rsidRDefault="00D95705" w:rsidP="00D95705">
      <w:pPr>
        <w:pStyle w:val="code-line"/>
        <w:numPr>
          <w:ilvl w:val="0"/>
          <w:numId w:val="18"/>
        </w:numPr>
        <w:spacing w:before="0" w:beforeAutospacing="0" w:after="168" w:afterAutospacing="0"/>
        <w:rPr>
          <w:rStyle w:val="Hyperlink"/>
          <w:rFonts w:ascii="Segoe UI" w:hAnsi="Segoe UI" w:cs="Segoe UI"/>
          <w:color w:val="auto"/>
          <w:sz w:val="21"/>
          <w:szCs w:val="21"/>
          <w:u w:val="none"/>
        </w:rPr>
      </w:pPr>
      <w:r w:rsidRPr="00D95705">
        <w:rPr>
          <w:rFonts w:ascii="Segoe UI" w:hAnsi="Segoe UI" w:cs="Segoe UI"/>
          <w:sz w:val="21"/>
          <w:szCs w:val="21"/>
        </w:rPr>
        <w:t>Clay Foundation. (2023). </w:t>
      </w:r>
      <w:r w:rsidRPr="00D95705">
        <w:rPr>
          <w:rStyle w:val="Emphasis"/>
          <w:rFonts w:ascii="Segoe UI" w:hAnsi="Segoe UI" w:cs="Segoe UI"/>
          <w:sz w:val="21"/>
          <w:szCs w:val="21"/>
        </w:rPr>
        <w:t>Clay Foundation Model: An Open Source AI Model for Earth</w:t>
      </w:r>
      <w:r w:rsidRPr="00D95705">
        <w:rPr>
          <w:rFonts w:ascii="Segoe UI" w:hAnsi="Segoe UI" w:cs="Segoe UI"/>
          <w:sz w:val="21"/>
          <w:szCs w:val="21"/>
        </w:rPr>
        <w:t>. Retrieved from </w:t>
      </w:r>
      <w:hyperlink r:id="rId12" w:tooltip="https://www.clay.earth" w:history="1">
        <w:r w:rsidRPr="00D95705">
          <w:rPr>
            <w:rStyle w:val="Hyperlink"/>
            <w:rFonts w:ascii="Segoe UI" w:hAnsi="Segoe UI" w:cs="Segoe UI"/>
            <w:color w:val="auto"/>
            <w:sz w:val="21"/>
            <w:szCs w:val="21"/>
          </w:rPr>
          <w:t>https://www.clay.earth</w:t>
        </w:r>
      </w:hyperlink>
    </w:p>
    <w:p w14:paraId="52A4042F" w14:textId="1038E9B3" w:rsidR="00EA793B" w:rsidRPr="00EA793B" w:rsidRDefault="00EA793B" w:rsidP="00EA793B">
      <w:pPr>
        <w:pStyle w:val="ListParagraph"/>
        <w:numPr>
          <w:ilvl w:val="0"/>
          <w:numId w:val="18"/>
        </w:numPr>
        <w:rPr>
          <w:rFonts w:ascii="Segoe UI" w:eastAsia="Times New Roman" w:hAnsi="Segoe UI" w:cs="Segoe UI"/>
          <w:kern w:val="0"/>
          <w:sz w:val="21"/>
          <w:szCs w:val="21"/>
          <w14:ligatures w14:val="none"/>
        </w:rPr>
      </w:pPr>
      <w:r w:rsidRPr="00EA793B">
        <w:rPr>
          <w:rFonts w:ascii="Segoe UI" w:eastAsia="Times New Roman" w:hAnsi="Segoe UI" w:cs="Segoe UI"/>
          <w:kern w:val="0"/>
          <w:sz w:val="21"/>
          <w:szCs w:val="21"/>
          <w14:ligatures w14:val="none"/>
        </w:rPr>
        <w:t xml:space="preserve">Dionelis, N., Fibaek, C., Camilleri, L., Luyts, A., Bosmans, J., &amp; Le Saux, B. (2024). </w:t>
      </w:r>
      <w:r w:rsidRPr="00EA793B">
        <w:rPr>
          <w:rFonts w:ascii="Segoe UI" w:eastAsia="Times New Roman" w:hAnsi="Segoe UI" w:cs="Segoe UI"/>
          <w:i/>
          <w:iCs/>
          <w:kern w:val="0"/>
          <w:sz w:val="21"/>
          <w:szCs w:val="21"/>
          <w14:ligatures w14:val="none"/>
        </w:rPr>
        <w:t>Evaluating and Benchmarking Foundation Models for Earth Observation and Geospatial AI</w:t>
      </w:r>
      <w:r w:rsidRPr="00EA793B">
        <w:rPr>
          <w:rFonts w:ascii="Segoe UI" w:eastAsia="Times New Roman" w:hAnsi="Segoe UI" w:cs="Segoe UI"/>
          <w:kern w:val="0"/>
          <w:sz w:val="21"/>
          <w:szCs w:val="21"/>
          <w14:ligatures w14:val="none"/>
        </w:rPr>
        <w:t xml:space="preserve">. arXiv preprint, arXiv:2406.18295. </w:t>
      </w:r>
      <w:hyperlink r:id="rId13" w:history="1">
        <w:r w:rsidRPr="00EA793B">
          <w:rPr>
            <w:rStyle w:val="Hyperlink"/>
            <w:rFonts w:ascii="Segoe UI" w:eastAsia="Times New Roman" w:hAnsi="Segoe UI" w:cs="Segoe UI"/>
            <w:color w:val="auto"/>
            <w:kern w:val="0"/>
            <w:sz w:val="21"/>
            <w:szCs w:val="21"/>
            <w14:ligatures w14:val="none"/>
          </w:rPr>
          <w:t>https://doi.org/10.48550/arXiv.2406.18295</w:t>
        </w:r>
      </w:hyperlink>
    </w:p>
    <w:p w14:paraId="665A54F4" w14:textId="5A978DDA" w:rsidR="00D95705" w:rsidRDefault="00D95705" w:rsidP="00D95705">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He, K., Chen, X., Xie, S., Li, Y., Dollár, P., &amp; Girshick, R. (2022). "Masked Autoencoders Are Scalable Vision Learners." </w:t>
      </w:r>
      <w:r w:rsidRPr="00D95705">
        <w:rPr>
          <w:rStyle w:val="Emphasis"/>
          <w:rFonts w:ascii="Segoe UI" w:hAnsi="Segoe UI" w:cs="Segoe UI"/>
          <w:sz w:val="21"/>
          <w:szCs w:val="21"/>
        </w:rPr>
        <w:t>Proceedings of the IEEE/CVF Conference on Computer Vision and Pattern Recognition</w:t>
      </w:r>
      <w:r w:rsidRPr="00D95705">
        <w:rPr>
          <w:rFonts w:ascii="Segoe UI" w:hAnsi="Segoe UI" w:cs="Segoe UI"/>
          <w:sz w:val="21"/>
          <w:szCs w:val="21"/>
        </w:rPr>
        <w:t>, 16000-16009. doi:</w:t>
      </w:r>
      <w:r w:rsidR="00786306" w:rsidRPr="00786306">
        <w:rPr>
          <w:rFonts w:ascii="Segoe UI" w:hAnsi="Segoe UI" w:cs="Segoe UI"/>
          <w:sz w:val="21"/>
          <w:szCs w:val="21"/>
        </w:rPr>
        <w:t>10.1109/CVPR52688.2022.01553</w:t>
      </w:r>
    </w:p>
    <w:p w14:paraId="56053F0E" w14:textId="0370A215"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Jean, N., Wang, S., Samar, A., Azzari, G., Lobell, D., &amp; Ermon, S. (2019). </w:t>
      </w:r>
      <w:r w:rsidRPr="00D95705">
        <w:rPr>
          <w:rStyle w:val="Emphasis"/>
          <w:rFonts w:ascii="Segoe UI" w:hAnsi="Segoe UI" w:cs="Segoe UI"/>
          <w:sz w:val="21"/>
          <w:szCs w:val="21"/>
        </w:rPr>
        <w:t>Tile2Vec: Unsupervised representation learning for spatially distributed data.</w:t>
      </w:r>
      <w:r w:rsidRPr="00D95705">
        <w:rPr>
          <w:rFonts w:ascii="Segoe UI" w:hAnsi="Segoe UI" w:cs="Segoe UI"/>
          <w:sz w:val="21"/>
          <w:szCs w:val="21"/>
        </w:rPr>
        <w:t> Proceedings of the AAAI Conference on Artificial Intelligence, 33(01), 3967–3974. doi:10.1609/aaai.v33i01.33013967</w:t>
      </w:r>
    </w:p>
    <w:p w14:paraId="55679D7E" w14:textId="1E647EFA" w:rsidR="0097477D" w:rsidRPr="00E61A5E" w:rsidRDefault="0097477D" w:rsidP="0097477D">
      <w:pPr>
        <w:pStyle w:val="ListParagraph"/>
        <w:numPr>
          <w:ilvl w:val="0"/>
          <w:numId w:val="18"/>
        </w:numPr>
        <w:rPr>
          <w:rStyle w:val="Hyperlink"/>
          <w:rFonts w:ascii="Segoe UI" w:eastAsia="Times New Roman" w:hAnsi="Segoe UI" w:cs="Segoe UI"/>
          <w:color w:val="auto"/>
          <w:kern w:val="0"/>
          <w:sz w:val="21"/>
          <w:szCs w:val="21"/>
          <w:u w:val="none"/>
          <w14:ligatures w14:val="none"/>
        </w:rPr>
      </w:pPr>
      <w:r w:rsidRPr="0097477D">
        <w:rPr>
          <w:rFonts w:ascii="Segoe UI" w:eastAsia="Times New Roman" w:hAnsi="Segoe UI" w:cs="Segoe UI"/>
          <w:kern w:val="0"/>
          <w:sz w:val="21"/>
          <w:szCs w:val="21"/>
          <w14:ligatures w14:val="none"/>
        </w:rPr>
        <w:lastRenderedPageBreak/>
        <w:t xml:space="preserve">Mai, G., Cundy, C., Choi, K., Hu, Y., Lao, N., &amp; Ermon, S. (2022). </w:t>
      </w:r>
      <w:r w:rsidRPr="00D12A61">
        <w:rPr>
          <w:rFonts w:ascii="Segoe UI" w:eastAsia="Times New Roman" w:hAnsi="Segoe UI" w:cs="Segoe UI"/>
          <w:i/>
          <w:iCs/>
          <w:kern w:val="0"/>
          <w:sz w:val="21"/>
          <w:szCs w:val="21"/>
          <w14:ligatures w14:val="none"/>
        </w:rPr>
        <w:t>Towards a foundation model for geospatial artificial intelligence</w:t>
      </w:r>
      <w:r w:rsidRPr="0097477D">
        <w:rPr>
          <w:rFonts w:ascii="Segoe UI" w:eastAsia="Times New Roman" w:hAnsi="Segoe UI" w:cs="Segoe UI"/>
          <w:kern w:val="0"/>
          <w:sz w:val="21"/>
          <w:szCs w:val="21"/>
          <w14:ligatures w14:val="none"/>
        </w:rPr>
        <w:t xml:space="preserve">. Proceedings of the 30th International Conference on Advances in Geographic Information Systems (Article No. 106, pp. 1-4). </w:t>
      </w:r>
      <w:hyperlink r:id="rId14" w:history="1">
        <w:r w:rsidRPr="0097477D">
          <w:rPr>
            <w:rStyle w:val="Hyperlink"/>
            <w:rFonts w:ascii="Segoe UI" w:eastAsia="Times New Roman" w:hAnsi="Segoe UI" w:cs="Segoe UI"/>
            <w:color w:val="auto"/>
            <w:kern w:val="0"/>
            <w:sz w:val="21"/>
            <w:szCs w:val="21"/>
            <w14:ligatures w14:val="none"/>
          </w:rPr>
          <w:t>https://doi.org/10.1145/3557915.3561043</w:t>
        </w:r>
      </w:hyperlink>
    </w:p>
    <w:p w14:paraId="1CB8D0BD" w14:textId="1EE4A76D" w:rsidR="00E61A5E" w:rsidRPr="00E61A5E" w:rsidRDefault="00E61A5E" w:rsidP="00E61A5E">
      <w:pPr>
        <w:pStyle w:val="code-line"/>
        <w:numPr>
          <w:ilvl w:val="0"/>
          <w:numId w:val="18"/>
        </w:numPr>
        <w:spacing w:before="0" w:beforeAutospacing="0" w:after="168" w:afterAutospacing="0"/>
        <w:rPr>
          <w:rFonts w:ascii="Segoe UI" w:hAnsi="Segoe UI" w:cs="Segoe UI"/>
          <w:sz w:val="21"/>
          <w:szCs w:val="21"/>
        </w:rPr>
      </w:pPr>
      <w:r w:rsidRPr="00E61A5E">
        <w:rPr>
          <w:rFonts w:ascii="Segoe UI" w:hAnsi="Segoe UI" w:cs="Segoe UI"/>
          <w:sz w:val="21"/>
          <w:szCs w:val="21"/>
        </w:rPr>
        <w:t>R. Goetzke, M. Braun, H. -P. Thamm and G. Menz</w:t>
      </w:r>
      <w:r>
        <w:rPr>
          <w:rFonts w:ascii="Segoe UI" w:hAnsi="Segoe UI" w:cs="Segoe UI"/>
          <w:sz w:val="21"/>
          <w:szCs w:val="21"/>
        </w:rPr>
        <w:t xml:space="preserve"> (2008). </w:t>
      </w:r>
      <w:r w:rsidRPr="00E61A5E">
        <w:rPr>
          <w:rFonts w:ascii="Segoe UI" w:hAnsi="Segoe UI" w:cs="Segoe UI"/>
          <w:i/>
          <w:iCs/>
          <w:sz w:val="21"/>
          <w:szCs w:val="21"/>
        </w:rPr>
        <w:t>Monitoring and Modeling Urban Land-Use Change with Multitemporal Satellite Data</w:t>
      </w:r>
      <w:r>
        <w:rPr>
          <w:rFonts w:ascii="Segoe UI" w:hAnsi="Segoe UI" w:cs="Segoe UI"/>
          <w:sz w:val="21"/>
          <w:szCs w:val="21"/>
        </w:rPr>
        <w:t>.</w:t>
      </w:r>
      <w:r w:rsidRPr="00E61A5E">
        <w:rPr>
          <w:rFonts w:ascii="Segoe UI" w:hAnsi="Segoe UI" w:cs="Segoe UI"/>
          <w:sz w:val="21"/>
          <w:szCs w:val="21"/>
        </w:rPr>
        <w:t xml:space="preserve"> IGARSS 2008 - 2008 IEEE International Geoscience and Remote Sensing Symposium, Boston, MA, USA, 2008, pp. IV - 510-IV - 513, doi: 10.1109/IGARSS.2008.4779770</w:t>
      </w:r>
    </w:p>
    <w:p w14:paraId="1910E219" w14:textId="211CD8AC"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U.S. Geological Survey. (2021). "National Land Cover Database (NLCD) 2019 Products." </w:t>
      </w:r>
      <w:r w:rsidRPr="00D95705">
        <w:rPr>
          <w:rStyle w:val="Emphasis"/>
          <w:rFonts w:ascii="Segoe UI" w:hAnsi="Segoe UI" w:cs="Segoe UI"/>
          <w:sz w:val="21"/>
          <w:szCs w:val="21"/>
        </w:rPr>
        <w:t>U.S. Department of the Interior</w:t>
      </w:r>
      <w:r w:rsidRPr="00D95705">
        <w:rPr>
          <w:rFonts w:ascii="Segoe UI" w:hAnsi="Segoe UI" w:cs="Segoe UI"/>
          <w:sz w:val="21"/>
          <w:szCs w:val="21"/>
        </w:rPr>
        <w:t>. Retrieved from </w:t>
      </w:r>
      <w:hyperlink r:id="rId15" w:tooltip="https://www.mrlc.gov/data" w:history="1">
        <w:r w:rsidRPr="00D95705">
          <w:rPr>
            <w:rStyle w:val="Hyperlink"/>
            <w:rFonts w:ascii="Segoe UI" w:hAnsi="Segoe UI" w:cs="Segoe UI"/>
            <w:color w:val="auto"/>
            <w:sz w:val="21"/>
            <w:szCs w:val="21"/>
          </w:rPr>
          <w:t>https://www.mrlc.gov/data</w:t>
        </w:r>
      </w:hyperlink>
    </w:p>
    <w:p w14:paraId="27FE7DA8" w14:textId="7A36E970" w:rsidR="001F311B" w:rsidRPr="001F311B" w:rsidRDefault="001F311B" w:rsidP="001F311B">
      <w:pPr>
        <w:pStyle w:val="code-line"/>
        <w:numPr>
          <w:ilvl w:val="0"/>
          <w:numId w:val="18"/>
        </w:numPr>
        <w:spacing w:before="0" w:beforeAutospacing="0" w:after="168" w:afterAutospacing="0"/>
        <w:rPr>
          <w:rFonts w:ascii="Segoe UI" w:hAnsi="Segoe UI" w:cs="Segoe UI"/>
          <w:sz w:val="21"/>
          <w:szCs w:val="21"/>
        </w:rPr>
      </w:pPr>
      <w:r w:rsidRPr="00D95705">
        <w:rPr>
          <w:rFonts w:ascii="Segoe UI" w:hAnsi="Segoe UI" w:cs="Segoe UI"/>
          <w:sz w:val="21"/>
          <w:szCs w:val="21"/>
        </w:rPr>
        <w:t>Zhu, X. X., Tuia, D., Mou, L., Xia, G.-S., Zhang, L., Xu, F., &amp; Fraundorfer, F. (2017). "Deep Learning in Remote Sensing: A Comprehensive Review and List of Resources." </w:t>
      </w:r>
      <w:r w:rsidRPr="00D95705">
        <w:rPr>
          <w:rStyle w:val="Emphasis"/>
          <w:rFonts w:ascii="Segoe UI" w:hAnsi="Segoe UI" w:cs="Segoe UI"/>
          <w:sz w:val="21"/>
          <w:szCs w:val="21"/>
        </w:rPr>
        <w:t>IEEE Geoscience and Remote Sensing Magazine</w:t>
      </w:r>
      <w:r w:rsidRPr="00D95705">
        <w:rPr>
          <w:rFonts w:ascii="Segoe UI" w:hAnsi="Segoe UI" w:cs="Segoe UI"/>
          <w:sz w:val="21"/>
          <w:szCs w:val="21"/>
        </w:rPr>
        <w:t>, 5(4), 8-36. doi:10.1109/MGRS.2017.2762307</w:t>
      </w:r>
    </w:p>
    <w:p w14:paraId="35346177" w14:textId="77777777" w:rsidR="00851525" w:rsidRPr="00E101F3" w:rsidRDefault="00000000" w:rsidP="00851525">
      <w:pPr>
        <w:rPr>
          <w:rFonts w:ascii="Segoe UI" w:hAnsi="Segoe UI" w:cs="Segoe UI"/>
          <w:sz w:val="21"/>
          <w:szCs w:val="21"/>
        </w:rPr>
      </w:pPr>
      <w:r>
        <w:pict w14:anchorId="7FEBF1C4">
          <v:rect id="_x0000_i1025" style="width:0;height:.75pt" o:hralign="center" o:hrstd="t" o:hrnoshade="t" o:hr="t" fillcolor="#839496" stroked="f"/>
        </w:pict>
      </w:r>
    </w:p>
    <w:p w14:paraId="192FD205" w14:textId="77777777" w:rsidR="000B00FB" w:rsidRPr="00E101F3" w:rsidRDefault="000B00FB" w:rsidP="00851525"/>
    <w:sectPr w:rsidR="000B00FB" w:rsidRPr="00E101F3" w:rsidSect="005F20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57187"/>
    <w:multiLevelType w:val="multilevel"/>
    <w:tmpl w:val="0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66721"/>
    <w:multiLevelType w:val="multilevel"/>
    <w:tmpl w:val="5D9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47A66"/>
    <w:multiLevelType w:val="multilevel"/>
    <w:tmpl w:val="C39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12CF0"/>
    <w:multiLevelType w:val="multilevel"/>
    <w:tmpl w:val="4AF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B1CE3"/>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4E0E78"/>
    <w:multiLevelType w:val="multilevel"/>
    <w:tmpl w:val="7832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91802"/>
    <w:multiLevelType w:val="multilevel"/>
    <w:tmpl w:val="70C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44319"/>
    <w:multiLevelType w:val="multilevel"/>
    <w:tmpl w:val="B626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5168C"/>
    <w:multiLevelType w:val="multilevel"/>
    <w:tmpl w:val="7F8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332C4"/>
    <w:multiLevelType w:val="multilevel"/>
    <w:tmpl w:val="8AC8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2E0526"/>
    <w:multiLevelType w:val="multilevel"/>
    <w:tmpl w:val="6F66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43517B"/>
    <w:multiLevelType w:val="multilevel"/>
    <w:tmpl w:val="269C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D34288"/>
    <w:multiLevelType w:val="multilevel"/>
    <w:tmpl w:val="4F6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C290A"/>
    <w:multiLevelType w:val="multilevel"/>
    <w:tmpl w:val="56CE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4174D3"/>
    <w:multiLevelType w:val="multilevel"/>
    <w:tmpl w:val="0D9A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1F57F6"/>
    <w:multiLevelType w:val="multilevel"/>
    <w:tmpl w:val="A1C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87A79"/>
    <w:multiLevelType w:val="multilevel"/>
    <w:tmpl w:val="6DA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79181D"/>
    <w:multiLevelType w:val="multilevel"/>
    <w:tmpl w:val="A07C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8918">
    <w:abstractNumId w:val="17"/>
  </w:num>
  <w:num w:numId="2" w16cid:durableId="793064716">
    <w:abstractNumId w:val="8"/>
  </w:num>
  <w:num w:numId="3" w16cid:durableId="1016537447">
    <w:abstractNumId w:val="11"/>
  </w:num>
  <w:num w:numId="4" w16cid:durableId="639071313">
    <w:abstractNumId w:val="3"/>
  </w:num>
  <w:num w:numId="5" w16cid:durableId="862285067">
    <w:abstractNumId w:val="2"/>
  </w:num>
  <w:num w:numId="6" w16cid:durableId="23680476">
    <w:abstractNumId w:val="0"/>
  </w:num>
  <w:num w:numId="7" w16cid:durableId="1844465092">
    <w:abstractNumId w:val="1"/>
  </w:num>
  <w:num w:numId="8" w16cid:durableId="1063525309">
    <w:abstractNumId w:val="6"/>
  </w:num>
  <w:num w:numId="9" w16cid:durableId="531304644">
    <w:abstractNumId w:val="13"/>
  </w:num>
  <w:num w:numId="10" w16cid:durableId="1026634256">
    <w:abstractNumId w:val="7"/>
  </w:num>
  <w:num w:numId="11" w16cid:durableId="155388287">
    <w:abstractNumId w:val="12"/>
  </w:num>
  <w:num w:numId="12" w16cid:durableId="1756198077">
    <w:abstractNumId w:val="15"/>
  </w:num>
  <w:num w:numId="13" w16cid:durableId="1053116640">
    <w:abstractNumId w:val="9"/>
  </w:num>
  <w:num w:numId="14" w16cid:durableId="764812113">
    <w:abstractNumId w:val="16"/>
  </w:num>
  <w:num w:numId="15" w16cid:durableId="517357576">
    <w:abstractNumId w:val="5"/>
  </w:num>
  <w:num w:numId="16" w16cid:durableId="855928477">
    <w:abstractNumId w:val="10"/>
  </w:num>
  <w:num w:numId="17" w16cid:durableId="149903508">
    <w:abstractNumId w:val="14"/>
  </w:num>
  <w:num w:numId="18" w16cid:durableId="7355946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50"/>
    <w:rsid w:val="000B00FB"/>
    <w:rsid w:val="00103649"/>
    <w:rsid w:val="001F311B"/>
    <w:rsid w:val="00586FF6"/>
    <w:rsid w:val="005F2063"/>
    <w:rsid w:val="006E606D"/>
    <w:rsid w:val="00786306"/>
    <w:rsid w:val="00806726"/>
    <w:rsid w:val="00851525"/>
    <w:rsid w:val="008B0C08"/>
    <w:rsid w:val="0097477D"/>
    <w:rsid w:val="009A0847"/>
    <w:rsid w:val="00A25C26"/>
    <w:rsid w:val="00AE0CD1"/>
    <w:rsid w:val="00C43D50"/>
    <w:rsid w:val="00D12A61"/>
    <w:rsid w:val="00D95705"/>
    <w:rsid w:val="00E101F3"/>
    <w:rsid w:val="00E61A5E"/>
    <w:rsid w:val="00EA793B"/>
    <w:rsid w:val="00F329BA"/>
    <w:rsid w:val="00F82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365E"/>
  <w15:chartTrackingRefBased/>
  <w15:docId w15:val="{B41A12DC-8137-4DA3-BBF3-B613E030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D5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43D5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43D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5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43D5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43D50"/>
    <w:rPr>
      <w:rFonts w:ascii="Times New Roman" w:eastAsia="Times New Roman" w:hAnsi="Times New Roman" w:cs="Times New Roman"/>
      <w:b/>
      <w:bCs/>
      <w:kern w:val="0"/>
      <w:sz w:val="27"/>
      <w:szCs w:val="27"/>
      <w14:ligatures w14:val="none"/>
    </w:rPr>
  </w:style>
  <w:style w:type="paragraph" w:customStyle="1" w:styleId="code-line">
    <w:name w:val="code-line"/>
    <w:basedOn w:val="Normal"/>
    <w:rsid w:val="00C43D50"/>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43D50"/>
    <w:rPr>
      <w:i/>
      <w:iCs/>
    </w:rPr>
  </w:style>
  <w:style w:type="character" w:styleId="Strong">
    <w:name w:val="Strong"/>
    <w:basedOn w:val="DefaultParagraphFont"/>
    <w:uiPriority w:val="22"/>
    <w:qFormat/>
    <w:rsid w:val="00C43D50"/>
    <w:rPr>
      <w:b/>
      <w:bCs/>
    </w:rPr>
  </w:style>
  <w:style w:type="character" w:styleId="Hyperlink">
    <w:name w:val="Hyperlink"/>
    <w:basedOn w:val="DefaultParagraphFont"/>
    <w:uiPriority w:val="99"/>
    <w:unhideWhenUsed/>
    <w:rsid w:val="00C43D50"/>
    <w:rPr>
      <w:color w:val="0000FF"/>
      <w:u w:val="single"/>
    </w:rPr>
  </w:style>
  <w:style w:type="character" w:styleId="HTMLCode">
    <w:name w:val="HTML Code"/>
    <w:basedOn w:val="DefaultParagraphFont"/>
    <w:uiPriority w:val="99"/>
    <w:semiHidden/>
    <w:unhideWhenUsed/>
    <w:rsid w:val="00C43D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C08"/>
    <w:rPr>
      <w:color w:val="605E5C"/>
      <w:shd w:val="clear" w:color="auto" w:fill="E1DFDD"/>
    </w:rPr>
  </w:style>
  <w:style w:type="paragraph" w:styleId="Subtitle">
    <w:name w:val="Subtitle"/>
    <w:basedOn w:val="Normal"/>
    <w:next w:val="Normal"/>
    <w:link w:val="SubtitleChar"/>
    <w:uiPriority w:val="11"/>
    <w:qFormat/>
    <w:rsid w:val="00A25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5C26"/>
    <w:rPr>
      <w:rFonts w:eastAsiaTheme="minorEastAsia"/>
      <w:color w:val="5A5A5A" w:themeColor="text1" w:themeTint="A5"/>
      <w:spacing w:val="15"/>
    </w:rPr>
  </w:style>
  <w:style w:type="paragraph" w:styleId="ListParagraph">
    <w:name w:val="List Paragraph"/>
    <w:basedOn w:val="Normal"/>
    <w:uiPriority w:val="34"/>
    <w:qFormat/>
    <w:rsid w:val="00EA79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494">
      <w:bodyDiv w:val="1"/>
      <w:marLeft w:val="0"/>
      <w:marRight w:val="0"/>
      <w:marTop w:val="0"/>
      <w:marBottom w:val="0"/>
      <w:divBdr>
        <w:top w:val="none" w:sz="0" w:space="0" w:color="auto"/>
        <w:left w:val="none" w:sz="0" w:space="0" w:color="auto"/>
        <w:bottom w:val="none" w:sz="0" w:space="0" w:color="auto"/>
        <w:right w:val="none" w:sz="0" w:space="0" w:color="auto"/>
      </w:divBdr>
    </w:div>
    <w:div w:id="203834722">
      <w:bodyDiv w:val="1"/>
      <w:marLeft w:val="0"/>
      <w:marRight w:val="0"/>
      <w:marTop w:val="0"/>
      <w:marBottom w:val="0"/>
      <w:divBdr>
        <w:top w:val="none" w:sz="0" w:space="0" w:color="auto"/>
        <w:left w:val="none" w:sz="0" w:space="0" w:color="auto"/>
        <w:bottom w:val="none" w:sz="0" w:space="0" w:color="auto"/>
        <w:right w:val="none" w:sz="0" w:space="0" w:color="auto"/>
      </w:divBdr>
    </w:div>
    <w:div w:id="410473484">
      <w:bodyDiv w:val="1"/>
      <w:marLeft w:val="0"/>
      <w:marRight w:val="0"/>
      <w:marTop w:val="0"/>
      <w:marBottom w:val="0"/>
      <w:divBdr>
        <w:top w:val="none" w:sz="0" w:space="0" w:color="auto"/>
        <w:left w:val="none" w:sz="0" w:space="0" w:color="auto"/>
        <w:bottom w:val="none" w:sz="0" w:space="0" w:color="auto"/>
        <w:right w:val="none" w:sz="0" w:space="0" w:color="auto"/>
      </w:divBdr>
    </w:div>
    <w:div w:id="1374505230">
      <w:bodyDiv w:val="1"/>
      <w:marLeft w:val="0"/>
      <w:marRight w:val="0"/>
      <w:marTop w:val="0"/>
      <w:marBottom w:val="0"/>
      <w:divBdr>
        <w:top w:val="none" w:sz="0" w:space="0" w:color="auto"/>
        <w:left w:val="none" w:sz="0" w:space="0" w:color="auto"/>
        <w:bottom w:val="none" w:sz="0" w:space="0" w:color="auto"/>
        <w:right w:val="none" w:sz="0" w:space="0" w:color="auto"/>
      </w:divBdr>
    </w:div>
    <w:div w:id="17616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rycomputer.microsoft.com/api/stac/v1/" TargetMode="External"/><Relationship Id="rId13" Type="http://schemas.openxmlformats.org/officeDocument/2006/relationships/hyperlink" Target="https://doi.org/10.48550/arXiv.2406.18295" TargetMode="External"/><Relationship Id="rId3" Type="http://schemas.openxmlformats.org/officeDocument/2006/relationships/settings" Target="settings.xml"/><Relationship Id="rId7" Type="http://schemas.openxmlformats.org/officeDocument/2006/relationships/hyperlink" Target="https://www.johnstonnc.com/gis2/content.cfm?PD=data" TargetMode="External"/><Relationship Id="rId12" Type="http://schemas.openxmlformats.org/officeDocument/2006/relationships/hyperlink" Target="https://www.clay.earth/"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rowwithjoco.com/why-joco/towns/" TargetMode="External"/><Relationship Id="rId11" Type="http://schemas.openxmlformats.org/officeDocument/2006/relationships/hyperlink" Target="https://huggingface.co/made-with-clay/Clay" TargetMode="External"/><Relationship Id="rId5" Type="http://schemas.openxmlformats.org/officeDocument/2006/relationships/image" Target="media/image1.png"/><Relationship Id="rId15" Type="http://schemas.openxmlformats.org/officeDocument/2006/relationships/hyperlink" Target="https://www.mrlc.gov/data" TargetMode="External"/><Relationship Id="rId10" Type="http://schemas.openxmlformats.org/officeDocument/2006/relationships/hyperlink" Target="https://www.mrlc.gov/data" TargetMode="External"/><Relationship Id="rId4" Type="http://schemas.openxmlformats.org/officeDocument/2006/relationships/webSettings" Target="webSettings.xml"/><Relationship Id="rId9" Type="http://schemas.openxmlformats.org/officeDocument/2006/relationships/hyperlink" Target="https://earth-search.aws.element84.com/v1" TargetMode="External"/><Relationship Id="rId14" Type="http://schemas.openxmlformats.org/officeDocument/2006/relationships/hyperlink" Target="https://doi.org/10.1145/3557915.35610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1581</Words>
  <Characters>9015</Characters>
  <Application>Microsoft Office Word</Application>
  <DocSecurity>0</DocSecurity>
  <Lines>75</Lines>
  <Paragraphs>21</Paragraphs>
  <ScaleCrop>false</ScaleCrop>
  <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22</cp:revision>
  <cp:lastPrinted>2024-09-16T17:03:00Z</cp:lastPrinted>
  <dcterms:created xsi:type="dcterms:W3CDTF">2024-09-14T15:58:00Z</dcterms:created>
  <dcterms:modified xsi:type="dcterms:W3CDTF">2024-09-16T17:34:00Z</dcterms:modified>
</cp:coreProperties>
</file>