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360"/>
              <w:left w:type="dxa" w:w="400"/>
              <w:bottom w:type="dxa" w:w="320"/>
              <w:right w:type="dxa" w:w="400"/>
            </w:tcMar>
          </w:tcPr>
          <w:p>
            <w:pPr>
              <w:spacing w:after="60" w:before="0"/>
              <w:jc w:val="center"/>
            </w:pPr>
            <w:r>
              <w:rPr>
                <w:rFonts w:ascii="Arial" w:cs="Arial" w:eastAsia="Arial" w:hAnsi="Arial"/>
                <w:b/>
                <w:bCs/>
                <w:caps/>
                <w:color w:val="CC4444"/>
                <w:sz w:val="20"/>
                <w:szCs w:val="20"/>
              </w:rPr>
              <w:t xml:space="preserve">BD SKILLS TRAINING</w:t>
            </w:r>
          </w:p>
          <w:p>
            <w:pPr>
              <w:spacing w:after="80" w:before="0"/>
              <w:jc w:val="center"/>
            </w:pPr>
            <w:r>
              <w:rPr>
                <w:rFonts w:ascii="Arial" w:cs="Arial" w:eastAsia="Arial" w:hAnsi="Arial"/>
                <w:b/>
                <w:bCs/>
                <w:color w:val="FFFFFF"/>
                <w:sz w:val="40"/>
                <w:szCs w:val="40"/>
              </w:rPr>
              <w:t xml:space="preserve">Asking Better Questions</w:t>
            </w:r>
          </w:p>
          <w:p>
            <w:pPr>
              <w:spacing w:after="60" w:before="0"/>
              <w:jc w:val="center"/>
            </w:pPr>
            <w:r>
              <w:rPr>
                <w:rFonts w:ascii="Arial" w:cs="Arial" w:eastAsia="Arial" w:hAnsi="Arial"/>
                <w:color w:val="AAAAAA"/>
                <w:sz w:val="20"/>
                <w:szCs w:val="20"/>
              </w:rPr>
              <w:t xml:space="preserve">Facilitator Guide  •  BD Team Meeting  •  June 2026</w:t>
            </w:r>
          </w:p>
          <w:p>
            <w:pPr>
              <w:spacing w:after="0" w:before="0"/>
              <w:jc w:val="center"/>
            </w:pPr>
            <w:r>
              <w:rPr>
                <w:rFonts w:ascii="Arial" w:cs="Arial" w:eastAsia="Arial" w:hAnsi="Arial"/>
                <w:color w:val="888888"/>
                <w:sz w:val="18"/>
                <w:szCs w:val="18"/>
              </w:rPr>
              <w:t xml:space="preserve">University of Utah Health  |  Outreach &amp; Network Development Team</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16"/>
              <w:bottom w:val="single" w:color="CCCCCC" w:sz="1"/>
              <w:right w:val="single" w:color="CCCCCC" w:sz="1"/>
            </w:tcBorders>
            <w:shd w:fill="F5F5F5" w:val="clear"/>
            <w:tcMar>
              <w:top w:type="dxa" w:w="120"/>
              <w:left w:type="dxa" w:w="200"/>
              <w:bottom w:type="dxa" w:w="120"/>
              <w:right w:type="dxa" w:w="160"/>
            </w:tcMar>
          </w:tcPr>
          <w:p>
            <w:pPr>
              <w:spacing w:after="40" w:before="0"/>
            </w:pPr>
            <w:r>
              <w:rPr>
                <w:rFonts w:ascii="Arial" w:cs="Arial" w:eastAsia="Arial" w:hAnsi="Arial"/>
                <w:b/>
                <w:bCs/>
                <w:color w:val="444444"/>
                <w:sz w:val="20"/>
                <w:szCs w:val="20"/>
              </w:rPr>
              <w:t xml:space="preserve">Purpose of This Session</w:t>
            </w:r>
          </w:p>
          <w:p>
            <w:pPr>
              <w:spacing w:after="40" w:before="0"/>
            </w:pPr>
            <w:r>
              <w:rPr>
                <w:rFonts w:ascii="Arial" w:cs="Arial" w:eastAsia="Arial" w:hAnsi="Arial"/>
                <w:color w:val="222222"/>
                <w:sz w:val="22"/>
                <w:szCs w:val="22"/>
              </w:rPr>
              <w:t xml:space="preserve">Shift our field conversations from telling to asking. Better questions generate better intelligence, stronger relationships, and more referrals. This session focuses on two distinct audiences — PRCs in clinic settings and Market Managers in hospital leadership conversations — and gives each track concrete questions to walk out with.</w:t>
            </w:r>
          </w:p>
        </w:tc>
      </w:tr>
    </w:tbl>
    <w:p>
      <w:pPr>
        <w:spacing w:after="0" w:before="120"/>
      </w:pPr>
      <w:r>
        <w:t xml:space="preserve"/>
      </w:r>
    </w:p>
    <w:p>
      <w:pPr>
        <w:pStyle w:val="Heading1"/>
        <w:pBdr>
          <w:bottom w:val="single" w:color="CC0000" w:sz="8" w:space="4"/>
        </w:pBdr>
        <w:spacing w:after="120" w:before="320"/>
      </w:pPr>
      <w:r>
        <w:rPr>
          <w:rFonts w:ascii="Arial" w:cs="Arial" w:eastAsia="Arial" w:hAnsi="Arial"/>
          <w:b/>
          <w:bCs/>
          <w:color w:val="1A1A1A"/>
          <w:sz w:val="28"/>
          <w:szCs w:val="28"/>
        </w:rPr>
        <w:t xml:space="preserve">Session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8E8E8" w:val="clear"/>
            <w:tcMar>
              <w:top w:type="dxa" w:w="80"/>
              <w:left w:type="dxa" w:w="100"/>
              <w:bottom w:type="dxa" w:w="80"/>
              <w:right w:type="dxa" w:w="100"/>
            </w:tcMar>
          </w:tcPr>
          <w:p>
            <w:pPr>
              <w:jc w:val="center"/>
            </w:pPr>
            <w:r>
              <w:rPr>
                <w:rFonts w:ascii="Arial" w:cs="Arial" w:eastAsia="Arial" w:hAnsi="Arial"/>
                <w:b/>
                <w:bCs/>
                <w:color w:val="444444"/>
                <w:sz w:val="20"/>
                <w:szCs w:val="20"/>
              </w:rPr>
              <w:t xml:space="preserve">0–5 min</w:t>
            </w:r>
          </w:p>
        </w:tc>
        <w:tc>
          <w:tcPr>
            <w:tcW w:type="dxa" w:w="8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r>
              <w:rPr>
                <w:rFonts w:ascii="Arial" w:cs="Arial" w:eastAsia="Arial" w:hAnsi="Arial"/>
                <w:sz w:val="20"/>
                <w:szCs w:val="20"/>
              </w:rPr>
              <w:t xml:space="preserve">Opening: The mindset shift — from telling to asking</w:t>
            </w:r>
          </w:p>
        </w:tc>
      </w:tr>
      <w:tr>
        <w:tc>
          <w:tcPr>
            <w:tcW w:type="dxa" w:w="1200"/>
            <w:tcBorders>
              <w:top w:val="single" w:color="CCCCCC" w:sz="1"/>
              <w:left w:val="single" w:color="CCCCCC" w:sz="1"/>
              <w:bottom w:val="single" w:color="CCCCCC" w:sz="1"/>
              <w:right w:val="single" w:color="CCCCCC" w:sz="1"/>
            </w:tcBorders>
            <w:shd w:fill="E8E8E8" w:val="clear"/>
            <w:tcMar>
              <w:top w:type="dxa" w:w="80"/>
              <w:left w:type="dxa" w:w="100"/>
              <w:bottom w:type="dxa" w:w="80"/>
              <w:right w:type="dxa" w:w="100"/>
            </w:tcMar>
          </w:tcPr>
          <w:p>
            <w:pPr>
              <w:jc w:val="center"/>
            </w:pPr>
            <w:r>
              <w:rPr>
                <w:rFonts w:ascii="Arial" w:cs="Arial" w:eastAsia="Arial" w:hAnsi="Arial"/>
                <w:b/>
                <w:bCs/>
                <w:color w:val="444444"/>
                <w:sz w:val="20"/>
                <w:szCs w:val="20"/>
              </w:rPr>
              <w:t xml:space="preserve">5–10 min</w:t>
            </w:r>
          </w:p>
        </w:tc>
        <w:tc>
          <w:tcPr>
            <w:tcW w:type="dxa" w:w="8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r>
              <w:rPr>
                <w:rFonts w:ascii="Arial" w:cs="Arial" w:eastAsia="Arial" w:hAnsi="Arial"/>
                <w:sz w:val="20"/>
                <w:szCs w:val="20"/>
              </w:rPr>
              <w:t xml:space="preserve">Group discussion: Why questions are hard</w:t>
            </w:r>
          </w:p>
        </w:tc>
      </w:tr>
      <w:tr>
        <w:tc>
          <w:tcPr>
            <w:tcW w:type="dxa" w:w="1200"/>
            <w:tcBorders>
              <w:top w:val="single" w:color="CCCCCC" w:sz="1"/>
              <w:left w:val="single" w:color="CCCCCC" w:sz="1"/>
              <w:bottom w:val="single" w:color="CCCCCC" w:sz="1"/>
              <w:right w:val="single" w:color="CCCCCC" w:sz="1"/>
            </w:tcBorders>
            <w:shd w:fill="E8E8E8" w:val="clear"/>
            <w:tcMar>
              <w:top w:type="dxa" w:w="80"/>
              <w:left w:type="dxa" w:w="100"/>
              <w:bottom w:type="dxa" w:w="80"/>
              <w:right w:type="dxa" w:w="100"/>
            </w:tcMar>
          </w:tcPr>
          <w:p>
            <w:pPr>
              <w:jc w:val="center"/>
            </w:pPr>
            <w:r>
              <w:rPr>
                <w:rFonts w:ascii="Arial" w:cs="Arial" w:eastAsia="Arial" w:hAnsi="Arial"/>
                <w:b/>
                <w:bCs/>
                <w:color w:val="444444"/>
                <w:sz w:val="20"/>
                <w:szCs w:val="20"/>
              </w:rPr>
              <w:t xml:space="preserve">10–25 min</w:t>
            </w:r>
          </w:p>
        </w:tc>
        <w:tc>
          <w:tcPr>
            <w:tcW w:type="dxa" w:w="8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r>
              <w:rPr>
                <w:rFonts w:ascii="Arial" w:cs="Arial" w:eastAsia="Arial" w:hAnsi="Arial"/>
                <w:sz w:val="20"/>
                <w:szCs w:val="20"/>
              </w:rPr>
              <w:t xml:space="preserve">PRCs: Clinic visits, referring providers &amp; clinic managers</w:t>
            </w:r>
          </w:p>
        </w:tc>
      </w:tr>
      <w:tr>
        <w:tc>
          <w:tcPr>
            <w:tcW w:type="dxa" w:w="1200"/>
            <w:tcBorders>
              <w:top w:val="single" w:color="CCCCCC" w:sz="1"/>
              <w:left w:val="single" w:color="CCCCCC" w:sz="1"/>
              <w:bottom w:val="single" w:color="CCCCCC" w:sz="1"/>
              <w:right w:val="single" w:color="CCCCCC" w:sz="1"/>
            </w:tcBorders>
            <w:shd w:fill="E8E8E8" w:val="clear"/>
            <w:tcMar>
              <w:top w:type="dxa" w:w="80"/>
              <w:left w:type="dxa" w:w="100"/>
              <w:bottom w:type="dxa" w:w="80"/>
              <w:right w:type="dxa" w:w="100"/>
            </w:tcMar>
          </w:tcPr>
          <w:p>
            <w:pPr>
              <w:jc w:val="center"/>
            </w:pPr>
            <w:r>
              <w:rPr>
                <w:rFonts w:ascii="Arial" w:cs="Arial" w:eastAsia="Arial" w:hAnsi="Arial"/>
                <w:b/>
                <w:bCs/>
                <w:color w:val="444444"/>
                <w:sz w:val="20"/>
                <w:szCs w:val="20"/>
              </w:rPr>
              <w:t xml:space="preserve">25–40 min</w:t>
            </w:r>
          </w:p>
        </w:tc>
        <w:tc>
          <w:tcPr>
            <w:tcW w:type="dxa" w:w="8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r>
              <w:rPr>
                <w:rFonts w:ascii="Arial" w:cs="Arial" w:eastAsia="Arial" w:hAnsi="Arial"/>
                <w:sz w:val="20"/>
                <w:szCs w:val="20"/>
              </w:rPr>
              <w:t xml:space="preserve">Market Managers: Hospital leadership &amp; administration</w:t>
            </w:r>
          </w:p>
        </w:tc>
      </w:tr>
      <w:tr>
        <w:tc>
          <w:tcPr>
            <w:tcW w:type="dxa" w:w="1200"/>
            <w:tcBorders>
              <w:top w:val="single" w:color="CCCCCC" w:sz="1"/>
              <w:left w:val="single" w:color="CCCCCC" w:sz="1"/>
              <w:bottom w:val="single" w:color="CCCCCC" w:sz="1"/>
              <w:right w:val="single" w:color="CCCCCC" w:sz="1"/>
            </w:tcBorders>
            <w:shd w:fill="E8E8E8" w:val="clear"/>
            <w:tcMar>
              <w:top w:type="dxa" w:w="80"/>
              <w:left w:type="dxa" w:w="100"/>
              <w:bottom w:type="dxa" w:w="80"/>
              <w:right w:type="dxa" w:w="100"/>
            </w:tcMar>
          </w:tcPr>
          <w:p>
            <w:pPr>
              <w:jc w:val="center"/>
            </w:pPr>
            <w:r>
              <w:rPr>
                <w:rFonts w:ascii="Arial" w:cs="Arial" w:eastAsia="Arial" w:hAnsi="Arial"/>
                <w:b/>
                <w:bCs/>
                <w:color w:val="444444"/>
                <w:sz w:val="20"/>
                <w:szCs w:val="20"/>
              </w:rPr>
              <w:t xml:space="preserve">40–50 min</w:t>
            </w:r>
          </w:p>
        </w:tc>
        <w:tc>
          <w:tcPr>
            <w:tcW w:type="dxa" w:w="8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r>
              <w:rPr>
                <w:rFonts w:ascii="Arial" w:cs="Arial" w:eastAsia="Arial" w:hAnsi="Arial"/>
                <w:sz w:val="20"/>
                <w:szCs w:val="20"/>
              </w:rPr>
              <w:t xml:space="preserve">Quick practice: Pair role play + debrief</w:t>
            </w:r>
          </w:p>
        </w:tc>
      </w:tr>
      <w:tr>
        <w:tc>
          <w:tcPr>
            <w:tcW w:type="dxa" w:w="1200"/>
            <w:tcBorders>
              <w:top w:val="single" w:color="CCCCCC" w:sz="1"/>
              <w:left w:val="single" w:color="CCCCCC" w:sz="1"/>
              <w:bottom w:val="single" w:color="CCCCCC" w:sz="1"/>
              <w:right w:val="single" w:color="CCCCCC" w:sz="1"/>
            </w:tcBorders>
            <w:shd w:fill="E8E8E8" w:val="clear"/>
            <w:tcMar>
              <w:top w:type="dxa" w:w="80"/>
              <w:left w:type="dxa" w:w="100"/>
              <w:bottom w:type="dxa" w:w="80"/>
              <w:right w:type="dxa" w:w="100"/>
            </w:tcMar>
          </w:tcPr>
          <w:p>
            <w:pPr>
              <w:jc w:val="center"/>
            </w:pPr>
            <w:r>
              <w:rPr>
                <w:rFonts w:ascii="Arial" w:cs="Arial" w:eastAsia="Arial" w:hAnsi="Arial"/>
                <w:b/>
                <w:bCs/>
                <w:color w:val="444444"/>
                <w:sz w:val="20"/>
                <w:szCs w:val="20"/>
              </w:rPr>
              <w:t xml:space="preserve">50–60 min</w:t>
            </w:r>
          </w:p>
        </w:tc>
        <w:tc>
          <w:tcPr>
            <w:tcW w:type="dxa" w:w="8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r>
              <w:rPr>
                <w:rFonts w:ascii="Arial" w:cs="Arial" w:eastAsia="Arial" w:hAnsi="Arial"/>
                <w:sz w:val="20"/>
                <w:szCs w:val="20"/>
              </w:rPr>
              <w:t xml:space="preserve">Commitments: One question you’ll use this week</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C0000" w:val="clear"/>
            <w:tcMar>
              <w:top w:type="dxa" w:w="180"/>
              <w:left w:type="dxa" w:w="240"/>
              <w:bottom w:type="dxa" w:w="180"/>
              <w:right w:type="dxa" w:w="240"/>
            </w:tcMar>
          </w:tcPr>
          <w:p>
            <w:pPr>
              <w:spacing w:after="40" w:before="0"/>
              <w:jc w:val="center"/>
            </w:pPr>
            <w:r>
              <w:rPr>
                <w:rFonts w:ascii="Arial" w:cs="Arial" w:eastAsia="Arial" w:hAnsi="Arial"/>
                <w:b/>
                <w:bCs/>
                <w:color w:val="FFFFFF"/>
                <w:sz w:val="28"/>
                <w:szCs w:val="28"/>
              </w:rPr>
              <w:t xml:space="preserve">OPENING</w:t>
            </w:r>
          </w:p>
          <w:p>
            <w:pPr>
              <w:spacing w:after="0" w:before="0"/>
              <w:jc w:val="center"/>
            </w:pPr>
            <w:r>
              <w:rPr>
                <w:rFonts w:ascii="Arial" w:cs="Arial" w:eastAsia="Arial" w:hAnsi="Arial"/>
                <w:color w:val="FFD0D0"/>
                <w:sz w:val="20"/>
                <w:szCs w:val="20"/>
              </w:rPr>
              <w:t xml:space="preserve">The Mindset Shift • 5 Minutes</w:t>
            </w:r>
          </w:p>
        </w:tc>
      </w:tr>
    </w:tbl>
    <w:p>
      <w:pPr>
        <w:spacing w:after="0" w:before="120"/>
      </w:pPr>
      <w:r>
        <w:t xml:space="preserve"/>
      </w:r>
    </w:p>
    <w:p>
      <w:pPr>
        <w:pStyle w:val="Heading2"/>
        <w:spacing w:after="80" w:before="240"/>
      </w:pPr>
      <w:r>
        <w:rPr>
          <w:rFonts w:ascii="Arial" w:cs="Arial" w:eastAsia="Arial" w:hAnsi="Arial"/>
          <w:b/>
          <w:bCs/>
          <w:color w:val="CC0000"/>
          <w:sz w:val="24"/>
          <w:szCs w:val="24"/>
        </w:rPr>
        <w:t xml:space="preserve">From Telling to Asking</w:t>
      </w:r>
    </w:p>
    <w:p>
      <w:pPr>
        <w:spacing w:after="60" w:before="60"/>
      </w:pPr>
      <w:r>
        <w:rPr>
          <w:rFonts w:ascii="Arial" w:cs="Arial" w:eastAsia="Arial" w:hAnsi="Arial"/>
          <w:sz w:val="22"/>
          <w:szCs w:val="22"/>
        </w:rPr>
        <w:t xml:space="preserve">Every BD conversation either builds the map or it doesn’t. The difference between a productive visit and a wasted one is almost never about what you said — it’s about what you asked.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16"/>
              <w:bottom w:val="single" w:color="CCCCCC" w:sz="1"/>
              <w:right w:val="single" w:color="CCCCCC" w:sz="1"/>
            </w:tcBorders>
            <w:shd w:fill="F5F5F5" w:val="clear"/>
            <w:tcMar>
              <w:top w:type="dxa" w:w="120"/>
              <w:left w:type="dxa" w:w="200"/>
              <w:bottom w:type="dxa" w:w="120"/>
              <w:right w:type="dxa" w:w="160"/>
            </w:tcMar>
          </w:tcPr>
          <w:p>
            <w:pPr>
              <w:spacing w:after="40" w:before="0"/>
            </w:pPr>
            <w:r>
              <w:rPr>
                <w:rFonts w:ascii="Arial" w:cs="Arial" w:eastAsia="Arial" w:hAnsi="Arial"/>
                <w:b/>
                <w:bCs/>
                <w:color w:val="444444"/>
                <w:sz w:val="20"/>
                <w:szCs w:val="20"/>
              </w:rPr>
              <w:t xml:space="preserve">The Rice Farmer (Ancient Chinese Proverb, Song Dynasty)</w:t>
            </w:r>
          </w:p>
          <w:p>
            <w:pPr>
              <w:spacing w:after="40" w:before="0"/>
            </w:pPr>
            <w:r>
              <w:rPr>
                <w:rFonts w:ascii="Arial" w:cs="Arial" w:eastAsia="Arial" w:hAnsi="Arial"/>
                <w:color w:val="222222"/>
                <w:sz w:val="22"/>
                <w:szCs w:val="22"/>
              </w:rPr>
              <w:t xml:space="preserve">A farmer notices his rice isn’t growing fast enough. He decides to help — pulling each rice shoot slightly higher so the roots come up in the soil. He works through the entire day. That night, he goes to sleep satisfied. The next morning, all his rice has withered and died.</w:t>
            </w:r>
          </w:p>
        </w:tc>
      </w:tr>
    </w:tbl>
    <w:p>
      <w:pPr>
        <w:spacing w:after="0" w:before="60"/>
      </w:pPr>
      <w:r>
        <w:t xml:space="preserve"/>
      </w:r>
    </w:p>
    <w:p>
      <w:pPr>
        <w:spacing w:after="60" w:before="60"/>
      </w:pPr>
      <w:r>
        <w:rPr>
          <w:rFonts w:ascii="Arial" w:cs="Arial" w:eastAsia="Arial" w:hAnsi="Arial"/>
          <w:i/>
          <w:iCs/>
          <w:sz w:val="22"/>
          <w:szCs w:val="22"/>
        </w:rPr>
        <w:t xml:space="preserve">Parallel for BD: We can stay very busy — lots of visits, lots of collateral, lots of talking. But are we doing the right work? If we’re not asking the right questions, if we’re going through the motions rather than understanding needs, we’re pulling up rice shoots. Activity without intelligence isn’t BD. It’s performance.</w:t>
      </w:r>
    </w:p>
    <w:p>
      <w:pPr>
        <w:spacing w:after="0" w:before="120"/>
      </w:pPr>
      <w:r>
        <w:t xml:space="preserve"/>
      </w:r>
    </w:p>
    <w:p>
      <w:pPr>
        <w:pStyle w:val="Heading2"/>
        <w:spacing w:after="80" w:before="240"/>
      </w:pPr>
      <w:r>
        <w:rPr>
          <w:rFonts w:ascii="Arial" w:cs="Arial" w:eastAsia="Arial" w:hAnsi="Arial"/>
          <w:b/>
          <w:bCs/>
          <w:color w:val="CC0000"/>
          <w:sz w:val="24"/>
          <w:szCs w:val="24"/>
        </w:rPr>
        <w:t xml:space="preserve">Transactional vs. Relationship Selling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0F0" w:val="clear"/>
            <w:tcMar>
              <w:top w:type="dxa" w:w="120"/>
              <w:left w:type="dxa" w:w="160"/>
              <w:bottom w:type="dxa" w:w="120"/>
              <w:right w:type="dxa" w:w="160"/>
            </w:tcMar>
          </w:tcPr>
          <w:p>
            <w:pPr>
              <w:spacing w:after="80" w:before="0"/>
            </w:pPr>
            <w:r>
              <w:rPr>
                <w:rFonts w:ascii="Arial" w:cs="Arial" w:eastAsia="Arial" w:hAnsi="Arial"/>
                <w:b/>
                <w:bCs/>
                <w:color w:val="CC0000"/>
                <w:sz w:val="20"/>
                <w:szCs w:val="20"/>
              </w:rPr>
              <w:t xml:space="preserve">Transactional (move away from this)</w:t>
            </w:r>
          </w:p>
          <w:p>
            <w:pPr>
              <w:pStyle w:val="ListParagraph"/>
              <w:numPr>
                <w:ilvl w:val="0"/>
                <w:numId w:val="2"/>
              </w:numPr>
              <w:spacing w:after="30" w:before="30"/>
            </w:pPr>
            <w:r>
              <w:rPr>
                <w:rFonts w:ascii="Arial" w:cs="Arial" w:eastAsia="Arial" w:hAnsi="Arial"/>
                <w:sz w:val="20"/>
                <w:szCs w:val="20"/>
              </w:rPr>
              <w:t xml:space="preserve">Walking in to pitch a service line</w:t>
            </w:r>
          </w:p>
          <w:p>
            <w:pPr>
              <w:pStyle w:val="ListParagraph"/>
              <w:numPr>
                <w:ilvl w:val="0"/>
                <w:numId w:val="2"/>
              </w:numPr>
              <w:spacing w:after="30" w:before="30"/>
            </w:pPr>
            <w:r>
              <w:rPr>
                <w:rFonts w:ascii="Arial" w:cs="Arial" w:eastAsia="Arial" w:hAnsi="Arial"/>
                <w:sz w:val="20"/>
                <w:szCs w:val="20"/>
              </w:rPr>
              <w:t xml:space="preserve">Focused on this interaction only</w:t>
            </w:r>
          </w:p>
          <w:p>
            <w:pPr>
              <w:pStyle w:val="ListParagraph"/>
              <w:numPr>
                <w:ilvl w:val="0"/>
                <w:numId w:val="2"/>
              </w:numPr>
              <w:spacing w:after="30" w:before="30"/>
            </w:pPr>
            <w:r>
              <w:rPr>
                <w:rFonts w:ascii="Arial" w:cs="Arial" w:eastAsia="Arial" w:hAnsi="Arial"/>
                <w:sz w:val="20"/>
                <w:szCs w:val="20"/>
              </w:rPr>
              <w:t xml:space="preserve">Success = getting the referral today</w:t>
            </w:r>
          </w:p>
          <w:p>
            <w:pPr>
              <w:pStyle w:val="ListParagraph"/>
              <w:numPr>
                <w:ilvl w:val="0"/>
                <w:numId w:val="2"/>
              </w:numPr>
              <w:spacing w:after="30" w:before="30"/>
            </w:pPr>
            <w:r>
              <w:rPr>
                <w:rFonts w:ascii="Arial" w:cs="Arial" w:eastAsia="Arial" w:hAnsi="Arial"/>
                <w:sz w:val="20"/>
                <w:szCs w:val="20"/>
              </w:rPr>
              <w:t xml:space="preserve">Handing collateral and leaving</w:t>
            </w:r>
          </w:p>
          <w:p>
            <w:pPr>
              <w:pStyle w:val="ListParagraph"/>
              <w:numPr>
                <w:ilvl w:val="0"/>
                <w:numId w:val="2"/>
              </w:numPr>
              <w:spacing w:after="30" w:before="30"/>
            </w:pPr>
            <w:r>
              <w:rPr>
                <w:rFonts w:ascii="Arial" w:cs="Arial" w:eastAsia="Arial" w:hAnsi="Arial"/>
                <w:sz w:val="20"/>
                <w:szCs w:val="20"/>
              </w:rPr>
              <w:t xml:space="preserve">Telling the provider what you offer</w:t>
            </w:r>
          </w:p>
        </w:tc>
        <w:tc>
          <w:tcPr>
            <w:tcW w:type="dxa" w:w="4680"/>
            <w:tcBorders>
              <w:top w:val="single" w:color="CCCCCC" w:sz="1"/>
              <w:left w:val="single" w:color="CCCCCC" w:sz="1"/>
              <w:bottom w:val="single" w:color="CCCCCC" w:sz="1"/>
              <w:right w:val="single" w:color="CCCCCC" w:sz="1"/>
            </w:tcBorders>
            <w:shd w:fill="F0F7EC" w:val="clear"/>
            <w:tcMar>
              <w:top w:type="dxa" w:w="120"/>
              <w:left w:type="dxa" w:w="160"/>
              <w:bottom w:type="dxa" w:w="120"/>
              <w:right w:type="dxa" w:w="160"/>
            </w:tcMar>
          </w:tcPr>
          <w:p>
            <w:pPr>
              <w:spacing w:after="80" w:before="0"/>
            </w:pPr>
            <w:r>
              <w:rPr>
                <w:rFonts w:ascii="Arial" w:cs="Arial" w:eastAsia="Arial" w:hAnsi="Arial"/>
                <w:b/>
                <w:bCs/>
                <w:color w:val="4E7C2B"/>
                <w:sz w:val="20"/>
                <w:szCs w:val="20"/>
              </w:rPr>
              <w:t xml:space="preserve">Consultative (where we’re going)</w:t>
            </w:r>
          </w:p>
          <w:p>
            <w:pPr>
              <w:pStyle w:val="ListParagraph"/>
              <w:numPr>
                <w:ilvl w:val="0"/>
                <w:numId w:val="2"/>
              </w:numPr>
              <w:spacing w:after="30" w:before="30"/>
            </w:pPr>
            <w:r>
              <w:rPr>
                <w:rFonts w:ascii="Arial" w:cs="Arial" w:eastAsia="Arial" w:hAnsi="Arial"/>
                <w:sz w:val="20"/>
                <w:szCs w:val="20"/>
              </w:rPr>
              <w:t xml:space="preserve">Walking in to understand their world</w:t>
            </w:r>
          </w:p>
          <w:p>
            <w:pPr>
              <w:pStyle w:val="ListParagraph"/>
              <w:numPr>
                <w:ilvl w:val="0"/>
                <w:numId w:val="2"/>
              </w:numPr>
              <w:spacing w:after="30" w:before="30"/>
            </w:pPr>
            <w:r>
              <w:rPr>
                <w:rFonts w:ascii="Arial" w:cs="Arial" w:eastAsia="Arial" w:hAnsi="Arial"/>
                <w:sz w:val="20"/>
                <w:szCs w:val="20"/>
              </w:rPr>
              <w:t xml:space="preserve">Focused on long-term trust</w:t>
            </w:r>
          </w:p>
          <w:p>
            <w:pPr>
              <w:pStyle w:val="ListParagraph"/>
              <w:numPr>
                <w:ilvl w:val="0"/>
                <w:numId w:val="2"/>
              </w:numPr>
              <w:spacing w:after="30" w:before="30"/>
            </w:pPr>
            <w:r>
              <w:rPr>
                <w:rFonts w:ascii="Arial" w:cs="Arial" w:eastAsia="Arial" w:hAnsi="Arial"/>
                <w:sz w:val="20"/>
                <w:szCs w:val="20"/>
              </w:rPr>
              <w:t xml:space="preserve">Success = earning consistent loyalty</w:t>
            </w:r>
          </w:p>
          <w:p>
            <w:pPr>
              <w:pStyle w:val="ListParagraph"/>
              <w:numPr>
                <w:ilvl w:val="0"/>
                <w:numId w:val="2"/>
              </w:numPr>
              <w:spacing w:after="30" w:before="30"/>
            </w:pPr>
            <w:r>
              <w:rPr>
                <w:rFonts w:ascii="Arial" w:cs="Arial" w:eastAsia="Arial" w:hAnsi="Arial"/>
                <w:sz w:val="20"/>
                <w:szCs w:val="20"/>
              </w:rPr>
              <w:t xml:space="preserve">Asking questions and actually listening</w:t>
            </w:r>
          </w:p>
          <w:p>
            <w:pPr>
              <w:pStyle w:val="ListParagraph"/>
              <w:numPr>
                <w:ilvl w:val="0"/>
                <w:numId w:val="2"/>
              </w:numPr>
              <w:spacing w:after="30" w:before="30"/>
            </w:pPr>
            <w:r>
              <w:rPr>
                <w:rFonts w:ascii="Arial" w:cs="Arial" w:eastAsia="Arial" w:hAnsi="Arial"/>
                <w:sz w:val="20"/>
                <w:szCs w:val="20"/>
              </w:rPr>
              <w:t xml:space="preserve">Following the patient, not pitching the service</w:t>
            </w:r>
          </w:p>
        </w:tc>
      </w:tr>
    </w:tbl>
    <w:p>
      <w:pPr>
        <w:spacing w:after="0" w:before="100"/>
      </w:pPr>
      <w:r>
        <w:t xml:space="preserve"/>
      </w:r>
    </w:p>
    <w:p>
      <w:pPr>
        <w:spacing w:after="60" w:before="60"/>
      </w:pPr>
      <w:r>
        <w:rPr>
          <w:rFonts w:ascii="Arial" w:cs="Arial" w:eastAsia="Arial" w:hAnsi="Arial"/>
          <w:i/>
          <w:iCs/>
          <w:color w:val="555555"/>
          <w:sz w:val="22"/>
          <w:szCs w:val="22"/>
        </w:rPr>
        <w:t xml:space="preserve">From the conference: “I don’t do transactional sales. I am a needs-based, relationship-developing person — to my toes.” — Tricia Anderson, 25+ years physician relations</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0AD47" w:sz="16"/>
              <w:bottom w:val="single" w:color="CCCCCC" w:sz="1"/>
              <w:right w:val="single" w:color="CCCCCC" w:sz="1"/>
            </w:tcBorders>
            <w:shd w:fill="F0F7EC" w:val="clear"/>
            <w:tcMar>
              <w:top w:type="dxa" w:w="100"/>
              <w:left w:type="dxa" w:w="200"/>
              <w:bottom w:type="dxa" w:w="100"/>
              <w:right w:type="dxa" w:w="160"/>
            </w:tcMar>
          </w:tcPr>
          <w:p>
            <w:pPr>
              <w:spacing w:after="40" w:before="0"/>
            </w:pPr>
            <w:r>
              <w:rPr>
                <w:rFonts w:ascii="Arial" w:cs="Arial" w:eastAsia="Arial" w:hAnsi="Arial"/>
                <w:b/>
                <w:bCs/>
                <w:color w:val="4E7C2B"/>
                <w:sz w:val="18"/>
                <w:szCs w:val="18"/>
              </w:rPr>
              <w:t xml:space="preserve">GROUP DISCUSSION</w:t>
            </w:r>
          </w:p>
          <w:p>
            <w:pPr>
              <w:spacing w:after="0" w:before="0"/>
            </w:pPr>
            <w:r>
              <w:rPr>
                <w:rFonts w:ascii="Arial" w:cs="Arial" w:eastAsia="Arial" w:hAnsi="Arial"/>
                <w:color w:val="222222"/>
                <w:sz w:val="22"/>
                <w:szCs w:val="22"/>
              </w:rPr>
              <w:t xml:space="preserve">Think of a time you sensed something was off with a partner — external or internal — but didn’t push into it. What stopped you? Fear of damaging the relationship? Not having the words? Not seeing it as a signal worth acting on?</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single" w:color="4472C4" w:sz="16"/>
              <w:bottom w:val="single" w:color="CCCCCC" w:sz="1"/>
              <w:right w:val="single" w:color="CCCCCC" w:sz="1"/>
            </w:tcBorders>
            <w:shd w:fill="EEF4FB" w:val="clear"/>
            <w:tcMar>
              <w:top w:type="dxa" w:w="120"/>
              <w:left w:type="dxa" w:w="200"/>
              <w:bottom w:type="dxa" w:w="120"/>
              <w:right w:type="dxa" w:w="160"/>
            </w:tcMar>
          </w:tcPr>
          <w:p>
            <w:pPr>
              <w:spacing w:after="40" w:before="0"/>
            </w:pPr>
            <w:r>
              <w:rPr>
                <w:rFonts w:ascii="Arial" w:cs="Arial" w:eastAsia="Arial" w:hAnsi="Arial"/>
                <w:b/>
                <w:bCs/>
                <w:color w:val="4472C4"/>
                <w:sz w:val="20"/>
                <w:szCs w:val="20"/>
              </w:rPr>
              <w:t xml:space="preserve">Core Principle</w:t>
            </w:r>
          </w:p>
          <w:p>
            <w:pPr>
              <w:spacing w:after="40" w:before="0"/>
            </w:pPr>
            <w:r>
              <w:rPr>
                <w:rFonts w:ascii="Arial" w:cs="Arial" w:eastAsia="Arial" w:hAnsi="Arial"/>
                <w:color w:val="222222"/>
                <w:sz w:val="22"/>
                <w:szCs w:val="22"/>
              </w:rPr>
              <w:t xml:space="preserve">Asking questions is an expertise, not a hesitation. Natural curiosity and the ability to read the room are two of the most essential skills in this role. Most of what we need to know can only be learned by asking — no data source can give it to us.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C0000" w:val="clear"/>
            <w:tcMar>
              <w:top w:type="dxa" w:w="180"/>
              <w:left w:type="dxa" w:w="240"/>
              <w:bottom w:type="dxa" w:w="180"/>
              <w:right w:type="dxa" w:w="240"/>
            </w:tcMar>
          </w:tcPr>
          <w:p>
            <w:pPr>
              <w:spacing w:after="40" w:before="0"/>
              <w:jc w:val="center"/>
            </w:pPr>
            <w:r>
              <w:rPr>
                <w:rFonts w:ascii="Arial" w:cs="Arial" w:eastAsia="Arial" w:hAnsi="Arial"/>
                <w:b/>
                <w:bCs/>
                <w:color w:val="FFFFFF"/>
                <w:sz w:val="28"/>
                <w:szCs w:val="28"/>
              </w:rPr>
              <w:t xml:space="preserve">TRACK 1: PRCs</w:t>
            </w:r>
          </w:p>
          <w:p>
            <w:pPr>
              <w:spacing w:after="0" w:before="0"/>
              <w:jc w:val="center"/>
            </w:pPr>
            <w:r>
              <w:rPr>
                <w:rFonts w:ascii="Arial" w:cs="Arial" w:eastAsia="Arial" w:hAnsi="Arial"/>
                <w:color w:val="FFD0D0"/>
                <w:sz w:val="20"/>
                <w:szCs w:val="20"/>
              </w:rPr>
              <w:t xml:space="preserve">Clinics • Referring Providers • Clinic Managers • 15 Minutes</w:t>
            </w:r>
          </w:p>
        </w:tc>
      </w:tr>
    </w:tbl>
    <w:p>
      <w:pPr>
        <w:spacing w:after="0" w:before="120"/>
      </w:pPr>
      <w:r>
        <w:t xml:space="preserve"/>
      </w:r>
    </w:p>
    <w:p>
      <w:pPr>
        <w:pStyle w:val="Heading2"/>
        <w:spacing w:after="80" w:before="240"/>
      </w:pPr>
      <w:r>
        <w:rPr>
          <w:rFonts w:ascii="Arial" w:cs="Arial" w:eastAsia="Arial" w:hAnsi="Arial"/>
          <w:b/>
          <w:bCs/>
          <w:color w:val="CC0000"/>
          <w:sz w:val="24"/>
          <w:szCs w:val="24"/>
        </w:rPr>
        <w:t xml:space="preserve">The Context</w:t>
      </w:r>
    </w:p>
    <w:p>
      <w:pPr>
        <w:spacing w:after="60" w:before="60"/>
      </w:pPr>
      <w:r>
        <w:rPr>
          <w:rFonts w:ascii="Arial" w:cs="Arial" w:eastAsia="Arial" w:hAnsi="Arial"/>
          <w:sz w:val="22"/>
          <w:szCs w:val="22"/>
        </w:rPr>
        <w:t xml:space="preserve">PRCs are in the Execution layer. By the time you walk in the door, you should have a hypothesis about what’s going on. Your job in the office is to test that hypothesis, build the relationship, and gather intelligence no data source can give you.</w:t>
      </w:r>
    </w:p>
    <w:p>
      <w:pPr>
        <w:spacing w:after="0" w:before="60"/>
      </w:pPr>
      <w:r>
        <w:t xml:space="preserve"/>
      </w:r>
    </w:p>
    <w:p>
      <w:pPr>
        <w:spacing w:after="60" w:before="60"/>
      </w:pPr>
      <w:r>
        <w:rPr>
          <w:rFonts w:ascii="Arial" w:cs="Arial" w:eastAsia="Arial" w:hAnsi="Arial"/>
          <w:sz w:val="22"/>
          <w:szCs w:val="22"/>
        </w:rPr>
        <w:t xml:space="preserve">Key reminder: Different people in the same office have different needs. The physician wants the best care for their patient. The office manager wants things to run smoothly. The referral coordinator wants the process to be simple. Uncover the needs of all three.</w:t>
      </w:r>
    </w:p>
    <w:p>
      <w:pPr>
        <w:spacing w:after="0" w:before="120"/>
      </w:pPr>
      <w:r>
        <w:t xml:space="preserve"/>
      </w:r>
    </w:p>
    <w:p>
      <w:pPr>
        <w:pStyle w:val="Heading2"/>
        <w:spacing w:after="80" w:before="240"/>
      </w:pPr>
      <w:r>
        <w:rPr>
          <w:rFonts w:ascii="Arial" w:cs="Arial" w:eastAsia="Arial" w:hAnsi="Arial"/>
          <w:b/>
          <w:bCs/>
          <w:color w:val="CC0000"/>
          <w:sz w:val="24"/>
          <w:szCs w:val="24"/>
        </w:rPr>
        <w:t xml:space="preserve">The Question Progression</w:t>
      </w:r>
    </w:p>
    <w:p>
      <w:pPr>
        <w:spacing w:after="60" w:before="60"/>
      </w:pPr>
      <w:r>
        <w:rPr>
          <w:rFonts w:ascii="Arial" w:cs="Arial" w:eastAsia="Arial" w:hAnsi="Arial"/>
          <w:sz w:val="22"/>
          <w:szCs w:val="22"/>
        </w:rPr>
        <w:t xml:space="preserve">Move through these stages in order. Each stage earns the right to ask the next. Jump to Stage 5 first and you’re a salesperson. Arrive there naturally and you’re a consultant.</w:t>
      </w:r>
    </w:p>
    <w:p>
      <w:pPr>
        <w:spacing w:after="0" w:before="80"/>
      </w:pPr>
      <w:r>
        <w:t xml:space="preserve"/>
      </w:r>
    </w:p>
    <w:p>
      <w:pPr>
        <w:spacing w:after="60" w:before="180"/>
      </w:pPr>
      <w:r>
        <w:rPr>
          <w:rFonts w:ascii="Arial" w:cs="Arial" w:eastAsia="Arial" w:hAnsi="Arial"/>
          <w:b/>
          <w:bCs/>
          <w:color w:val="1A1A1A"/>
          <w:sz w:val="22"/>
          <w:szCs w:val="22"/>
        </w:rPr>
        <w:t xml:space="preserve">Stage 1 — Start Broad: Understand Their World</w:t>
      </w:r>
    </w:p>
    <w:p>
      <w:pPr>
        <w:spacing w:after="60" w:before="60"/>
      </w:pPr>
      <w:r>
        <w:rPr>
          <w:rFonts w:ascii="Arial" w:cs="Arial" w:eastAsia="Arial" w:hAnsi="Arial"/>
          <w:sz w:val="22"/>
          <w:szCs w:val="22"/>
        </w:rPr>
        <w:t xml:space="preserve">Signal that you’re here to learn, not pitch. Build rapport before you ask anything specific.</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4472C4" w:sz="16"/>
              <w:bottom w:val="single" w:color="CCCCCC" w:sz="1"/>
              <w:right w:val="single" w:color="CCCCCC" w:sz="1"/>
            </w:tcBorders>
            <w:shd w:fill="EEF4FB" w:val="clear"/>
            <w:tcMar>
              <w:top w:type="dxa" w:w="100"/>
              <w:left w:type="dxa" w:w="200"/>
              <w:bottom w:type="dxa" w:w="100"/>
              <w:right w:type="dxa" w:w="160"/>
            </w:tcMar>
          </w:tcPr>
          <w:p>
            <w:pPr>
              <w:spacing w:after="60" w:before="0"/>
            </w:pPr>
            <w:r>
              <w:rPr>
                <w:rFonts w:ascii="Arial" w:cs="Arial" w:eastAsia="Arial" w:hAnsi="Arial"/>
                <w:i/>
                <w:iCs/>
                <w:color w:val="1A1A1A"/>
                <w:sz w:val="22"/>
                <w:szCs w:val="22"/>
              </w:rPr>
              <w:t xml:space="preserve">“Tell me about your practice — what does a typical day look like for you?”</w:t>
            </w:r>
          </w:p>
          <w:p>
            <w:pPr>
              <w:spacing w:after="0" w:before="0"/>
            </w:pPr>
            <w:r>
              <w:rPr>
                <w:rFonts w:ascii="Arial" w:cs="Arial" w:eastAsia="Arial" w:hAnsi="Arial"/>
                <w:b/>
                <w:bCs/>
                <w:color w:val="555555"/>
                <w:sz w:val="20"/>
                <w:szCs w:val="20"/>
              </w:rPr>
              <w:t xml:space="preserve">Why it works: </w:t>
            </w:r>
            <w:r>
              <w:rPr>
                <w:rFonts w:ascii="Arial" w:cs="Arial" w:eastAsia="Arial" w:hAnsi="Arial"/>
                <w:color w:val="555555"/>
                <w:sz w:val="20"/>
                <w:szCs w:val="20"/>
              </w:rPr>
              <w:t xml:space="preserve">Establishes you as someone who listens before talking. Often reveals constraints and frustrations that wouldn’t come up in a structured conversation.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4472C4" w:sz="16"/>
              <w:bottom w:val="single" w:color="CCCCCC" w:sz="1"/>
              <w:right w:val="single" w:color="CCCCCC" w:sz="1"/>
            </w:tcBorders>
            <w:shd w:fill="EEF4FB" w:val="clear"/>
            <w:tcMar>
              <w:top w:type="dxa" w:w="100"/>
              <w:left w:type="dxa" w:w="200"/>
              <w:bottom w:type="dxa" w:w="100"/>
              <w:right w:type="dxa" w:w="160"/>
            </w:tcMar>
          </w:tcPr>
          <w:p>
            <w:pPr>
              <w:spacing w:after="60" w:before="0"/>
            </w:pPr>
            <w:r>
              <w:rPr>
                <w:rFonts w:ascii="Arial" w:cs="Arial" w:eastAsia="Arial" w:hAnsi="Arial"/>
                <w:i/>
                <w:iCs/>
                <w:color w:val="1A1A1A"/>
                <w:sz w:val="22"/>
                <w:szCs w:val="22"/>
              </w:rPr>
              <w:t xml:space="preserve">“What’s changed for you in the last year?”</w:t>
            </w:r>
          </w:p>
          <w:p>
            <w:pPr>
              <w:spacing w:after="0" w:before="0"/>
            </w:pPr>
            <w:r>
              <w:rPr>
                <w:rFonts w:ascii="Arial" w:cs="Arial" w:eastAsia="Arial" w:hAnsi="Arial"/>
                <w:b/>
                <w:bCs/>
                <w:color w:val="555555"/>
                <w:sz w:val="20"/>
                <w:szCs w:val="20"/>
              </w:rPr>
              <w:t xml:space="preserve">Why it works: </w:t>
            </w:r>
            <w:r>
              <w:rPr>
                <w:rFonts w:ascii="Arial" w:cs="Arial" w:eastAsia="Arial" w:hAnsi="Arial"/>
                <w:color w:val="555555"/>
                <w:sz w:val="20"/>
                <w:szCs w:val="20"/>
              </w:rPr>
              <w:t xml:space="preserve">Surfaces staffing shifts, volume changes, payer changes, and operational pressures — without having to ask directly.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4472C4" w:sz="16"/>
              <w:bottom w:val="single" w:color="CCCCCC" w:sz="1"/>
              <w:right w:val="single" w:color="CCCCCC" w:sz="1"/>
            </w:tcBorders>
            <w:shd w:fill="EEF4FB" w:val="clear"/>
            <w:tcMar>
              <w:top w:type="dxa" w:w="100"/>
              <w:left w:type="dxa" w:w="200"/>
              <w:bottom w:type="dxa" w:w="100"/>
              <w:right w:type="dxa" w:w="160"/>
            </w:tcMar>
          </w:tcPr>
          <w:p>
            <w:pPr>
              <w:spacing w:after="60" w:before="0"/>
            </w:pPr>
            <w:r>
              <w:rPr>
                <w:rFonts w:ascii="Arial" w:cs="Arial" w:eastAsia="Arial" w:hAnsi="Arial"/>
                <w:i/>
                <w:iCs/>
                <w:color w:val="1A1A1A"/>
                <w:sz w:val="22"/>
                <w:szCs w:val="22"/>
              </w:rPr>
              <w:t xml:space="preserve">“What services do you handle here, and what’s the range of complexity you see?”</w:t>
            </w:r>
          </w:p>
          <w:p>
            <w:pPr>
              <w:spacing w:after="0" w:before="0"/>
            </w:pPr>
            <w:r>
              <w:rPr>
                <w:rFonts w:ascii="Arial" w:cs="Arial" w:eastAsia="Arial" w:hAnsi="Arial"/>
                <w:b/>
                <w:bCs/>
                <w:color w:val="555555"/>
                <w:sz w:val="20"/>
                <w:szCs w:val="20"/>
              </w:rPr>
              <w:t xml:space="preserve">Why it works: </w:t>
            </w:r>
            <w:r>
              <w:rPr>
                <w:rFonts w:ascii="Arial" w:cs="Arial" w:eastAsia="Arial" w:hAnsi="Arial"/>
                <w:color w:val="555555"/>
                <w:sz w:val="20"/>
                <w:szCs w:val="20"/>
              </w:rPr>
              <w:t xml:space="preserve">Maps their capability landscape before you start talking about yours.</w:t>
            </w:r>
          </w:p>
        </w:tc>
      </w:tr>
    </w:tbl>
    <w:p>
      <w:pPr>
        <w:spacing w:after="0" w:before="120"/>
      </w:pPr>
      <w:r>
        <w:t xml:space="preserve"/>
      </w:r>
    </w:p>
    <w:p>
      <w:pPr>
        <w:spacing w:after="60" w:before="180"/>
      </w:pPr>
      <w:r>
        <w:rPr>
          <w:rFonts w:ascii="Arial" w:cs="Arial" w:eastAsia="Arial" w:hAnsi="Arial"/>
          <w:b/>
          <w:bCs/>
          <w:color w:val="1A1A1A"/>
          <w:sz w:val="22"/>
          <w:szCs w:val="22"/>
        </w:rPr>
        <w:t xml:space="preserve">Stage 2 — Narrow: What They Don’t Do Matters More</w:t>
      </w:r>
    </w:p>
    <w:p>
      <w:pPr>
        <w:spacing w:after="60" w:before="60"/>
      </w:pPr>
      <w:r>
        <w:rPr>
          <w:rFonts w:ascii="Arial" w:cs="Arial" w:eastAsia="Arial" w:hAnsi="Arial"/>
          <w:sz w:val="22"/>
          <w:szCs w:val="22"/>
        </w:rPr>
        <w:t xml:space="preserve">The real intelligence lives here. What providers can’t or won’t handle tells you more about referral opportunity than any volume report.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4472C4" w:sz="16"/>
              <w:bottom w:val="single" w:color="CCCCCC" w:sz="1"/>
              <w:right w:val="single" w:color="CCCCCC" w:sz="1"/>
            </w:tcBorders>
            <w:shd w:fill="EEF4FB" w:val="clear"/>
            <w:tcMar>
              <w:top w:type="dxa" w:w="100"/>
              <w:left w:type="dxa" w:w="200"/>
              <w:bottom w:type="dxa" w:w="100"/>
              <w:right w:type="dxa" w:w="160"/>
            </w:tcMar>
          </w:tcPr>
          <w:p>
            <w:pPr>
              <w:spacing w:after="60" w:before="0"/>
            </w:pPr>
            <w:r>
              <w:rPr>
                <w:rFonts w:ascii="Arial" w:cs="Arial" w:eastAsia="Arial" w:hAnsi="Arial"/>
                <w:i/>
                <w:iCs/>
                <w:color w:val="1A1A1A"/>
                <w:sz w:val="22"/>
                <w:szCs w:val="22"/>
              </w:rPr>
              <w:t xml:space="preserve">“Are there cases you’d rather not handle — things that are painful or frustrating for your team?”</w:t>
            </w:r>
          </w:p>
          <w:p>
            <w:pPr>
              <w:spacing w:after="0" w:before="0"/>
            </w:pPr>
            <w:r>
              <w:rPr>
                <w:rFonts w:ascii="Arial" w:cs="Arial" w:eastAsia="Arial" w:hAnsi="Arial"/>
                <w:b/>
                <w:bCs/>
                <w:color w:val="555555"/>
                <w:sz w:val="20"/>
                <w:szCs w:val="20"/>
              </w:rPr>
              <w:t xml:space="preserve">Why it works: </w:t>
            </w:r>
            <w:r>
              <w:rPr>
                <w:rFonts w:ascii="Arial" w:cs="Arial" w:eastAsia="Arial" w:hAnsi="Arial"/>
                <w:color w:val="555555"/>
                <w:sz w:val="20"/>
                <w:szCs w:val="20"/>
              </w:rPr>
              <w:t xml:space="preserve">The single most valuable question in BD. Reveals the exact clinical scenarios where referral is natural, not forced.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4472C4" w:sz="16"/>
              <w:bottom w:val="single" w:color="CCCCCC" w:sz="1"/>
              <w:right w:val="single" w:color="CCCCCC" w:sz="1"/>
            </w:tcBorders>
            <w:shd w:fill="EEF4FB" w:val="clear"/>
            <w:tcMar>
              <w:top w:type="dxa" w:w="100"/>
              <w:left w:type="dxa" w:w="200"/>
              <w:bottom w:type="dxa" w:w="100"/>
              <w:right w:type="dxa" w:w="160"/>
            </w:tcMar>
          </w:tcPr>
          <w:p>
            <w:pPr>
              <w:spacing w:after="60" w:before="0"/>
            </w:pPr>
            <w:r>
              <w:rPr>
                <w:rFonts w:ascii="Arial" w:cs="Arial" w:eastAsia="Arial" w:hAnsi="Arial"/>
                <w:i/>
                <w:iCs/>
                <w:color w:val="1A1A1A"/>
                <w:sz w:val="22"/>
                <w:szCs w:val="22"/>
              </w:rPr>
              <w:t xml:space="preserve">“When a case is beyond what you want to manage, what happens next? Who’s your first call?”</w:t>
            </w:r>
          </w:p>
          <w:p>
            <w:pPr>
              <w:spacing w:after="0" w:before="0"/>
            </w:pPr>
            <w:r>
              <w:rPr>
                <w:rFonts w:ascii="Arial" w:cs="Arial" w:eastAsia="Arial" w:hAnsi="Arial"/>
                <w:b/>
                <w:bCs/>
                <w:color w:val="555555"/>
                <w:sz w:val="20"/>
                <w:szCs w:val="20"/>
              </w:rPr>
              <w:t xml:space="preserve">Why it works: </w:t>
            </w:r>
            <w:r>
              <w:rPr>
                <w:rFonts w:ascii="Arial" w:cs="Arial" w:eastAsia="Arial" w:hAnsi="Arial"/>
                <w:color w:val="555555"/>
                <w:sz w:val="20"/>
                <w:szCs w:val="20"/>
              </w:rPr>
              <w:t xml:space="preserve">Maps the actual referral pathway. You learn who your real competition is and where patients actually go.</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4472C4" w:sz="16"/>
              <w:bottom w:val="single" w:color="CCCCCC" w:sz="1"/>
              <w:right w:val="single" w:color="CCCCCC" w:sz="1"/>
            </w:tcBorders>
            <w:shd w:fill="EEF4FB" w:val="clear"/>
            <w:tcMar>
              <w:top w:type="dxa" w:w="100"/>
              <w:left w:type="dxa" w:w="200"/>
              <w:bottom w:type="dxa" w:w="100"/>
              <w:right w:type="dxa" w:w="160"/>
            </w:tcMar>
          </w:tcPr>
          <w:p>
            <w:pPr>
              <w:spacing w:after="60" w:before="0"/>
            </w:pPr>
            <w:r>
              <w:rPr>
                <w:rFonts w:ascii="Arial" w:cs="Arial" w:eastAsia="Arial" w:hAnsi="Arial"/>
                <w:i/>
                <w:iCs/>
                <w:color w:val="1A1A1A"/>
                <w:sz w:val="22"/>
                <w:szCs w:val="22"/>
              </w:rPr>
              <w:t xml:space="preserve">“Who do you text when the case is tough?”</w:t>
            </w:r>
          </w:p>
          <w:p>
            <w:pPr>
              <w:spacing w:after="0" w:before="0"/>
            </w:pPr>
            <w:r>
              <w:rPr>
                <w:rFonts w:ascii="Arial" w:cs="Arial" w:eastAsia="Arial" w:hAnsi="Arial"/>
                <w:b/>
                <w:bCs/>
                <w:color w:val="555555"/>
                <w:sz w:val="20"/>
                <w:szCs w:val="20"/>
              </w:rPr>
              <w:t xml:space="preserve">Why it works: </w:t>
            </w:r>
            <w:r>
              <w:rPr>
                <w:rFonts w:ascii="Arial" w:cs="Arial" w:eastAsia="Arial" w:hAnsi="Arial"/>
                <w:color w:val="555555"/>
                <w:sz w:val="20"/>
                <w:szCs w:val="20"/>
              </w:rPr>
              <w:t xml:space="preserve">The informal network is the real network. No data source captures this.</w:t>
            </w:r>
          </w:p>
        </w:tc>
      </w:tr>
    </w:tbl>
    <w:p>
      <w:pPr>
        <w:spacing w:after="0" w:before="120"/>
      </w:pPr>
      <w:r>
        <w:t xml:space="preserve"/>
      </w:r>
    </w:p>
    <w:p>
      <w:pPr>
        <w:spacing w:after="60" w:before="180"/>
      </w:pPr>
      <w:r>
        <w:rPr>
          <w:rFonts w:ascii="Arial" w:cs="Arial" w:eastAsia="Arial" w:hAnsi="Arial"/>
          <w:b/>
          <w:bCs/>
          <w:color w:val="1A1A1A"/>
          <w:sz w:val="22"/>
          <w:szCs w:val="22"/>
        </w:rPr>
        <w:t xml:space="preserve">Stage 3 — Follow the Patient</w:t>
      </w:r>
    </w:p>
    <w:p>
      <w:pPr>
        <w:spacing w:after="60" w:before="60"/>
      </w:pPr>
      <w:r>
        <w:rPr>
          <w:rFonts w:ascii="Arial" w:cs="Arial" w:eastAsia="Arial" w:hAnsi="Arial"/>
          <w:sz w:val="22"/>
          <w:szCs w:val="22"/>
        </w:rPr>
        <w:t xml:space="preserve">Trace the path a patient actually takes after leaving this provider. This is where you discover whether patients are finding their way to you, going to a competitor, or falling through the cracks.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4472C4" w:sz="16"/>
              <w:bottom w:val="single" w:color="CCCCCC" w:sz="1"/>
              <w:right w:val="single" w:color="CCCCCC" w:sz="1"/>
            </w:tcBorders>
            <w:shd w:fill="EEF4FB" w:val="clear"/>
            <w:tcMar>
              <w:top w:type="dxa" w:w="100"/>
              <w:left w:type="dxa" w:w="200"/>
              <w:bottom w:type="dxa" w:w="100"/>
              <w:right w:type="dxa" w:w="160"/>
            </w:tcMar>
          </w:tcPr>
          <w:p>
            <w:pPr>
              <w:spacing w:after="60" w:before="0"/>
            </w:pPr>
            <w:r>
              <w:rPr>
                <w:rFonts w:ascii="Arial" w:cs="Arial" w:eastAsia="Arial" w:hAnsi="Arial"/>
                <w:i/>
                <w:iCs/>
                <w:color w:val="1A1A1A"/>
                <w:sz w:val="22"/>
                <w:szCs w:val="22"/>
              </w:rPr>
              <w:t xml:space="preserve">“If you don’t handle it, where does the patient go? Walk me through what that looks like.”</w:t>
            </w:r>
          </w:p>
          <w:p>
            <w:pPr>
              <w:spacing w:after="0" w:before="0"/>
            </w:pPr>
            <w:r>
              <w:rPr>
                <w:rFonts w:ascii="Arial" w:cs="Arial" w:eastAsia="Arial" w:hAnsi="Arial"/>
                <w:b/>
                <w:bCs/>
                <w:color w:val="555555"/>
                <w:sz w:val="20"/>
                <w:szCs w:val="20"/>
              </w:rPr>
              <w:t xml:space="preserve">Why it works: </w:t>
            </w:r>
            <w:r>
              <w:rPr>
                <w:rFonts w:ascii="Arial" w:cs="Arial" w:eastAsia="Arial" w:hAnsi="Arial"/>
                <w:color w:val="555555"/>
                <w:sz w:val="20"/>
                <w:szCs w:val="20"/>
              </w:rPr>
              <w:t xml:space="preserve">Traces the actual referral pathway. Often reveals patients go somewhere unexpected — or nowhere at all.</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4472C4" w:sz="16"/>
              <w:bottom w:val="single" w:color="CCCCCC" w:sz="1"/>
              <w:right w:val="single" w:color="CCCCCC" w:sz="1"/>
            </w:tcBorders>
            <w:shd w:fill="EEF4FB" w:val="clear"/>
            <w:tcMar>
              <w:top w:type="dxa" w:w="100"/>
              <w:left w:type="dxa" w:w="200"/>
              <w:bottom w:type="dxa" w:w="100"/>
              <w:right w:type="dxa" w:w="160"/>
            </w:tcMar>
          </w:tcPr>
          <w:p>
            <w:pPr>
              <w:spacing w:after="60" w:before="0"/>
            </w:pPr>
            <w:r>
              <w:rPr>
                <w:rFonts w:ascii="Arial" w:cs="Arial" w:eastAsia="Arial" w:hAnsi="Arial"/>
                <w:i/>
                <w:iCs/>
                <w:color w:val="1A1A1A"/>
                <w:sz w:val="22"/>
                <w:szCs w:val="22"/>
              </w:rPr>
              <w:t xml:space="preserve">“When you’ve sent patients to us, how has that gone — for you and for the patient?”</w:t>
            </w:r>
          </w:p>
          <w:p>
            <w:pPr>
              <w:spacing w:after="0" w:before="0"/>
            </w:pPr>
            <w:r>
              <w:rPr>
                <w:rFonts w:ascii="Arial" w:cs="Arial" w:eastAsia="Arial" w:hAnsi="Arial"/>
                <w:b/>
                <w:bCs/>
                <w:color w:val="555555"/>
                <w:sz w:val="20"/>
                <w:szCs w:val="20"/>
              </w:rPr>
              <w:t xml:space="preserve">Why it works: </w:t>
            </w:r>
            <w:r>
              <w:rPr>
                <w:rFonts w:ascii="Arial" w:cs="Arial" w:eastAsia="Arial" w:hAnsi="Arial"/>
                <w:color w:val="555555"/>
                <w:sz w:val="20"/>
                <w:szCs w:val="20"/>
              </w:rPr>
              <w:t xml:space="preserve">Proactive feedback-seeking. You’re not waiting for complaints — you’re asking before problems compound.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4472C4" w:sz="16"/>
              <w:bottom w:val="single" w:color="CCCCCC" w:sz="1"/>
              <w:right w:val="single" w:color="CCCCCC" w:sz="1"/>
            </w:tcBorders>
            <w:shd w:fill="EEF4FB" w:val="clear"/>
            <w:tcMar>
              <w:top w:type="dxa" w:w="100"/>
              <w:left w:type="dxa" w:w="200"/>
              <w:bottom w:type="dxa" w:w="100"/>
              <w:right w:type="dxa" w:w="160"/>
            </w:tcMar>
          </w:tcPr>
          <w:p>
            <w:pPr>
              <w:spacing w:after="60" w:before="0"/>
            </w:pPr>
            <w:r>
              <w:rPr>
                <w:rFonts w:ascii="Arial" w:cs="Arial" w:eastAsia="Arial" w:hAnsi="Arial"/>
                <w:i/>
                <w:iCs/>
                <w:color w:val="1A1A1A"/>
                <w:sz w:val="22"/>
                <w:szCs w:val="22"/>
              </w:rPr>
              <w:t xml:space="preserve">“After you refer, what communication do you get back? Is it enough?”</w:t>
            </w:r>
          </w:p>
          <w:p>
            <w:pPr>
              <w:spacing w:after="0" w:before="0"/>
            </w:pPr>
            <w:r>
              <w:rPr>
                <w:rFonts w:ascii="Arial" w:cs="Arial" w:eastAsia="Arial" w:hAnsi="Arial"/>
                <w:b/>
                <w:bCs/>
                <w:color w:val="555555"/>
                <w:sz w:val="20"/>
                <w:szCs w:val="20"/>
              </w:rPr>
              <w:t xml:space="preserve">Why it works: </w:t>
            </w:r>
            <w:r>
              <w:rPr>
                <w:rFonts w:ascii="Arial" w:cs="Arial" w:eastAsia="Arial" w:hAnsi="Arial"/>
                <w:color w:val="555555"/>
                <w:sz w:val="20"/>
                <w:szCs w:val="20"/>
              </w:rPr>
              <w:t xml:space="preserve">Surfaces communication breakdown — one of the most consistent partner frustrations across our region.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4472C4" w:sz="16"/>
              <w:bottom w:val="single" w:color="CCCCCC" w:sz="1"/>
              <w:right w:val="single" w:color="CCCCCC" w:sz="1"/>
            </w:tcBorders>
            <w:shd w:fill="EEF4FB" w:val="clear"/>
            <w:tcMar>
              <w:top w:type="dxa" w:w="100"/>
              <w:left w:type="dxa" w:w="200"/>
              <w:bottom w:type="dxa" w:w="100"/>
              <w:right w:type="dxa" w:w="160"/>
            </w:tcMar>
          </w:tcPr>
          <w:p>
            <w:pPr>
              <w:spacing w:after="60" w:before="0"/>
            </w:pPr>
            <w:r>
              <w:rPr>
                <w:rFonts w:ascii="Arial" w:cs="Arial" w:eastAsia="Arial" w:hAnsi="Arial"/>
                <w:i/>
                <w:iCs/>
                <w:color w:val="1A1A1A"/>
                <w:sz w:val="22"/>
                <w:szCs w:val="22"/>
              </w:rPr>
              <w:t xml:space="preserve">“When choosing where to send a patient, what matters most — speed, reputation, convenience, communication back?”</w:t>
            </w:r>
          </w:p>
          <w:p>
            <w:pPr>
              <w:spacing w:after="0" w:before="0"/>
            </w:pPr>
            <w:r>
              <w:rPr>
                <w:rFonts w:ascii="Arial" w:cs="Arial" w:eastAsia="Arial" w:hAnsi="Arial"/>
                <w:b/>
                <w:bCs/>
                <w:color w:val="555555"/>
                <w:sz w:val="20"/>
                <w:szCs w:val="20"/>
              </w:rPr>
              <w:t xml:space="preserve">Why it works: </w:t>
            </w:r>
            <w:r>
              <w:rPr>
                <w:rFonts w:ascii="Arial" w:cs="Arial" w:eastAsia="Arial" w:hAnsi="Arial"/>
                <w:color w:val="555555"/>
                <w:sz w:val="20"/>
                <w:szCs w:val="20"/>
              </w:rPr>
              <w:t xml:space="preserve">Reveals the actual decision criteria that drive referral behavior. Often different from what providers say in a formal setting.</w:t>
            </w:r>
          </w:p>
        </w:tc>
      </w:tr>
    </w:tbl>
    <w:p>
      <w:pPr>
        <w:spacing w:after="0" w:before="120"/>
      </w:pPr>
      <w:r>
        <w:t xml:space="preserve"/>
      </w:r>
    </w:p>
    <w:p>
      <w:pPr>
        <w:spacing w:after="60" w:before="180"/>
      </w:pPr>
      <w:r>
        <w:rPr>
          <w:rFonts w:ascii="Arial" w:cs="Arial" w:eastAsia="Arial" w:hAnsi="Arial"/>
          <w:b/>
          <w:bCs/>
          <w:color w:val="1A1A1A"/>
          <w:sz w:val="22"/>
          <w:szCs w:val="22"/>
        </w:rPr>
        <w:t xml:space="preserve">Stage 4 — Use Data to Ask, Not Tell</w:t>
      </w:r>
    </w:p>
    <w:p>
      <w:pPr>
        <w:spacing w:after="60" w:before="60"/>
      </w:pPr>
      <w:r>
        <w:rPr>
          <w:rFonts w:ascii="Arial" w:cs="Arial" w:eastAsia="Arial" w:hAnsi="Arial"/>
          <w:sz w:val="22"/>
          <w:szCs w:val="22"/>
        </w:rPr>
        <w:t xml:space="preserve">If you have data about this provider’s referral patterns, bring it in as a question — not a conclusion.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4472C4" w:sz="16"/>
              <w:bottom w:val="single" w:color="CCCCCC" w:sz="1"/>
              <w:right w:val="single" w:color="CCCCCC" w:sz="1"/>
            </w:tcBorders>
            <w:shd w:fill="EEF4FB" w:val="clear"/>
            <w:tcMar>
              <w:top w:type="dxa" w:w="100"/>
              <w:left w:type="dxa" w:w="200"/>
              <w:bottom w:type="dxa" w:w="100"/>
              <w:right w:type="dxa" w:w="160"/>
            </w:tcMar>
          </w:tcPr>
          <w:p>
            <w:pPr>
              <w:spacing w:after="60" w:before="0"/>
            </w:pPr>
            <w:r>
              <w:rPr>
                <w:rFonts w:ascii="Arial" w:cs="Arial" w:eastAsia="Arial" w:hAnsi="Arial"/>
                <w:i/>
                <w:iCs/>
                <w:color w:val="1A1A1A"/>
                <w:sz w:val="22"/>
                <w:szCs w:val="22"/>
              </w:rPr>
              <w:t xml:space="preserve">“We noticed something in the data — we could be wrong — but it looks like [observation]. Do you have any sense of what might be driving that?”</w:t>
            </w:r>
          </w:p>
          <w:p>
            <w:pPr>
              <w:spacing w:after="0" w:before="0"/>
            </w:pPr>
            <w:r>
              <w:rPr>
                <w:rFonts w:ascii="Arial" w:cs="Arial" w:eastAsia="Arial" w:hAnsi="Arial"/>
                <w:b/>
                <w:bCs/>
                <w:color w:val="555555"/>
                <w:sz w:val="20"/>
                <w:szCs w:val="20"/>
              </w:rPr>
              <w:t xml:space="preserve">Why it works: </w:t>
            </w:r>
            <w:r>
              <w:rPr>
                <w:rFonts w:ascii="Arial" w:cs="Arial" w:eastAsia="Arial" w:hAnsi="Arial"/>
                <w:color w:val="555555"/>
                <w:sz w:val="20"/>
                <w:szCs w:val="20"/>
              </w:rPr>
              <w:t xml:space="preserve">Presents data with explicit humility. Invites the partner to interpret rather than defend. The phrase ‘we could be wrong’ does more for your credibility than any polished slide deck.</w:t>
            </w:r>
          </w:p>
        </w:tc>
      </w:tr>
    </w:tbl>
    <w:p>
      <w:pPr>
        <w:spacing w:after="0" w:before="120"/>
      </w:pPr>
      <w:r>
        <w:t xml:space="preserve"/>
      </w:r>
    </w:p>
    <w:p>
      <w:pPr>
        <w:spacing w:after="60" w:before="180"/>
      </w:pPr>
      <w:r>
        <w:rPr>
          <w:rFonts w:ascii="Arial" w:cs="Arial" w:eastAsia="Arial" w:hAnsi="Arial"/>
          <w:b/>
          <w:bCs/>
          <w:color w:val="1A1A1A"/>
          <w:sz w:val="22"/>
          <w:szCs w:val="22"/>
        </w:rPr>
        <w:t xml:space="preserve">Stage 5 — The Earned Ask</w:t>
      </w:r>
    </w:p>
    <w:p>
      <w:pPr>
        <w:spacing w:after="60" w:before="60"/>
      </w:pPr>
      <w:r>
        <w:rPr>
          <w:rFonts w:ascii="Arial" w:cs="Arial" w:eastAsia="Arial" w:hAnsi="Arial"/>
          <w:sz w:val="22"/>
          <w:szCs w:val="22"/>
        </w:rPr>
        <w:t xml:space="preserve">Only after you’ve listened, mapped, and diagnosed do you earn the right to ask about opportunity.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4472C4" w:sz="16"/>
              <w:bottom w:val="single" w:color="CCCCCC" w:sz="1"/>
              <w:right w:val="single" w:color="CCCCCC" w:sz="1"/>
            </w:tcBorders>
            <w:shd w:fill="EEF4FB" w:val="clear"/>
            <w:tcMar>
              <w:top w:type="dxa" w:w="100"/>
              <w:left w:type="dxa" w:w="200"/>
              <w:bottom w:type="dxa" w:w="100"/>
              <w:right w:type="dxa" w:w="160"/>
            </w:tcMar>
          </w:tcPr>
          <w:p>
            <w:pPr>
              <w:spacing w:after="60" w:before="0"/>
            </w:pPr>
            <w:r>
              <w:rPr>
                <w:rFonts w:ascii="Arial" w:cs="Arial" w:eastAsia="Arial" w:hAnsi="Arial"/>
                <w:i/>
                <w:iCs/>
                <w:color w:val="1A1A1A"/>
                <w:sz w:val="22"/>
                <w:szCs w:val="22"/>
              </w:rPr>
              <w:t xml:space="preserve">“What would it take for us to earn that referral? What would we have to prove first?”</w:t>
            </w:r>
          </w:p>
          <w:p>
            <w:pPr>
              <w:spacing w:after="0" w:before="0"/>
            </w:pPr>
            <w:r>
              <w:rPr>
                <w:rFonts w:ascii="Arial" w:cs="Arial" w:eastAsia="Arial" w:hAnsi="Arial"/>
                <w:b/>
                <w:bCs/>
                <w:color w:val="555555"/>
                <w:sz w:val="20"/>
                <w:szCs w:val="20"/>
              </w:rPr>
              <w:t xml:space="preserve">Why it works: </w:t>
            </w:r>
            <w:r>
              <w:rPr>
                <w:rFonts w:ascii="Arial" w:cs="Arial" w:eastAsia="Arial" w:hAnsi="Arial"/>
                <w:color w:val="555555"/>
                <w:sz w:val="20"/>
                <w:szCs w:val="20"/>
              </w:rPr>
              <w:t xml:space="preserve">The most powerful question in BD. Shifts the dynamic from asking for business to asking what you need to deserve it.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4472C4" w:sz="16"/>
              <w:bottom w:val="single" w:color="CCCCCC" w:sz="1"/>
              <w:right w:val="single" w:color="CCCCCC" w:sz="1"/>
            </w:tcBorders>
            <w:shd w:fill="EEF4FB" w:val="clear"/>
            <w:tcMar>
              <w:top w:type="dxa" w:w="100"/>
              <w:left w:type="dxa" w:w="200"/>
              <w:bottom w:type="dxa" w:w="100"/>
              <w:right w:type="dxa" w:w="160"/>
            </w:tcMar>
          </w:tcPr>
          <w:p>
            <w:pPr>
              <w:spacing w:after="60" w:before="0"/>
            </w:pPr>
            <w:r>
              <w:rPr>
                <w:rFonts w:ascii="Arial" w:cs="Arial" w:eastAsia="Arial" w:hAnsi="Arial"/>
                <w:i/>
                <w:iCs/>
                <w:color w:val="1A1A1A"/>
                <w:sz w:val="22"/>
                <w:szCs w:val="22"/>
              </w:rPr>
              <w:t xml:space="preserve">“What’s the most helpful thing I could do between now and the next time we talk?”</w:t>
            </w:r>
          </w:p>
          <w:p>
            <w:pPr>
              <w:spacing w:after="0" w:before="0"/>
            </w:pPr>
            <w:r>
              <w:rPr>
                <w:rFonts w:ascii="Arial" w:cs="Arial" w:eastAsia="Arial" w:hAnsi="Arial"/>
                <w:b/>
                <w:bCs/>
                <w:color w:val="555555"/>
                <w:sz w:val="20"/>
                <w:szCs w:val="20"/>
              </w:rPr>
              <w:t xml:space="preserve">Why it works: </w:t>
            </w:r>
            <w:r>
              <w:rPr>
                <w:rFonts w:ascii="Arial" w:cs="Arial" w:eastAsia="Arial" w:hAnsi="Arial"/>
                <w:color w:val="555555"/>
                <w:sz w:val="20"/>
                <w:szCs w:val="20"/>
              </w:rPr>
              <w:t xml:space="preserve">Creates a specific follow-up commitment. Prevents the vague ending where neither side knows what happens next.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16"/>
              <w:bottom w:val="single" w:color="CCCCCC" w:sz="1"/>
              <w:right w:val="single" w:color="CCCCCC" w:sz="1"/>
            </w:tcBorders>
            <w:shd w:fill="F5F5F5" w:val="clear"/>
            <w:tcMar>
              <w:top w:type="dxa" w:w="120"/>
              <w:left w:type="dxa" w:w="200"/>
              <w:bottom w:type="dxa" w:w="120"/>
              <w:right w:type="dxa" w:w="160"/>
            </w:tcMar>
          </w:tcPr>
          <w:p>
            <w:pPr>
              <w:spacing w:after="40" w:before="0"/>
            </w:pPr>
            <w:r>
              <w:rPr>
                <w:rFonts w:ascii="Arial" w:cs="Arial" w:eastAsia="Arial" w:hAnsi="Arial"/>
                <w:b/>
                <w:bCs/>
                <w:color w:val="444444"/>
                <w:sz w:val="20"/>
                <w:szCs w:val="20"/>
              </w:rPr>
              <w:t xml:space="preserve">The ‘By the Way’ Question</w:t>
            </w:r>
          </w:p>
          <w:p>
            <w:pPr>
              <w:spacing w:after="40" w:before="0"/>
            </w:pPr>
            <w:r>
              <w:rPr>
                <w:rFonts w:ascii="Arial" w:cs="Arial" w:eastAsia="Arial" w:hAnsi="Arial"/>
                <w:color w:val="222222"/>
                <w:sz w:val="22"/>
                <w:szCs w:val="22"/>
              </w:rPr>
              <w:t xml:space="preserve">As you’re wrapping up a visit: “Oh, one more thing — I’ve been curious about this across all of my practices: [question].” This is a low-pressure way to gather market intelligence you can use across many visits. Example: one liaison asked every primary care physician over two weeks how often they had the opportunity to refer to an OB/GYN. The answers across 20–30 conversations changed the referral strategy entirely.</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0AD47" w:sz="16"/>
              <w:bottom w:val="single" w:color="CCCCCC" w:sz="1"/>
              <w:right w:val="single" w:color="CCCCCC" w:sz="1"/>
            </w:tcBorders>
            <w:shd w:fill="F0F7EC" w:val="clear"/>
            <w:tcMar>
              <w:top w:type="dxa" w:w="100"/>
              <w:left w:type="dxa" w:w="200"/>
              <w:bottom w:type="dxa" w:w="100"/>
              <w:right w:type="dxa" w:w="160"/>
            </w:tcMar>
          </w:tcPr>
          <w:p>
            <w:pPr>
              <w:spacing w:after="40" w:before="0"/>
            </w:pPr>
            <w:r>
              <w:rPr>
                <w:rFonts w:ascii="Arial" w:cs="Arial" w:eastAsia="Arial" w:hAnsi="Arial"/>
                <w:b/>
                <w:bCs/>
                <w:color w:val="4E7C2B"/>
                <w:sz w:val="18"/>
                <w:szCs w:val="18"/>
              </w:rPr>
              <w:t xml:space="preserve">GROUP DISCUSSION</w:t>
            </w:r>
          </w:p>
          <w:p>
            <w:pPr>
              <w:spacing w:after="0" w:before="0"/>
            </w:pPr>
            <w:r>
              <w:rPr>
                <w:rFonts w:ascii="Arial" w:cs="Arial" w:eastAsia="Arial" w:hAnsi="Arial"/>
                <w:color w:val="222222"/>
                <w:sz w:val="22"/>
                <w:szCs w:val="22"/>
              </w:rPr>
              <w:t xml:space="preserve">What’s the hardest part of asking questions in a clinical office? Is it the gatekeeper, the time pressure, not having the words, or something else? What does your best visit look like versus your worst?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C0000" w:val="clear"/>
            <w:tcMar>
              <w:top w:type="dxa" w:w="180"/>
              <w:left w:type="dxa" w:w="240"/>
              <w:bottom w:type="dxa" w:w="180"/>
              <w:right w:type="dxa" w:w="240"/>
            </w:tcMar>
          </w:tcPr>
          <w:p>
            <w:pPr>
              <w:spacing w:after="40" w:before="0"/>
              <w:jc w:val="center"/>
            </w:pPr>
            <w:r>
              <w:rPr>
                <w:rFonts w:ascii="Arial" w:cs="Arial" w:eastAsia="Arial" w:hAnsi="Arial"/>
                <w:b/>
                <w:bCs/>
                <w:color w:val="FFFFFF"/>
                <w:sz w:val="28"/>
                <w:szCs w:val="28"/>
              </w:rPr>
              <w:t xml:space="preserve">TRACK 2: MARKET MANAGERS</w:t>
            </w:r>
          </w:p>
          <w:p>
            <w:pPr>
              <w:spacing w:after="0" w:before="0"/>
              <w:jc w:val="center"/>
            </w:pPr>
            <w:r>
              <w:rPr>
                <w:rFonts w:ascii="Arial" w:cs="Arial" w:eastAsia="Arial" w:hAnsi="Arial"/>
                <w:color w:val="FFD0D0"/>
                <w:sz w:val="20"/>
                <w:szCs w:val="20"/>
              </w:rPr>
              <w:t xml:space="preserve">Hospital Leadership • Administration • 15 Minutes</w:t>
            </w:r>
          </w:p>
        </w:tc>
      </w:tr>
    </w:tbl>
    <w:p>
      <w:pPr>
        <w:spacing w:after="0" w:before="120"/>
      </w:pPr>
      <w:r>
        <w:t xml:space="preserve"/>
      </w:r>
    </w:p>
    <w:p>
      <w:pPr>
        <w:pStyle w:val="Heading2"/>
        <w:spacing w:after="80" w:before="240"/>
      </w:pPr>
      <w:r>
        <w:rPr>
          <w:rFonts w:ascii="Arial" w:cs="Arial" w:eastAsia="Arial" w:hAnsi="Arial"/>
          <w:b/>
          <w:bCs/>
          <w:color w:val="CC0000"/>
          <w:sz w:val="24"/>
          <w:szCs w:val="24"/>
        </w:rPr>
        <w:t xml:space="preserve">The Context</w:t>
      </w:r>
    </w:p>
    <w:p>
      <w:pPr>
        <w:spacing w:after="60" w:before="60"/>
      </w:pPr>
      <w:r>
        <w:rPr>
          <w:rFonts w:ascii="Arial" w:cs="Arial" w:eastAsia="Arial" w:hAnsi="Arial"/>
          <w:sz w:val="22"/>
          <w:szCs w:val="22"/>
        </w:rPr>
        <w:t xml:space="preserve">Market Managers operate at the strategic layer. Your conversations with CEOs, CNOs, CMOs, and administrative leaders are about understanding their organizational priorities, competitive pressures, and partnership opportunities — not pitching programs.</w:t>
      </w:r>
    </w:p>
    <w:p>
      <w:pPr>
        <w:spacing w:after="0" w:before="60"/>
      </w:pPr>
      <w:r>
        <w:t xml:space="preserve"/>
      </w:r>
    </w:p>
    <w:p>
      <w:pPr>
        <w:spacing w:after="60" w:before="60"/>
      </w:pPr>
      <w:r>
        <w:rPr>
          <w:rFonts w:ascii="Arial" w:cs="Arial" w:eastAsia="Arial" w:hAnsi="Arial"/>
          <w:sz w:val="22"/>
          <w:szCs w:val="22"/>
        </w:rPr>
        <w:t xml:space="preserve">Hospital leaders are often skeptical of vendor-style visits. Positioning yourself as someone who comes with intelligence, not a pitch, is the entry point.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single" w:color="4472C4" w:sz="16"/>
              <w:bottom w:val="single" w:color="CCCCCC" w:sz="1"/>
              <w:right w:val="single" w:color="CCCCCC" w:sz="1"/>
            </w:tcBorders>
            <w:shd w:fill="EEF4FB" w:val="clear"/>
            <w:tcMar>
              <w:top w:type="dxa" w:w="120"/>
              <w:left w:type="dxa" w:w="200"/>
              <w:bottom w:type="dxa" w:w="120"/>
              <w:right w:type="dxa" w:w="160"/>
            </w:tcMar>
          </w:tcPr>
          <w:p>
            <w:pPr>
              <w:spacing w:after="40" w:before="0"/>
            </w:pPr>
            <w:r>
              <w:rPr>
                <w:rFonts w:ascii="Arial" w:cs="Arial" w:eastAsia="Arial" w:hAnsi="Arial"/>
                <w:b/>
                <w:bCs/>
                <w:color w:val="4472C4"/>
                <w:sz w:val="20"/>
                <w:szCs w:val="20"/>
              </w:rPr>
              <w:t xml:space="preserve">The Positioning Shift</w:t>
            </w:r>
          </w:p>
          <w:p>
            <w:pPr>
              <w:spacing w:after="40" w:before="0"/>
            </w:pPr>
            <w:r>
              <w:rPr>
                <w:rFonts w:ascii="Arial" w:cs="Arial" w:eastAsia="Arial" w:hAnsi="Arial"/>
                <w:color w:val="222222"/>
                <w:sz w:val="22"/>
                <w:szCs w:val="22"/>
              </w:rPr>
              <w:t xml:space="preserve">Lead with: “We’ve put together what we know about this market — it’s incomplete, and we’d like your perspective to fill in the gaps.”</w:t>
            </w:r>
          </w:p>
          <w:p>
            <w:pPr>
              <w:spacing w:after="40" w:before="0"/>
            </w:pPr>
            <w:r>
              <w:rPr>
                <w:rFonts w:ascii="Arial" w:cs="Arial" w:eastAsia="Arial" w:hAnsi="Arial"/>
                <w:color w:val="222222"/>
                <w:sz w:val="22"/>
                <w:szCs w:val="22"/>
              </w:rPr>
              <w:t xml:space="preserve"/>
            </w:r>
          </w:p>
          <w:p>
            <w:pPr>
              <w:spacing w:after="40" w:before="0"/>
            </w:pPr>
            <w:r>
              <w:rPr>
                <w:rFonts w:ascii="Arial" w:cs="Arial" w:eastAsia="Arial" w:hAnsi="Arial"/>
                <w:color w:val="222222"/>
                <w:sz w:val="22"/>
                <w:szCs w:val="22"/>
              </w:rPr>
              <w:t xml:space="preserve">This framing preempts the dynamic where the leader feels they have to defend against your plan. Instead, you’re asking them to help you build it — which is a completely different conversation.</w:t>
            </w:r>
          </w:p>
        </w:tc>
      </w:tr>
    </w:tbl>
    <w:p>
      <w:pPr>
        <w:spacing w:after="0" w:before="120"/>
      </w:pPr>
      <w:r>
        <w:t xml:space="preserve"/>
      </w:r>
    </w:p>
    <w:p>
      <w:pPr>
        <w:pStyle w:val="Heading2"/>
        <w:spacing w:after="80" w:before="240"/>
      </w:pPr>
      <w:r>
        <w:rPr>
          <w:rFonts w:ascii="Arial" w:cs="Arial" w:eastAsia="Arial" w:hAnsi="Arial"/>
          <w:b/>
          <w:bCs/>
          <w:color w:val="CC0000"/>
          <w:sz w:val="24"/>
          <w:szCs w:val="24"/>
        </w:rPr>
        <w:t xml:space="preserve">Questions for Hospital Leadership</w:t>
      </w:r>
    </w:p>
    <w:p>
      <w:pPr>
        <w:spacing w:after="60" w:before="180"/>
      </w:pPr>
      <w:r>
        <w:rPr>
          <w:rFonts w:ascii="Arial" w:cs="Arial" w:eastAsia="Arial" w:hAnsi="Arial"/>
          <w:b/>
          <w:bCs/>
          <w:color w:val="1A1A1A"/>
          <w:sz w:val="22"/>
          <w:szCs w:val="22"/>
        </w:rPr>
        <w:t xml:space="preserve">Opening: Understand Their Strategic World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4472C4" w:sz="16"/>
              <w:bottom w:val="single" w:color="CCCCCC" w:sz="1"/>
              <w:right w:val="single" w:color="CCCCCC" w:sz="1"/>
            </w:tcBorders>
            <w:shd w:fill="EEF4FB" w:val="clear"/>
            <w:tcMar>
              <w:top w:type="dxa" w:w="100"/>
              <w:left w:type="dxa" w:w="200"/>
              <w:bottom w:type="dxa" w:w="100"/>
              <w:right w:type="dxa" w:w="160"/>
            </w:tcMar>
          </w:tcPr>
          <w:p>
            <w:pPr>
              <w:spacing w:after="60" w:before="0"/>
            </w:pPr>
            <w:r>
              <w:rPr>
                <w:rFonts w:ascii="Arial" w:cs="Arial" w:eastAsia="Arial" w:hAnsi="Arial"/>
                <w:i/>
                <w:iCs/>
                <w:color w:val="1A1A1A"/>
                <w:sz w:val="22"/>
                <w:szCs w:val="22"/>
              </w:rPr>
              <w:t xml:space="preserve">“Help me understand where your organization is focused right now — what’s driving the most energy internally?”</w:t>
            </w:r>
          </w:p>
          <w:p>
            <w:pPr>
              <w:spacing w:after="0" w:before="0"/>
            </w:pPr>
            <w:r>
              <w:rPr>
                <w:rFonts w:ascii="Arial" w:cs="Arial" w:eastAsia="Arial" w:hAnsi="Arial"/>
                <w:b/>
                <w:bCs/>
                <w:color w:val="555555"/>
                <w:sz w:val="20"/>
                <w:szCs w:val="20"/>
              </w:rPr>
              <w:t xml:space="preserve">Why it works: </w:t>
            </w:r>
            <w:r>
              <w:rPr>
                <w:rFonts w:ascii="Arial" w:cs="Arial" w:eastAsia="Arial" w:hAnsi="Arial"/>
                <w:color w:val="555555"/>
                <w:sz w:val="20"/>
                <w:szCs w:val="20"/>
              </w:rPr>
              <w:t xml:space="preserve">Aligns your conversation to their real priorities. Prevents you from talking about things they don’t care about.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4472C4" w:sz="16"/>
              <w:bottom w:val="single" w:color="CCCCCC" w:sz="1"/>
              <w:right w:val="single" w:color="CCCCCC" w:sz="1"/>
            </w:tcBorders>
            <w:shd w:fill="EEF4FB" w:val="clear"/>
            <w:tcMar>
              <w:top w:type="dxa" w:w="100"/>
              <w:left w:type="dxa" w:w="200"/>
              <w:bottom w:type="dxa" w:w="100"/>
              <w:right w:type="dxa" w:w="160"/>
            </w:tcMar>
          </w:tcPr>
          <w:p>
            <w:pPr>
              <w:spacing w:after="60" w:before="0"/>
            </w:pPr>
            <w:r>
              <w:rPr>
                <w:rFonts w:ascii="Arial" w:cs="Arial" w:eastAsia="Arial" w:hAnsi="Arial"/>
                <w:i/>
                <w:iCs/>
                <w:color w:val="1A1A1A"/>
                <w:sz w:val="22"/>
                <w:szCs w:val="22"/>
              </w:rPr>
              <w:t xml:space="preserve">“What’s the biggest challenge you’re facing in serving your patient population right now?”</w:t>
            </w:r>
          </w:p>
          <w:p>
            <w:pPr>
              <w:spacing w:after="0" w:before="0"/>
            </w:pPr>
            <w:r>
              <w:rPr>
                <w:rFonts w:ascii="Arial" w:cs="Arial" w:eastAsia="Arial" w:hAnsi="Arial"/>
                <w:b/>
                <w:bCs/>
                <w:color w:val="555555"/>
                <w:sz w:val="20"/>
                <w:szCs w:val="20"/>
              </w:rPr>
              <w:t xml:space="preserve">Why it works: </w:t>
            </w:r>
            <w:r>
              <w:rPr>
                <w:rFonts w:ascii="Arial" w:cs="Arial" w:eastAsia="Arial" w:hAnsi="Arial"/>
                <w:color w:val="555555"/>
                <w:sz w:val="20"/>
                <w:szCs w:val="20"/>
              </w:rPr>
              <w:t xml:space="preserve">Opens the operational and strategic reality. Positions you as someone who understands their world, not just your own programs.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4472C4" w:sz="16"/>
              <w:bottom w:val="single" w:color="CCCCCC" w:sz="1"/>
              <w:right w:val="single" w:color="CCCCCC" w:sz="1"/>
            </w:tcBorders>
            <w:shd w:fill="EEF4FB" w:val="clear"/>
            <w:tcMar>
              <w:top w:type="dxa" w:w="100"/>
              <w:left w:type="dxa" w:w="200"/>
              <w:bottom w:type="dxa" w:w="100"/>
              <w:right w:type="dxa" w:w="160"/>
            </w:tcMar>
          </w:tcPr>
          <w:p>
            <w:pPr>
              <w:spacing w:after="60" w:before="0"/>
            </w:pPr>
            <w:r>
              <w:rPr>
                <w:rFonts w:ascii="Arial" w:cs="Arial" w:eastAsia="Arial" w:hAnsi="Arial"/>
                <w:i/>
                <w:iCs/>
                <w:color w:val="1A1A1A"/>
                <w:sz w:val="22"/>
                <w:szCs w:val="22"/>
              </w:rPr>
              <w:t xml:space="preserve">“What’s changed for your organization in the last 12 months that’s affected how you think about referrals or partnerships?”</w:t>
            </w:r>
          </w:p>
          <w:p>
            <w:pPr>
              <w:spacing w:after="0" w:before="0"/>
            </w:pPr>
            <w:r>
              <w:rPr>
                <w:rFonts w:ascii="Arial" w:cs="Arial" w:eastAsia="Arial" w:hAnsi="Arial"/>
                <w:b/>
                <w:bCs/>
                <w:color w:val="555555"/>
                <w:sz w:val="20"/>
                <w:szCs w:val="20"/>
              </w:rPr>
              <w:t xml:space="preserve">Why it works: </w:t>
            </w:r>
            <w:r>
              <w:rPr>
                <w:rFonts w:ascii="Arial" w:cs="Arial" w:eastAsia="Arial" w:hAnsi="Arial"/>
                <w:color w:val="555555"/>
                <w:sz w:val="20"/>
                <w:szCs w:val="20"/>
              </w:rPr>
              <w:t xml:space="preserve">Surfaces strategic context — payer shifts, value-based care pressures, staffing changes, competitive dynamics — without asking directly.</w:t>
            </w:r>
          </w:p>
        </w:tc>
      </w:tr>
    </w:tbl>
    <w:p>
      <w:pPr>
        <w:spacing w:after="0" w:before="120"/>
      </w:pPr>
      <w:r>
        <w:t xml:space="preserve"/>
      </w:r>
    </w:p>
    <w:p>
      <w:pPr>
        <w:spacing w:after="60" w:before="180"/>
      </w:pPr>
      <w:r>
        <w:rPr>
          <w:rFonts w:ascii="Arial" w:cs="Arial" w:eastAsia="Arial" w:hAnsi="Arial"/>
          <w:b/>
          <w:bCs/>
          <w:color w:val="1A1A1A"/>
          <w:sz w:val="22"/>
          <w:szCs w:val="22"/>
        </w:rPr>
        <w:t xml:space="preserve">Narrowing: Partnership &amp; Referral Dynamics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4472C4" w:sz="16"/>
              <w:bottom w:val="single" w:color="CCCCCC" w:sz="1"/>
              <w:right w:val="single" w:color="CCCCCC" w:sz="1"/>
            </w:tcBorders>
            <w:shd w:fill="EEF4FB" w:val="clear"/>
            <w:tcMar>
              <w:top w:type="dxa" w:w="100"/>
              <w:left w:type="dxa" w:w="200"/>
              <w:bottom w:type="dxa" w:w="100"/>
              <w:right w:type="dxa" w:w="160"/>
            </w:tcMar>
          </w:tcPr>
          <w:p>
            <w:pPr>
              <w:spacing w:after="60" w:before="0"/>
            </w:pPr>
            <w:r>
              <w:rPr>
                <w:rFonts w:ascii="Arial" w:cs="Arial" w:eastAsia="Arial" w:hAnsi="Arial"/>
                <w:i/>
                <w:iCs/>
                <w:color w:val="1A1A1A"/>
                <w:sz w:val="22"/>
                <w:szCs w:val="22"/>
              </w:rPr>
              <w:t xml:space="preserve">“When a patient needs something beyond what you can provide here, what does that decision process look like? Who’s involved and what factors matter most?”</w:t>
            </w:r>
          </w:p>
          <w:p>
            <w:pPr>
              <w:spacing w:after="0" w:before="0"/>
            </w:pPr>
            <w:r>
              <w:rPr>
                <w:rFonts w:ascii="Arial" w:cs="Arial" w:eastAsia="Arial" w:hAnsi="Arial"/>
                <w:b/>
                <w:bCs/>
                <w:color w:val="555555"/>
                <w:sz w:val="20"/>
                <w:szCs w:val="20"/>
              </w:rPr>
              <w:t xml:space="preserve">Why it works: </w:t>
            </w:r>
            <w:r>
              <w:rPr>
                <w:rFonts w:ascii="Arial" w:cs="Arial" w:eastAsia="Arial" w:hAnsi="Arial"/>
                <w:color w:val="555555"/>
                <w:sz w:val="20"/>
                <w:szCs w:val="20"/>
              </w:rPr>
              <w:t xml:space="preserve">Maps the actual decision-making process for out-of-market referrals. Reveals whether it’s physician-driven, administrative, or protocol-driven.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4472C4" w:sz="16"/>
              <w:bottom w:val="single" w:color="CCCCCC" w:sz="1"/>
              <w:right w:val="single" w:color="CCCCCC" w:sz="1"/>
            </w:tcBorders>
            <w:shd w:fill="EEF4FB" w:val="clear"/>
            <w:tcMar>
              <w:top w:type="dxa" w:w="100"/>
              <w:left w:type="dxa" w:w="200"/>
              <w:bottom w:type="dxa" w:w="100"/>
              <w:right w:type="dxa" w:w="160"/>
            </w:tcMar>
          </w:tcPr>
          <w:p>
            <w:pPr>
              <w:spacing w:after="60" w:before="0"/>
            </w:pPr>
            <w:r>
              <w:rPr>
                <w:rFonts w:ascii="Arial" w:cs="Arial" w:eastAsia="Arial" w:hAnsi="Arial"/>
                <w:i/>
                <w:iCs/>
                <w:color w:val="1A1A1A"/>
                <w:sz w:val="22"/>
                <w:szCs w:val="22"/>
              </w:rPr>
              <w:t xml:space="preserve">“If you were advising us on where not to focus our energy in this relationship, what would you say?”</w:t>
            </w:r>
          </w:p>
          <w:p>
            <w:pPr>
              <w:spacing w:after="0" w:before="0"/>
            </w:pPr>
            <w:r>
              <w:rPr>
                <w:rFonts w:ascii="Arial" w:cs="Arial" w:eastAsia="Arial" w:hAnsi="Arial"/>
                <w:b/>
                <w:bCs/>
                <w:color w:val="555555"/>
                <w:sz w:val="20"/>
                <w:szCs w:val="20"/>
              </w:rPr>
              <w:t xml:space="preserve">Why it works: </w:t>
            </w:r>
            <w:r>
              <w:rPr>
                <w:rFonts w:ascii="Arial" w:cs="Arial" w:eastAsia="Arial" w:hAnsi="Arial"/>
                <w:color w:val="555555"/>
                <w:sz w:val="20"/>
                <w:szCs w:val="20"/>
              </w:rPr>
              <w:t xml:space="preserve">Inverts the question and gives permission to be direct. Often produces the most honest intelligence in the conversation.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4472C4" w:sz="16"/>
              <w:bottom w:val="single" w:color="CCCCCC" w:sz="1"/>
              <w:right w:val="single" w:color="CCCCCC" w:sz="1"/>
            </w:tcBorders>
            <w:shd w:fill="EEF4FB" w:val="clear"/>
            <w:tcMar>
              <w:top w:type="dxa" w:w="100"/>
              <w:left w:type="dxa" w:w="200"/>
              <w:bottom w:type="dxa" w:w="100"/>
              <w:right w:type="dxa" w:w="160"/>
            </w:tcMar>
          </w:tcPr>
          <w:p>
            <w:pPr>
              <w:spacing w:after="60" w:before="0"/>
            </w:pPr>
            <w:r>
              <w:rPr>
                <w:rFonts w:ascii="Arial" w:cs="Arial" w:eastAsia="Arial" w:hAnsi="Arial"/>
                <w:i/>
                <w:iCs/>
                <w:color w:val="1A1A1A"/>
                <w:sz w:val="22"/>
                <w:szCs w:val="22"/>
              </w:rPr>
              <w:t xml:space="preserve">“Where do you feel like your patients have the hardest time getting access to what they need?”</w:t>
            </w:r>
          </w:p>
          <w:p>
            <w:pPr>
              <w:spacing w:after="0" w:before="0"/>
            </w:pPr>
            <w:r>
              <w:rPr>
                <w:rFonts w:ascii="Arial" w:cs="Arial" w:eastAsia="Arial" w:hAnsi="Arial"/>
                <w:b/>
                <w:bCs/>
                <w:color w:val="555555"/>
                <w:sz w:val="20"/>
                <w:szCs w:val="20"/>
              </w:rPr>
              <w:t xml:space="preserve">Why it works: </w:t>
            </w:r>
            <w:r>
              <w:rPr>
                <w:rFonts w:ascii="Arial" w:cs="Arial" w:eastAsia="Arial" w:hAnsi="Arial"/>
                <w:color w:val="555555"/>
                <w:sz w:val="20"/>
                <w:szCs w:val="20"/>
              </w:rPr>
              <w:t xml:space="preserve">Opens access and capacity issues without you having to name specific programs. Let them tell you where the gap is.</w:t>
            </w:r>
          </w:p>
        </w:tc>
      </w:tr>
    </w:tbl>
    <w:p>
      <w:pPr>
        <w:spacing w:after="0" w:before="120"/>
      </w:pPr>
      <w:r>
        <w:t xml:space="preserve"/>
      </w:r>
    </w:p>
    <w:p>
      <w:pPr>
        <w:spacing w:after="60" w:before="180"/>
      </w:pPr>
      <w:r>
        <w:rPr>
          <w:rFonts w:ascii="Arial" w:cs="Arial" w:eastAsia="Arial" w:hAnsi="Arial"/>
          <w:b/>
          <w:bCs/>
          <w:color w:val="1A1A1A"/>
          <w:sz w:val="22"/>
          <w:szCs w:val="22"/>
        </w:rPr>
        <w:t xml:space="preserve">Follow the Patient: Understand the Journey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4472C4" w:sz="16"/>
              <w:bottom w:val="single" w:color="CCCCCC" w:sz="1"/>
              <w:right w:val="single" w:color="CCCCCC" w:sz="1"/>
            </w:tcBorders>
            <w:shd w:fill="EEF4FB" w:val="clear"/>
            <w:tcMar>
              <w:top w:type="dxa" w:w="100"/>
              <w:left w:type="dxa" w:w="200"/>
              <w:bottom w:type="dxa" w:w="100"/>
              <w:right w:type="dxa" w:w="160"/>
            </w:tcMar>
          </w:tcPr>
          <w:p>
            <w:pPr>
              <w:spacing w:after="60" w:before="0"/>
            </w:pPr>
            <w:r>
              <w:rPr>
                <w:rFonts w:ascii="Arial" w:cs="Arial" w:eastAsia="Arial" w:hAnsi="Arial"/>
                <w:i/>
                <w:iCs/>
                <w:color w:val="1A1A1A"/>
                <w:sz w:val="22"/>
                <w:szCs w:val="22"/>
              </w:rPr>
              <w:t xml:space="preserve">“When a patient leaves your system for specialized care, what does the handoff look like? Where does information get lost?”</w:t>
            </w:r>
          </w:p>
          <w:p>
            <w:pPr>
              <w:spacing w:after="0" w:before="0"/>
            </w:pPr>
            <w:r>
              <w:rPr>
                <w:rFonts w:ascii="Arial" w:cs="Arial" w:eastAsia="Arial" w:hAnsi="Arial"/>
                <w:b/>
                <w:bCs/>
                <w:color w:val="555555"/>
                <w:sz w:val="20"/>
                <w:szCs w:val="20"/>
              </w:rPr>
              <w:t xml:space="preserve">Why it works: </w:t>
            </w:r>
            <w:r>
              <w:rPr>
                <w:rFonts w:ascii="Arial" w:cs="Arial" w:eastAsia="Arial" w:hAnsi="Arial"/>
                <w:color w:val="555555"/>
                <w:sz w:val="20"/>
                <w:szCs w:val="20"/>
              </w:rPr>
              <w:t xml:space="preserve">Surfaces coordination failures — often the most actionable intelligence for understanding partnership value.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4472C4" w:sz="16"/>
              <w:bottom w:val="single" w:color="CCCCCC" w:sz="1"/>
              <w:right w:val="single" w:color="CCCCCC" w:sz="1"/>
            </w:tcBorders>
            <w:shd w:fill="EEF4FB" w:val="clear"/>
            <w:tcMar>
              <w:top w:type="dxa" w:w="100"/>
              <w:left w:type="dxa" w:w="200"/>
              <w:bottom w:type="dxa" w:w="100"/>
              <w:right w:type="dxa" w:w="160"/>
            </w:tcMar>
          </w:tcPr>
          <w:p>
            <w:pPr>
              <w:spacing w:after="60" w:before="0"/>
            </w:pPr>
            <w:r>
              <w:rPr>
                <w:rFonts w:ascii="Arial" w:cs="Arial" w:eastAsia="Arial" w:hAnsi="Arial"/>
                <w:i/>
                <w:iCs/>
                <w:color w:val="1A1A1A"/>
                <w:sz w:val="22"/>
                <w:szCs w:val="22"/>
              </w:rPr>
              <w:t xml:space="preserve">“Do you have a sense of where your patients go when they go out of market? Are there patterns in who you lose and why?”</w:t>
            </w:r>
          </w:p>
          <w:p>
            <w:pPr>
              <w:spacing w:after="0" w:before="0"/>
            </w:pPr>
            <w:r>
              <w:rPr>
                <w:rFonts w:ascii="Arial" w:cs="Arial" w:eastAsia="Arial" w:hAnsi="Arial"/>
                <w:b/>
                <w:bCs/>
                <w:color w:val="555555"/>
                <w:sz w:val="20"/>
                <w:szCs w:val="20"/>
              </w:rPr>
              <w:t xml:space="preserve">Why it works: </w:t>
            </w:r>
            <w:r>
              <w:rPr>
                <w:rFonts w:ascii="Arial" w:cs="Arial" w:eastAsia="Arial" w:hAnsi="Arial"/>
                <w:color w:val="555555"/>
                <w:sz w:val="20"/>
                <w:szCs w:val="20"/>
              </w:rPr>
              <w:t xml:space="preserve">Opens the competitive dynamics conversation without making it adversarial.</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4472C4" w:sz="16"/>
              <w:bottom w:val="single" w:color="CCCCCC" w:sz="1"/>
              <w:right w:val="single" w:color="CCCCCC" w:sz="1"/>
            </w:tcBorders>
            <w:shd w:fill="EEF4FB" w:val="clear"/>
            <w:tcMar>
              <w:top w:type="dxa" w:w="100"/>
              <w:left w:type="dxa" w:w="200"/>
              <w:bottom w:type="dxa" w:w="100"/>
              <w:right w:type="dxa" w:w="160"/>
            </w:tcMar>
          </w:tcPr>
          <w:p>
            <w:pPr>
              <w:spacing w:after="60" w:before="0"/>
            </w:pPr>
            <w:r>
              <w:rPr>
                <w:rFonts w:ascii="Arial" w:cs="Arial" w:eastAsia="Arial" w:hAnsi="Arial"/>
                <w:i/>
                <w:iCs/>
                <w:color w:val="1A1A1A"/>
                <w:sz w:val="22"/>
                <w:szCs w:val="22"/>
              </w:rPr>
              <w:t xml:space="preserve">“When you’ve referred patients to University of Utah Health in the past, what has that experience been like — for your team and for the patients?”</w:t>
            </w:r>
          </w:p>
          <w:p>
            <w:pPr>
              <w:spacing w:after="0" w:before="0"/>
            </w:pPr>
            <w:r>
              <w:rPr>
                <w:rFonts w:ascii="Arial" w:cs="Arial" w:eastAsia="Arial" w:hAnsi="Arial"/>
                <w:b/>
                <w:bCs/>
                <w:color w:val="555555"/>
                <w:sz w:val="20"/>
                <w:szCs w:val="20"/>
              </w:rPr>
              <w:t xml:space="preserve">Why it works: </w:t>
            </w:r>
            <w:r>
              <w:rPr>
                <w:rFonts w:ascii="Arial" w:cs="Arial" w:eastAsia="Arial" w:hAnsi="Arial"/>
                <w:color w:val="555555"/>
                <w:sz w:val="20"/>
                <w:szCs w:val="20"/>
              </w:rPr>
              <w:t xml:space="preserve">Proactive feedback-seeking at the leadership level. Surfaces both positive reinforcement and honest criticism.</w:t>
            </w:r>
          </w:p>
        </w:tc>
      </w:tr>
    </w:tbl>
    <w:p>
      <w:pPr>
        <w:spacing w:after="0" w:before="120"/>
      </w:pPr>
      <w:r>
        <w:t xml:space="preserve"/>
      </w:r>
    </w:p>
    <w:p>
      <w:pPr>
        <w:spacing w:after="60" w:before="180"/>
      </w:pPr>
      <w:r>
        <w:rPr>
          <w:rFonts w:ascii="Arial" w:cs="Arial" w:eastAsia="Arial" w:hAnsi="Arial"/>
          <w:b/>
          <w:bCs/>
          <w:color w:val="1A1A1A"/>
          <w:sz w:val="22"/>
          <w:szCs w:val="22"/>
        </w:rPr>
        <w:t xml:space="preserve">Using Data at the Leadership Level</w:t>
      </w:r>
    </w:p>
    <w:p>
      <w:pPr>
        <w:spacing w:after="60" w:before="60"/>
      </w:pPr>
      <w:r>
        <w:rPr>
          <w:rFonts w:ascii="Arial" w:cs="Arial" w:eastAsia="Arial" w:hAnsi="Arial"/>
          <w:sz w:val="22"/>
          <w:szCs w:val="22"/>
        </w:rPr>
        <w:t xml:space="preserve">Hospital leaders respond to data — but only when it’s framed as a conversation starter, not a conclusion.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4472C4" w:sz="16"/>
              <w:bottom w:val="single" w:color="CCCCCC" w:sz="1"/>
              <w:right w:val="single" w:color="CCCCCC" w:sz="1"/>
            </w:tcBorders>
            <w:shd w:fill="EEF4FB" w:val="clear"/>
            <w:tcMar>
              <w:top w:type="dxa" w:w="100"/>
              <w:left w:type="dxa" w:w="200"/>
              <w:bottom w:type="dxa" w:w="100"/>
              <w:right w:type="dxa" w:w="160"/>
            </w:tcMar>
          </w:tcPr>
          <w:p>
            <w:pPr>
              <w:spacing w:after="60" w:before="0"/>
            </w:pPr>
            <w:r>
              <w:rPr>
                <w:rFonts w:ascii="Arial" w:cs="Arial" w:eastAsia="Arial" w:hAnsi="Arial"/>
                <w:i/>
                <w:iCs/>
                <w:color w:val="1A1A1A"/>
                <w:sz w:val="22"/>
                <w:szCs w:val="22"/>
              </w:rPr>
              <w:t xml:space="preserve">“We’ve been looking at some patterns in [market or service area] and noticed [observation]. We could be reading it wrong — does that match what you’re seeing from your side?”</w:t>
            </w:r>
          </w:p>
          <w:p>
            <w:pPr>
              <w:spacing w:after="0" w:before="0"/>
            </w:pPr>
            <w:r>
              <w:rPr>
                <w:rFonts w:ascii="Arial" w:cs="Arial" w:eastAsia="Arial" w:hAnsi="Arial"/>
                <w:b/>
                <w:bCs/>
                <w:color w:val="555555"/>
                <w:sz w:val="20"/>
                <w:szCs w:val="20"/>
              </w:rPr>
              <w:t xml:space="preserve">Why it works: </w:t>
            </w:r>
            <w:r>
              <w:rPr>
                <w:rFonts w:ascii="Arial" w:cs="Arial" w:eastAsia="Arial" w:hAnsi="Arial"/>
                <w:color w:val="555555"/>
                <w:sz w:val="20"/>
                <w:szCs w:val="20"/>
              </w:rPr>
              <w:t xml:space="preserve">Presents data with explicit humility. Invites the leader to interpret and add context the numbers can’t provide.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4472C4" w:sz="16"/>
              <w:bottom w:val="single" w:color="CCCCCC" w:sz="1"/>
              <w:right w:val="single" w:color="CCCCCC" w:sz="1"/>
            </w:tcBorders>
            <w:shd w:fill="EEF4FB" w:val="clear"/>
            <w:tcMar>
              <w:top w:type="dxa" w:w="100"/>
              <w:left w:type="dxa" w:w="200"/>
              <w:bottom w:type="dxa" w:w="100"/>
              <w:right w:type="dxa" w:w="160"/>
            </w:tcMar>
          </w:tcPr>
          <w:p>
            <w:pPr>
              <w:spacing w:after="60" w:before="0"/>
            </w:pPr>
            <w:r>
              <w:rPr>
                <w:rFonts w:ascii="Arial" w:cs="Arial" w:eastAsia="Arial" w:hAnsi="Arial"/>
                <w:i/>
                <w:iCs/>
                <w:color w:val="1A1A1A"/>
                <w:sz w:val="22"/>
                <w:szCs w:val="22"/>
              </w:rPr>
              <w:t xml:space="preserve">“Our field team has been hearing consistent feedback from providers in your market about [theme]. Is that something your leadership team is aware of?”</w:t>
            </w:r>
          </w:p>
          <w:p>
            <w:pPr>
              <w:spacing w:after="0" w:before="0"/>
            </w:pPr>
            <w:r>
              <w:rPr>
                <w:rFonts w:ascii="Arial" w:cs="Arial" w:eastAsia="Arial" w:hAnsi="Arial"/>
                <w:b/>
                <w:bCs/>
                <w:color w:val="555555"/>
                <w:sz w:val="20"/>
                <w:szCs w:val="20"/>
              </w:rPr>
              <w:t xml:space="preserve">Why it works: </w:t>
            </w:r>
            <w:r>
              <w:rPr>
                <w:rFonts w:ascii="Arial" w:cs="Arial" w:eastAsia="Arial" w:hAnsi="Arial"/>
                <w:color w:val="555555"/>
                <w:sz w:val="20"/>
                <w:szCs w:val="20"/>
              </w:rPr>
              <w:t xml:space="preserve">Uses BD’s unique cross-partner intelligence. This is where our vantage point becomes genuinely valuable to them.</w:t>
            </w:r>
          </w:p>
        </w:tc>
      </w:tr>
    </w:tbl>
    <w:p>
      <w:pPr>
        <w:spacing w:after="0" w:before="120"/>
      </w:pPr>
      <w:r>
        <w:t xml:space="preserve"/>
      </w:r>
    </w:p>
    <w:p>
      <w:pPr>
        <w:spacing w:after="60" w:before="180"/>
      </w:pPr>
      <w:r>
        <w:rPr>
          <w:rFonts w:ascii="Arial" w:cs="Arial" w:eastAsia="Arial" w:hAnsi="Arial"/>
          <w:b/>
          <w:bCs/>
          <w:color w:val="1A1A1A"/>
          <w:sz w:val="22"/>
          <w:szCs w:val="22"/>
        </w:rPr>
        <w:t xml:space="preserve">The Earned Ask: Commitment and Next Steps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4472C4" w:sz="16"/>
              <w:bottom w:val="single" w:color="CCCCCC" w:sz="1"/>
              <w:right w:val="single" w:color="CCCCCC" w:sz="1"/>
            </w:tcBorders>
            <w:shd w:fill="EEF4FB" w:val="clear"/>
            <w:tcMar>
              <w:top w:type="dxa" w:w="100"/>
              <w:left w:type="dxa" w:w="200"/>
              <w:bottom w:type="dxa" w:w="100"/>
              <w:right w:type="dxa" w:w="160"/>
            </w:tcMar>
          </w:tcPr>
          <w:p>
            <w:pPr>
              <w:spacing w:after="60" w:before="0"/>
            </w:pPr>
            <w:r>
              <w:rPr>
                <w:rFonts w:ascii="Arial" w:cs="Arial" w:eastAsia="Arial" w:hAnsi="Arial"/>
                <w:i/>
                <w:iCs/>
                <w:color w:val="1A1A1A"/>
                <w:sz w:val="22"/>
                <w:szCs w:val="22"/>
              </w:rPr>
              <w:t xml:space="preserve">“What would it look like for us to earn a stronger partnership with your organization? What would have to be true?”</w:t>
            </w:r>
          </w:p>
          <w:p>
            <w:pPr>
              <w:spacing w:after="0" w:before="0"/>
            </w:pPr>
            <w:r>
              <w:rPr>
                <w:rFonts w:ascii="Arial" w:cs="Arial" w:eastAsia="Arial" w:hAnsi="Arial"/>
                <w:b/>
                <w:bCs/>
                <w:color w:val="555555"/>
                <w:sz w:val="20"/>
                <w:szCs w:val="20"/>
              </w:rPr>
              <w:t xml:space="preserve">Why it works: </w:t>
            </w:r>
            <w:r>
              <w:rPr>
                <w:rFonts w:ascii="Arial" w:cs="Arial" w:eastAsia="Arial" w:hAnsi="Arial"/>
                <w:color w:val="555555"/>
                <w:sz w:val="20"/>
                <w:szCs w:val="20"/>
              </w:rPr>
              <w:t xml:space="preserve">High-trust question that only works after the above stages. Shifts from asking for business to asking what you need to deserve it.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4472C4" w:sz="16"/>
              <w:bottom w:val="single" w:color="CCCCCC" w:sz="1"/>
              <w:right w:val="single" w:color="CCCCCC" w:sz="1"/>
            </w:tcBorders>
            <w:shd w:fill="EEF4FB" w:val="clear"/>
            <w:tcMar>
              <w:top w:type="dxa" w:w="100"/>
              <w:left w:type="dxa" w:w="200"/>
              <w:bottom w:type="dxa" w:w="100"/>
              <w:right w:type="dxa" w:w="160"/>
            </w:tcMar>
          </w:tcPr>
          <w:p>
            <w:pPr>
              <w:spacing w:after="60" w:before="0"/>
            </w:pPr>
            <w:r>
              <w:rPr>
                <w:rFonts w:ascii="Arial" w:cs="Arial" w:eastAsia="Arial" w:hAnsi="Arial"/>
                <w:i/>
                <w:iCs/>
                <w:color w:val="1A1A1A"/>
                <w:sz w:val="22"/>
                <w:szCs w:val="22"/>
              </w:rPr>
              <w:t xml:space="preserve">“Based on what we’ve discussed, here’s what I think we could help with and here’s what I think needs to be solved elsewhere. Does that match your thinking?”</w:t>
            </w:r>
          </w:p>
          <w:p>
            <w:pPr>
              <w:spacing w:after="0" w:before="0"/>
            </w:pPr>
            <w:r>
              <w:rPr>
                <w:rFonts w:ascii="Arial" w:cs="Arial" w:eastAsia="Arial" w:hAnsi="Arial"/>
                <w:b/>
                <w:bCs/>
                <w:color w:val="555555"/>
                <w:sz w:val="20"/>
                <w:szCs w:val="20"/>
              </w:rPr>
              <w:t xml:space="preserve">Why it works: </w:t>
            </w:r>
            <w:r>
              <w:rPr>
                <w:rFonts w:ascii="Arial" w:cs="Arial" w:eastAsia="Arial" w:hAnsi="Arial"/>
                <w:color w:val="555555"/>
                <w:sz w:val="20"/>
                <w:szCs w:val="20"/>
              </w:rPr>
              <w:t xml:space="preserve">Demonstrates that you’re a strategic partner, not a vendor. Explicitly separates BD’s role from operational ownership.</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4472C4" w:sz="16"/>
              <w:bottom w:val="single" w:color="CCCCCC" w:sz="1"/>
              <w:right w:val="single" w:color="CCCCCC" w:sz="1"/>
            </w:tcBorders>
            <w:shd w:fill="EEF4FB" w:val="clear"/>
            <w:tcMar>
              <w:top w:type="dxa" w:w="100"/>
              <w:left w:type="dxa" w:w="200"/>
              <w:bottom w:type="dxa" w:w="100"/>
              <w:right w:type="dxa" w:w="160"/>
            </w:tcMar>
          </w:tcPr>
          <w:p>
            <w:pPr>
              <w:spacing w:after="60" w:before="0"/>
            </w:pPr>
            <w:r>
              <w:rPr>
                <w:rFonts w:ascii="Arial" w:cs="Arial" w:eastAsia="Arial" w:hAnsi="Arial"/>
                <w:i/>
                <w:iCs/>
                <w:color w:val="1A1A1A"/>
                <w:sz w:val="22"/>
                <w:szCs w:val="22"/>
              </w:rPr>
              <w:t xml:space="preserve">“What’s the most valuable thing I could bring back to this conversation next time?”</w:t>
            </w:r>
          </w:p>
          <w:p>
            <w:pPr>
              <w:spacing w:after="0" w:before="0"/>
            </w:pPr>
            <w:r>
              <w:rPr>
                <w:rFonts w:ascii="Arial" w:cs="Arial" w:eastAsia="Arial" w:hAnsi="Arial"/>
                <w:b/>
                <w:bCs/>
                <w:color w:val="555555"/>
                <w:sz w:val="20"/>
                <w:szCs w:val="20"/>
              </w:rPr>
              <w:t xml:space="preserve">Why it works: </w:t>
            </w:r>
            <w:r>
              <w:rPr>
                <w:rFonts w:ascii="Arial" w:cs="Arial" w:eastAsia="Arial" w:hAnsi="Arial"/>
                <w:color w:val="555555"/>
                <w:sz w:val="20"/>
                <w:szCs w:val="20"/>
              </w:rPr>
              <w:t xml:space="preserve">Creates a specific, forward-looking commitment that earns you the next meeting.</w:t>
            </w:r>
          </w:p>
        </w:tc>
      </w:tr>
    </w:tbl>
    <w:p>
      <w:pPr>
        <w:spacing w:after="0" w:before="140"/>
      </w:pPr>
      <w:r>
        <w:t xml:space="preserve"/>
      </w:r>
    </w:p>
    <w:p>
      <w:pPr>
        <w:pStyle w:val="Heading2"/>
        <w:spacing w:after="80" w:before="240"/>
      </w:pPr>
      <w:r>
        <w:rPr>
          <w:rFonts w:ascii="Arial" w:cs="Arial" w:eastAsia="Arial" w:hAnsi="Arial"/>
          <w:b/>
          <w:bCs/>
          <w:color w:val="CC0000"/>
          <w:sz w:val="24"/>
          <w:szCs w:val="24"/>
        </w:rPr>
        <w:t xml:space="preserve">Building Trust: The Marble Jar</w:t>
      </w:r>
    </w:p>
    <w:p>
      <w:pPr>
        <w:spacing w:after="60" w:before="60"/>
      </w:pPr>
      <w:r>
        <w:rPr>
          <w:rFonts w:ascii="Arial" w:cs="Arial" w:eastAsia="Arial" w:hAnsi="Arial"/>
          <w:sz w:val="22"/>
          <w:szCs w:val="22"/>
        </w:rPr>
        <w:t xml:space="preserve">Every interaction with a hospital leader either adds a marble to the jar or takes one out. Trust isn’t built in one conversation — it’s accumulated through small, consistent acts: showing up when you said you would, following up on what you promised, bringing intelligence that’s genuinely useful to them, and being honest about what you can’t do.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single" w:color="4472C4" w:sz="16"/>
              <w:bottom w:val="single" w:color="CCCCCC" w:sz="1"/>
              <w:right w:val="single" w:color="CCCCCC" w:sz="1"/>
            </w:tcBorders>
            <w:shd w:fill="EEF4FB" w:val="clear"/>
            <w:tcMar>
              <w:top w:type="dxa" w:w="120"/>
              <w:left w:type="dxa" w:w="200"/>
              <w:bottom w:type="dxa" w:w="120"/>
              <w:right w:type="dxa" w:w="160"/>
            </w:tcMar>
          </w:tcPr>
          <w:p>
            <w:pPr>
              <w:spacing w:after="40" w:before="0"/>
            </w:pPr>
            <w:r>
              <w:rPr>
                <w:rFonts w:ascii="Arial" w:cs="Arial" w:eastAsia="Arial" w:hAnsi="Arial"/>
                <w:b/>
                <w:bCs/>
                <w:color w:val="4472C4"/>
                <w:sz w:val="20"/>
                <w:szCs w:val="20"/>
              </w:rPr>
              <w:t xml:space="preserve">Credibility Builders — Say These Out Loud</w:t>
            </w:r>
          </w:p>
          <w:p>
            <w:pPr>
              <w:spacing w:after="40" w:before="0"/>
            </w:pPr>
            <w:r>
              <w:rPr>
                <w:rFonts w:ascii="Arial" w:cs="Arial" w:eastAsia="Arial" w:hAnsi="Arial"/>
                <w:color w:val="222222"/>
                <w:sz w:val="22"/>
                <w:szCs w:val="22"/>
              </w:rPr>
              <w:t xml:space="preserve">“We’re not there yet.”  •  “That would take 6–12 months to build properly.”  •  “We’re not the best option for that right now.”  •  “I don’t have that answer yet, but I can find out.”</w:t>
            </w:r>
          </w:p>
          <w:p>
            <w:pPr>
              <w:spacing w:after="40" w:before="0"/>
            </w:pPr>
            <w:r>
              <w:rPr>
                <w:rFonts w:ascii="Arial" w:cs="Arial" w:eastAsia="Arial" w:hAnsi="Arial"/>
                <w:color w:val="222222"/>
                <w:sz w:val="22"/>
                <w:szCs w:val="22"/>
              </w:rPr>
              <w:t xml:space="preserve"/>
            </w:r>
          </w:p>
          <w:p>
            <w:pPr>
              <w:spacing w:after="40" w:before="0"/>
            </w:pPr>
            <w:r>
              <w:rPr>
                <w:rFonts w:ascii="Arial" w:cs="Arial" w:eastAsia="Arial" w:hAnsi="Arial"/>
                <w:color w:val="222222"/>
                <w:sz w:val="22"/>
                <w:szCs w:val="22"/>
              </w:rPr>
              <w:t xml:space="preserve">These phrases build more trust than any optimistic pitch. Partners remember who was honest with them.</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0AD47" w:sz="16"/>
              <w:bottom w:val="single" w:color="CCCCCC" w:sz="1"/>
              <w:right w:val="single" w:color="CCCCCC" w:sz="1"/>
            </w:tcBorders>
            <w:shd w:fill="F0F7EC" w:val="clear"/>
            <w:tcMar>
              <w:top w:type="dxa" w:w="100"/>
              <w:left w:type="dxa" w:w="200"/>
              <w:bottom w:type="dxa" w:w="100"/>
              <w:right w:type="dxa" w:w="160"/>
            </w:tcMar>
          </w:tcPr>
          <w:p>
            <w:pPr>
              <w:spacing w:after="40" w:before="0"/>
            </w:pPr>
            <w:r>
              <w:rPr>
                <w:rFonts w:ascii="Arial" w:cs="Arial" w:eastAsia="Arial" w:hAnsi="Arial"/>
                <w:b/>
                <w:bCs/>
                <w:color w:val="4E7C2B"/>
                <w:sz w:val="18"/>
                <w:szCs w:val="18"/>
              </w:rPr>
              <w:t xml:space="preserve">GROUP DISCUSSION</w:t>
            </w:r>
          </w:p>
          <w:p>
            <w:pPr>
              <w:spacing w:after="0" w:before="0"/>
            </w:pPr>
            <w:r>
              <w:rPr>
                <w:rFonts w:ascii="Arial" w:cs="Arial" w:eastAsia="Arial" w:hAnsi="Arial"/>
                <w:color w:val="222222"/>
                <w:sz w:val="22"/>
                <w:szCs w:val="22"/>
              </w:rPr>
              <w:t xml:space="preserve">What’s different about a conversation with a hospital CEO vs. a clinic manager? Where do you feel least confident walking in? What question would you most want to have in your back pocket for your next hospital leadership visit?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C0000" w:val="clear"/>
            <w:tcMar>
              <w:top w:type="dxa" w:w="180"/>
              <w:left w:type="dxa" w:w="240"/>
              <w:bottom w:type="dxa" w:w="180"/>
              <w:right w:type="dxa" w:w="240"/>
            </w:tcMar>
          </w:tcPr>
          <w:p>
            <w:pPr>
              <w:spacing w:after="40" w:before="0"/>
              <w:jc w:val="center"/>
            </w:pPr>
            <w:r>
              <w:rPr>
                <w:rFonts w:ascii="Arial" w:cs="Arial" w:eastAsia="Arial" w:hAnsi="Arial"/>
                <w:b/>
                <w:bCs/>
                <w:color w:val="FFFFFF"/>
                <w:sz w:val="28"/>
                <w:szCs w:val="28"/>
              </w:rPr>
              <w:t xml:space="preserve">QUICK PRACTICE</w:t>
            </w:r>
          </w:p>
          <w:p>
            <w:pPr>
              <w:spacing w:after="0" w:before="0"/>
              <w:jc w:val="center"/>
            </w:pPr>
            <w:r>
              <w:rPr>
                <w:rFonts w:ascii="Arial" w:cs="Arial" w:eastAsia="Arial" w:hAnsi="Arial"/>
                <w:color w:val="FFD0D0"/>
                <w:sz w:val="20"/>
                <w:szCs w:val="20"/>
              </w:rPr>
              <w:t xml:space="preserve">Pair Role Play • 10 Minutes</w:t>
            </w:r>
          </w:p>
        </w:tc>
      </w:tr>
    </w:tbl>
    <w:p>
      <w:pPr>
        <w:spacing w:after="0" w:before="120"/>
      </w:pPr>
      <w:r>
        <w:t xml:space="preserve"/>
      </w:r>
    </w:p>
    <w:p>
      <w:pPr>
        <w:pStyle w:val="Heading2"/>
        <w:spacing w:after="80" w:before="240"/>
      </w:pPr>
      <w:r>
        <w:rPr>
          <w:rFonts w:ascii="Arial" w:cs="Arial" w:eastAsia="Arial" w:hAnsi="Arial"/>
          <w:b/>
          <w:bCs/>
          <w:color w:val="CC0000"/>
          <w:sz w:val="24"/>
          <w:szCs w:val="24"/>
        </w:rPr>
        <w:t xml:space="preserve">Instructions</w:t>
      </w:r>
    </w:p>
    <w:p>
      <w:pPr>
        <w:spacing w:after="60" w:before="60"/>
      </w:pPr>
      <w:r>
        <w:rPr>
          <w:rFonts w:ascii="Arial" w:cs="Arial" w:eastAsia="Arial" w:hAnsi="Arial"/>
          <w:sz w:val="22"/>
          <w:szCs w:val="22"/>
        </w:rPr>
        <w:t xml:space="preserve">Pair up. One person plays the BD team member; one plays the stakeholder. Three minutes for the role play. Then switch and debrief together before we bring the room back.</w:t>
      </w:r>
    </w:p>
    <w:p>
      <w:pPr>
        <w:spacing w:after="0" w:before="60"/>
      </w:pPr>
      <w:r>
        <w:t xml:space="preserve"/>
      </w:r>
    </w:p>
    <w:p>
      <w:pPr>
        <w:spacing w:after="60" w:before="60"/>
      </w:pPr>
      <w:r>
        <w:rPr>
          <w:rFonts w:ascii="Arial" w:cs="Arial" w:eastAsia="Arial" w:hAnsi="Arial"/>
          <w:sz w:val="22"/>
          <w:szCs w:val="22"/>
        </w:rPr>
        <w:t xml:space="preserve">Role of the stakeholder: Don’t be a jerk. Play the character authentically. A clinic manager should be friendly and a little deflecting. A hospital administrator should be polite but guarded. Make them earn the conversation.</w:t>
      </w:r>
    </w:p>
    <w:p>
      <w:pPr>
        <w:spacing w:after="0" w:before="120"/>
      </w:pPr>
      <w:r>
        <w:t xml:space="preserve"/>
      </w:r>
    </w:p>
    <w:p>
      <w:pPr>
        <w:pStyle w:val="Heading2"/>
        <w:spacing w:after="80" w:before="240"/>
      </w:pPr>
      <w:r>
        <w:rPr>
          <w:rFonts w:ascii="Arial" w:cs="Arial" w:eastAsia="Arial" w:hAnsi="Arial"/>
          <w:b/>
          <w:bCs/>
          <w:color w:val="CC0000"/>
          <w:sz w:val="24"/>
          <w:szCs w:val="24"/>
        </w:rPr>
        <w:t xml:space="preserve">Scenario A — PRCs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16"/>
              <w:bottom w:val="single" w:color="CCCCCC" w:sz="1"/>
              <w:right w:val="single" w:color="CCCCCC" w:sz="1"/>
            </w:tcBorders>
            <w:shd w:fill="F5F5F5" w:val="clear"/>
            <w:tcMar>
              <w:top w:type="dxa" w:w="120"/>
              <w:left w:type="dxa" w:w="200"/>
              <w:bottom w:type="dxa" w:w="120"/>
              <w:right w:type="dxa" w:w="160"/>
            </w:tcMar>
          </w:tcPr>
          <w:p>
            <w:pPr>
              <w:spacing w:after="40" w:before="0"/>
            </w:pPr>
            <w:r>
              <w:rPr>
                <w:rFonts w:ascii="Arial" w:cs="Arial" w:eastAsia="Arial" w:hAnsi="Arial"/>
                <w:b/>
                <w:bCs/>
                <w:color w:val="444444"/>
                <w:sz w:val="20"/>
                <w:szCs w:val="20"/>
              </w:rPr>
              <w:t xml:space="preserve">The Setup</w:t>
            </w:r>
          </w:p>
          <w:p>
            <w:pPr>
              <w:spacing w:after="40" w:before="0"/>
            </w:pPr>
            <w:r>
              <w:rPr>
                <w:rFonts w:ascii="Arial" w:cs="Arial" w:eastAsia="Arial" w:hAnsi="Arial"/>
                <w:color w:val="222222"/>
                <w:sz w:val="22"/>
                <w:szCs w:val="22"/>
              </w:rPr>
              <w:t xml:space="preserve">You’ve visited this internal medicine clinic three times. Always a friendly check-in with the front desk. You’ve met the office manager twice — nice conversations, nothing specific. Referrals from this practice have been flat for six months. You have a new cardiac surgery program you want to introduce, but you sense there’s something underneath the surface you don’t know yet.</w:t>
            </w:r>
          </w:p>
          <w:p>
            <w:pPr>
              <w:spacing w:after="40" w:before="0"/>
            </w:pPr>
            <w:r>
              <w:rPr>
                <w:rFonts w:ascii="Arial" w:cs="Arial" w:eastAsia="Arial" w:hAnsi="Arial"/>
                <w:color w:val="222222"/>
                <w:sz w:val="22"/>
                <w:szCs w:val="22"/>
              </w:rPr>
              <w:t xml:space="preserve"/>
            </w:r>
          </w:p>
          <w:p>
            <w:pPr>
              <w:spacing w:after="40" w:before="0"/>
            </w:pPr>
            <w:r>
              <w:rPr>
                <w:rFonts w:ascii="Arial" w:cs="Arial" w:eastAsia="Arial" w:hAnsi="Arial"/>
                <w:color w:val="222222"/>
                <w:sz w:val="22"/>
                <w:szCs w:val="22"/>
              </w:rPr>
              <w:t xml:space="preserve">Your goal: Use the question framework to get past the surface. Start broad, narrow toward their capability edges, and find out what their patients need that they might not be handling in-house.</w:t>
            </w:r>
          </w:p>
        </w:tc>
      </w:tr>
    </w:tbl>
    <w:p>
      <w:pPr>
        <w:spacing w:after="0" w:before="120"/>
      </w:pPr>
      <w:r>
        <w:t xml:space="preserve"/>
      </w:r>
    </w:p>
    <w:p>
      <w:pPr>
        <w:pStyle w:val="Heading2"/>
        <w:spacing w:after="80" w:before="240"/>
      </w:pPr>
      <w:r>
        <w:rPr>
          <w:rFonts w:ascii="Arial" w:cs="Arial" w:eastAsia="Arial" w:hAnsi="Arial"/>
          <w:b/>
          <w:bCs/>
          <w:color w:val="CC0000"/>
          <w:sz w:val="24"/>
          <w:szCs w:val="24"/>
        </w:rPr>
        <w:t xml:space="preserve">Scenario B — Market Managers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16"/>
              <w:bottom w:val="single" w:color="CCCCCC" w:sz="1"/>
              <w:right w:val="single" w:color="CCCCCC" w:sz="1"/>
            </w:tcBorders>
            <w:shd w:fill="F5F5F5" w:val="clear"/>
            <w:tcMar>
              <w:top w:type="dxa" w:w="120"/>
              <w:left w:type="dxa" w:w="200"/>
              <w:bottom w:type="dxa" w:w="120"/>
              <w:right w:type="dxa" w:w="160"/>
            </w:tcMar>
          </w:tcPr>
          <w:p>
            <w:pPr>
              <w:spacing w:after="40" w:before="0"/>
            </w:pPr>
            <w:r>
              <w:rPr>
                <w:rFonts w:ascii="Arial" w:cs="Arial" w:eastAsia="Arial" w:hAnsi="Arial"/>
                <w:b/>
                <w:bCs/>
                <w:color w:val="444444"/>
                <w:sz w:val="20"/>
                <w:szCs w:val="20"/>
              </w:rPr>
              <w:t xml:space="preserve">The Setup</w:t>
            </w:r>
          </w:p>
          <w:p>
            <w:pPr>
              <w:spacing w:after="40" w:before="0"/>
            </w:pPr>
            <w:r>
              <w:rPr>
                <w:rFonts w:ascii="Arial" w:cs="Arial" w:eastAsia="Arial" w:hAnsi="Arial"/>
                <w:color w:val="222222"/>
                <w:sz w:val="22"/>
                <w:szCs w:val="22"/>
              </w:rPr>
              <w:t xml:space="preserve">You have a 30-minute meeting with the VP of Medical Affairs at a rural critical access hospital you’ve been building a relationship with for about a year. The relationship is warm but hasn’t moved to anything concrete. You know their ER has been overwhelmed and their transfer process is inconsistent. You’ve heard from PRCs in their market that some patients are going to a competing system.</w:t>
            </w:r>
          </w:p>
          <w:p>
            <w:pPr>
              <w:spacing w:after="40" w:before="0"/>
            </w:pPr>
            <w:r>
              <w:rPr>
                <w:rFonts w:ascii="Arial" w:cs="Arial" w:eastAsia="Arial" w:hAnsi="Arial"/>
                <w:color w:val="222222"/>
                <w:sz w:val="22"/>
                <w:szCs w:val="22"/>
              </w:rPr>
              <w:t xml:space="preserve"/>
            </w:r>
          </w:p>
          <w:p>
            <w:pPr>
              <w:spacing w:after="40" w:before="0"/>
            </w:pPr>
            <w:r>
              <w:rPr>
                <w:rFonts w:ascii="Arial" w:cs="Arial" w:eastAsia="Arial" w:hAnsi="Arial"/>
                <w:color w:val="222222"/>
                <w:sz w:val="22"/>
                <w:szCs w:val="22"/>
              </w:rPr>
              <w:t xml:space="preserve">Your goal: Use the question framework to understand their organizational priorities, surface the referral dynamics, and earn the right to propose a more structured partnership. Do not pitch anything in the first half of the role play.</w:t>
            </w:r>
          </w:p>
        </w:tc>
      </w:tr>
    </w:tbl>
    <w:p>
      <w:pPr>
        <w:spacing w:after="0" w:before="120"/>
      </w:pPr>
      <w:r>
        <w:t xml:space="preserve"/>
      </w:r>
    </w:p>
    <w:p>
      <w:pPr>
        <w:pStyle w:val="Heading2"/>
        <w:spacing w:after="80" w:before="240"/>
      </w:pPr>
      <w:r>
        <w:rPr>
          <w:rFonts w:ascii="Arial" w:cs="Arial" w:eastAsia="Arial" w:hAnsi="Arial"/>
          <w:b/>
          <w:bCs/>
          <w:color w:val="CC0000"/>
          <w:sz w:val="24"/>
          <w:szCs w:val="24"/>
        </w:rPr>
        <w:t xml:space="preserve">Debrief Questions</w:t>
      </w:r>
    </w:p>
    <w:p>
      <w:pPr>
        <w:pStyle w:val="ListParagraph"/>
        <w:numPr>
          <w:ilvl w:val="0"/>
          <w:numId w:val="3"/>
        </w:numPr>
        <w:spacing w:after="40" w:before="40"/>
      </w:pPr>
      <w:r>
        <w:rPr>
          <w:rFonts w:ascii="Arial" w:cs="Arial" w:eastAsia="Arial" w:hAnsi="Arial"/>
          <w:sz w:val="22"/>
          <w:szCs w:val="22"/>
        </w:rPr>
        <w:t xml:space="preserve">What question felt like it changed the energy of the conversation?</w:t>
      </w:r>
    </w:p>
    <w:p>
      <w:pPr>
        <w:pStyle w:val="ListParagraph"/>
        <w:numPr>
          <w:ilvl w:val="0"/>
          <w:numId w:val="3"/>
        </w:numPr>
        <w:spacing w:after="40" w:before="40"/>
      </w:pPr>
      <w:r>
        <w:rPr>
          <w:rFonts w:ascii="Arial" w:cs="Arial" w:eastAsia="Arial" w:hAnsi="Arial"/>
          <w:sz w:val="22"/>
          <w:szCs w:val="22"/>
        </w:rPr>
        <w:t xml:space="preserve">What made it hard to go direct in the moment?</w:t>
      </w:r>
    </w:p>
    <w:p>
      <w:pPr>
        <w:pStyle w:val="ListParagraph"/>
        <w:numPr>
          <w:ilvl w:val="0"/>
          <w:numId w:val="3"/>
        </w:numPr>
        <w:spacing w:after="40" w:before="40"/>
      </w:pPr>
      <w:r>
        <w:rPr>
          <w:rFonts w:ascii="Arial" w:cs="Arial" w:eastAsia="Arial" w:hAnsi="Arial"/>
          <w:sz w:val="22"/>
          <w:szCs w:val="22"/>
        </w:rPr>
        <w:t xml:space="preserve">What’s one question you’d use differently next time?</w:t>
      </w:r>
    </w:p>
    <w:p>
      <w:pPr>
        <w:pStyle w:val="ListParagraph"/>
        <w:numPr>
          <w:ilvl w:val="0"/>
          <w:numId w:val="3"/>
        </w:numPr>
        <w:spacing w:after="40" w:before="40"/>
      </w:pPr>
      <w:r>
        <w:rPr>
          <w:rFonts w:ascii="Arial" w:cs="Arial" w:eastAsia="Arial" w:hAnsi="Arial"/>
          <w:sz w:val="22"/>
          <w:szCs w:val="22"/>
        </w:rPr>
        <w:t xml:space="preserve">Stakeholder: What made you want to open up? What kept you polite and shallow?</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C0000" w:val="clear"/>
            <w:tcMar>
              <w:top w:type="dxa" w:w="180"/>
              <w:left w:type="dxa" w:w="240"/>
              <w:bottom w:type="dxa" w:w="180"/>
              <w:right w:type="dxa" w:w="240"/>
            </w:tcMar>
          </w:tcPr>
          <w:p>
            <w:pPr>
              <w:spacing w:after="40" w:before="0"/>
              <w:jc w:val="center"/>
            </w:pPr>
            <w:r>
              <w:rPr>
                <w:rFonts w:ascii="Arial" w:cs="Arial" w:eastAsia="Arial" w:hAnsi="Arial"/>
                <w:b/>
                <w:bCs/>
                <w:color w:val="FFFFFF"/>
                <w:sz w:val="28"/>
                <w:szCs w:val="28"/>
              </w:rPr>
              <w:t xml:space="preserve">CLOSING</w:t>
            </w:r>
          </w:p>
          <w:p>
            <w:pPr>
              <w:spacing w:after="0" w:before="0"/>
              <w:jc w:val="center"/>
            </w:pPr>
            <w:r>
              <w:rPr>
                <w:rFonts w:ascii="Arial" w:cs="Arial" w:eastAsia="Arial" w:hAnsi="Arial"/>
                <w:color w:val="FFD0D0"/>
                <w:sz w:val="20"/>
                <w:szCs w:val="20"/>
              </w:rPr>
              <w:t xml:space="preserve">Commitments • 5 Minutes</w:t>
            </w:r>
          </w:p>
        </w:tc>
      </w:tr>
    </w:tbl>
    <w:p>
      <w:pPr>
        <w:spacing w:after="0" w:before="120"/>
      </w:pPr>
      <w:r>
        <w:t xml:space="preserve"/>
      </w:r>
    </w:p>
    <w:p>
      <w:pPr>
        <w:pStyle w:val="Heading2"/>
        <w:spacing w:after="80" w:before="240"/>
      </w:pPr>
      <w:r>
        <w:rPr>
          <w:rFonts w:ascii="Arial" w:cs="Arial" w:eastAsia="Arial" w:hAnsi="Arial"/>
          <w:b/>
          <w:bCs/>
          <w:color w:val="CC0000"/>
          <w:sz w:val="24"/>
          <w:szCs w:val="24"/>
        </w:rPr>
        <w:t xml:space="preserve">What We’re Taking Out of Here</w:t>
      </w:r>
    </w:p>
    <w:p>
      <w:pPr>
        <w:spacing w:after="60" w:before="60"/>
      </w:pPr>
      <w:r>
        <w:rPr>
          <w:rFonts w:ascii="Arial" w:cs="Arial" w:eastAsia="Arial" w:hAnsi="Arial"/>
          <w:sz w:val="22"/>
          <w:szCs w:val="22"/>
        </w:rPr>
        <w:t xml:space="preserve">Each person names one specific thing they’re going to try in their next external or internal meeting. Keep it concrete: a specific question you’re going to ask, a conversation you’ve been avoiding, or a ‘by the way’ question you’re going to run across your next five visits.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16"/>
              <w:bottom w:val="single" w:color="CCCCCC" w:sz="1"/>
              <w:right w:val="single" w:color="CCCCCC" w:sz="1"/>
            </w:tcBorders>
            <w:shd w:fill="F5F5F5" w:val="clear"/>
            <w:tcMar>
              <w:top w:type="dxa" w:w="120"/>
              <w:left w:type="dxa" w:w="200"/>
              <w:bottom w:type="dxa" w:w="120"/>
              <w:right w:type="dxa" w:w="160"/>
            </w:tcMar>
          </w:tcPr>
          <w:p>
            <w:pPr>
              <w:spacing w:after="40" w:before="0"/>
            </w:pPr>
            <w:r>
              <w:rPr>
                <w:rFonts w:ascii="Arial" w:cs="Arial" w:eastAsia="Arial" w:hAnsi="Arial"/>
                <w:b/>
                <w:bCs/>
                <w:color w:val="444444"/>
                <w:sz w:val="20"/>
                <w:szCs w:val="20"/>
              </w:rPr>
              <w:t xml:space="preserve">Anchor Lines</w:t>
            </w:r>
          </w:p>
          <w:p>
            <w:pPr>
              <w:spacing w:after="40" w:before="0"/>
            </w:pPr>
            <w:r>
              <w:rPr>
                <w:rFonts w:ascii="Arial" w:cs="Arial" w:eastAsia="Arial" w:hAnsi="Arial"/>
                <w:color w:val="222222"/>
                <w:sz w:val="22"/>
                <w:szCs w:val="22"/>
              </w:rPr>
              <w:t xml:space="preserve">“If we ask thin questions, we get thin intel. Thin intel produces reports that don’t change anything.”</w:t>
            </w:r>
          </w:p>
          <w:p>
            <w:pPr>
              <w:spacing w:after="40" w:before="0"/>
            </w:pPr>
            <w:r>
              <w:rPr>
                <w:rFonts w:ascii="Arial" w:cs="Arial" w:eastAsia="Arial" w:hAnsi="Arial"/>
                <w:color w:val="222222"/>
                <w:sz w:val="22"/>
                <w:szCs w:val="22"/>
              </w:rPr>
              <w:t xml:space="preserve"/>
            </w:r>
          </w:p>
          <w:p>
            <w:pPr>
              <w:spacing w:after="40" w:before="0"/>
            </w:pPr>
            <w:r>
              <w:rPr>
                <w:rFonts w:ascii="Arial" w:cs="Arial" w:eastAsia="Arial" w:hAnsi="Arial"/>
                <w:color w:val="222222"/>
                <w:sz w:val="22"/>
                <w:szCs w:val="22"/>
              </w:rPr>
              <w:t xml:space="preserve">“Ask ing questions is an expertise, not a hesitation.”</w:t>
            </w:r>
          </w:p>
          <w:p>
            <w:pPr>
              <w:spacing w:after="40" w:before="0"/>
            </w:pPr>
            <w:r>
              <w:rPr>
                <w:rFonts w:ascii="Arial" w:cs="Arial" w:eastAsia="Arial" w:hAnsi="Arial"/>
                <w:color w:val="222222"/>
                <w:sz w:val="22"/>
                <w:szCs w:val="22"/>
              </w:rPr>
              <w:t xml:space="preserve"/>
            </w:r>
          </w:p>
          <w:p>
            <w:pPr>
              <w:spacing w:after="40" w:before="0"/>
            </w:pPr>
            <w:r>
              <w:rPr>
                <w:rFonts w:ascii="Arial" w:cs="Arial" w:eastAsia="Arial" w:hAnsi="Arial"/>
                <w:color w:val="222222"/>
                <w:sz w:val="22"/>
                <w:szCs w:val="22"/>
              </w:rPr>
              <w:t xml:space="preserve">“We are explorers, not presenters. The discomfort when we don’t know what’s really going on — that’s not a signal to back off. It’s the signal to lean in.”</w:t>
            </w:r>
          </w:p>
          <w:p>
            <w:pPr>
              <w:spacing w:after="40" w:before="0"/>
            </w:pPr>
            <w:r>
              <w:rPr>
                <w:rFonts w:ascii="Arial" w:cs="Arial" w:eastAsia="Arial" w:hAnsi="Arial"/>
                <w:color w:val="222222"/>
                <w:sz w:val="22"/>
                <w:szCs w:val="22"/>
              </w:rPr>
              <w:t xml:space="preserve"/>
            </w:r>
          </w:p>
          <w:p>
            <w:pPr>
              <w:spacing w:after="40" w:before="0"/>
            </w:pPr>
            <w:r>
              <w:rPr>
                <w:rFonts w:ascii="Arial" w:cs="Arial" w:eastAsia="Arial" w:hAnsi="Arial"/>
                <w:color w:val="222222"/>
                <w:sz w:val="22"/>
                <w:szCs w:val="22"/>
              </w:rPr>
              <w:t xml:space="preserve">“You can increase your success by 74% by asking a minimum of eleven questions in a visit.” (Reimann-Anderson, NAPR 2026)</w:t>
            </w:r>
          </w:p>
          <w:p>
            <w:pPr>
              <w:spacing w:after="40" w:before="0"/>
            </w:pPr>
            <w:r>
              <w:rPr>
                <w:rFonts w:ascii="Arial" w:cs="Arial" w:eastAsia="Arial" w:hAnsi="Arial"/>
                <w:color w:val="222222"/>
                <w:sz w:val="22"/>
                <w:szCs w:val="22"/>
              </w:rPr>
              <w:t xml:space="preserve"/>
            </w:r>
          </w:p>
          <w:p>
            <w:pPr>
              <w:spacing w:after="40" w:before="0"/>
            </w:pPr>
            <w:r>
              <w:rPr>
                <w:rFonts w:ascii="Arial" w:cs="Arial" w:eastAsia="Arial" w:hAnsi="Arial"/>
                <w:color w:val="222222"/>
                <w:sz w:val="22"/>
                <w:szCs w:val="22"/>
              </w:rPr>
              <w:t xml:space="preserve">“Not having the answer yet is not a failure — it’s part of the work.”</w:t>
            </w:r>
          </w:p>
        </w:tc>
      </w:tr>
    </w:tbl>
    <w:p>
      <w:pPr>
        <w:spacing w:after="0" w:before="120"/>
      </w:pPr>
      <w:r>
        <w:t xml:space="preserve"/>
      </w:r>
    </w:p>
    <w:p>
      <w:pPr>
        <w:spacing w:after="60" w:before="60"/>
      </w:pPr>
      <w:r>
        <w:rPr>
          <w:rFonts w:ascii="Arial" w:cs="Arial" w:eastAsia="Arial" w:hAnsi="Arial"/>
          <w:sz w:val="22"/>
          <w:szCs w:val="22"/>
        </w:rPr>
        <w:t xml:space="preserve">On confidence: we have information nobody else in the organization has. The intelligence our team gathers in the field is irreplaceable. When you’ve gathered real market intel, say it loud. That’s how you get leadership buy-in, and that’s how the relationship becomes a two-way street.</w:t>
      </w:r>
    </w:p>
    <w:p>
      <w:pPr>
        <w:spacing w:after="0" w:before="200"/>
      </w:pPr>
      <w:r>
        <w:t xml:space="preserve"/>
      </w:r>
    </w:p>
    <w:p>
      <w:r>
        <w:br w:type="page"/>
      </w:r>
    </w:p>
    <w:p>
      <w:pPr>
        <w:pStyle w:val="Heading1"/>
        <w:pBdr>
          <w:bottom w:val="single" w:color="CC0000" w:sz="8" w:space="4"/>
        </w:pBdr>
        <w:spacing w:after="120" w:before="320"/>
      </w:pPr>
      <w:r>
        <w:rPr>
          <w:rFonts w:ascii="Arial" w:cs="Arial" w:eastAsia="Arial" w:hAnsi="Arial"/>
          <w:b/>
          <w:bCs/>
          <w:color w:val="1A1A1A"/>
          <w:sz w:val="28"/>
          <w:szCs w:val="28"/>
        </w:rPr>
        <w:t xml:space="preserve">Quick Reference: Question Banks</w:t>
      </w:r>
    </w:p>
    <w:p>
      <w:pPr>
        <w:pStyle w:val="Heading2"/>
        <w:spacing w:after="80" w:before="240"/>
      </w:pPr>
      <w:r>
        <w:rPr>
          <w:rFonts w:ascii="Arial" w:cs="Arial" w:eastAsia="Arial" w:hAnsi="Arial"/>
          <w:b/>
          <w:bCs/>
          <w:color w:val="CC0000"/>
          <w:sz w:val="24"/>
          <w:szCs w:val="24"/>
        </w:rPr>
        <w:t xml:space="preserve">PRC Question Bank — Clinic Visits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00"/>
            </w:tcMar>
          </w:tcPr>
          <w:p>
            <w:r>
              <w:rPr>
                <w:rFonts w:ascii="Arial" w:cs="Arial" w:eastAsia="Arial" w:hAnsi="Arial"/>
                <w:b/>
                <w:bCs/>
                <w:color w:val="FFFFFF"/>
                <w:sz w:val="20"/>
                <w:szCs w:val="20"/>
              </w:rPr>
              <w:t xml:space="preserve">Stage</w:t>
            </w:r>
          </w:p>
        </w:tc>
        <w:tc>
          <w:tcPr>
            <w:tcW w:type="dxa" w:w="7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00"/>
            </w:tcMar>
          </w:tcPr>
          <w:p>
            <w:r>
              <w:rPr>
                <w:rFonts w:ascii="Arial" w:cs="Arial" w:eastAsia="Arial" w:hAnsi="Arial"/>
                <w:b/>
                <w:bCs/>
                <w:color w:val="FFFFFF"/>
                <w:sz w:val="20"/>
                <w:szCs w:val="20"/>
              </w:rPr>
              <w:t xml:space="preserve">Key Questions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r>
              <w:rPr>
                <w:rFonts w:ascii="Arial" w:cs="Arial" w:eastAsia="Arial" w:hAnsi="Arial"/>
                <w:b/>
                <w:bCs/>
                <w:sz w:val="20"/>
                <w:szCs w:val="20"/>
              </w:rPr>
              <w:t xml:space="preserve">Start Broad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sz w:val="20"/>
                <w:szCs w:val="20"/>
              </w:rPr>
              <w:t xml:space="preserve">“Tell me about your practice — what does a typical day look like?”  |  “What’s changed for you in the last year?”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b/>
                <w:bCs/>
                <w:sz w:val="20"/>
                <w:szCs w:val="20"/>
              </w:rPr>
              <w:t xml:space="preserve">Narrow</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sz w:val="20"/>
                <w:szCs w:val="20"/>
              </w:rPr>
              <w:t xml:space="preserve">“Are there cases you’d rather not handle?”  |  “When a case is beyond what you want to manage, who’s your first call?”  |  “Who do you text when the case is tough?”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r>
              <w:rPr>
                <w:rFonts w:ascii="Arial" w:cs="Arial" w:eastAsia="Arial" w:hAnsi="Arial"/>
                <w:b/>
                <w:bCs/>
                <w:sz w:val="20"/>
                <w:szCs w:val="20"/>
              </w:rPr>
              <w:t xml:space="preserve">Follow the Patient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sz w:val="20"/>
                <w:szCs w:val="20"/>
              </w:rPr>
              <w:t xml:space="preserve">“If you don’t handle it, where does the patient go?”  |  “When you’ve sent patients to us, how has that gone?”  |  “What communication do you get back after a referral?”  |  “When choosing where to send a patient, what matters most?”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b/>
                <w:bCs/>
                <w:sz w:val="20"/>
                <w:szCs w:val="20"/>
              </w:rPr>
              <w:t xml:space="preserve">Data as Question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sz w:val="20"/>
                <w:szCs w:val="20"/>
              </w:rPr>
              <w:t xml:space="preserve">“We noticed [observation] — we could be wrong. Any sense of what’s driving that?”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r>
              <w:rPr>
                <w:rFonts w:ascii="Arial" w:cs="Arial" w:eastAsia="Arial" w:hAnsi="Arial"/>
                <w:b/>
                <w:bCs/>
                <w:sz w:val="20"/>
                <w:szCs w:val="20"/>
              </w:rPr>
              <w:t xml:space="preserve">The Earned Ask</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sz w:val="20"/>
                <w:szCs w:val="20"/>
              </w:rPr>
              <w:t xml:space="preserve">“What would it take for us to earn that referral?”  |  “What’s the most helpful thing I could do before we talk next?”</w:t>
            </w:r>
          </w:p>
        </w:tc>
      </w:tr>
    </w:tbl>
    <w:p>
      <w:pPr>
        <w:spacing w:after="0" w:before="160"/>
      </w:pPr>
      <w:r>
        <w:t xml:space="preserve"/>
      </w:r>
    </w:p>
    <w:p>
      <w:pPr>
        <w:pStyle w:val="Heading2"/>
        <w:spacing w:after="80" w:before="240"/>
      </w:pPr>
      <w:r>
        <w:rPr>
          <w:rFonts w:ascii="Arial" w:cs="Arial" w:eastAsia="Arial" w:hAnsi="Arial"/>
          <w:b/>
          <w:bCs/>
          <w:color w:val="CC0000"/>
          <w:sz w:val="24"/>
          <w:szCs w:val="24"/>
        </w:rPr>
        <w:t xml:space="preserve">Market Manager Question Bank — Hospital Leadership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00"/>
            </w:tcMar>
          </w:tcPr>
          <w:p>
            <w:r>
              <w:rPr>
                <w:rFonts w:ascii="Arial" w:cs="Arial" w:eastAsia="Arial" w:hAnsi="Arial"/>
                <w:b/>
                <w:bCs/>
                <w:color w:val="FFFFFF"/>
                <w:sz w:val="20"/>
                <w:szCs w:val="20"/>
              </w:rPr>
              <w:t xml:space="preserve">Stage</w:t>
            </w:r>
          </w:p>
        </w:tc>
        <w:tc>
          <w:tcPr>
            <w:tcW w:type="dxa" w:w="7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00"/>
            </w:tcMar>
          </w:tcPr>
          <w:p>
            <w:r>
              <w:rPr>
                <w:rFonts w:ascii="Arial" w:cs="Arial" w:eastAsia="Arial" w:hAnsi="Arial"/>
                <w:b/>
                <w:bCs/>
                <w:color w:val="FFFFFF"/>
                <w:sz w:val="20"/>
                <w:szCs w:val="20"/>
              </w:rPr>
              <w:t xml:space="preserve">Key Questions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r>
              <w:rPr>
                <w:rFonts w:ascii="Arial" w:cs="Arial" w:eastAsia="Arial" w:hAnsi="Arial"/>
                <w:b/>
                <w:bCs/>
                <w:sz w:val="20"/>
                <w:szCs w:val="20"/>
              </w:rPr>
              <w:t xml:space="preserve">Opening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sz w:val="20"/>
                <w:szCs w:val="20"/>
              </w:rPr>
              <w:t xml:space="preserve">“Help me understand where your organization is focused right now.”  |  “What’s the biggest challenge in serving your patient population?”  |  “What’s changed for you in the last 12 months?”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b/>
                <w:bCs/>
                <w:sz w:val="20"/>
                <w:szCs w:val="20"/>
              </w:rPr>
              <w:t xml:space="preserve">Narrow</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sz w:val="20"/>
                <w:szCs w:val="20"/>
              </w:rPr>
              <w:t xml:space="preserve">“When a patient needs something beyond what you can provide here, what does that decision process look like?”  |  “If you were advising us on where not to focus our energy, what would you say?”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r>
              <w:rPr>
                <w:rFonts w:ascii="Arial" w:cs="Arial" w:eastAsia="Arial" w:hAnsi="Arial"/>
                <w:b/>
                <w:bCs/>
                <w:sz w:val="20"/>
                <w:szCs w:val="20"/>
              </w:rPr>
              <w:t xml:space="preserve">Follow the Patient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sz w:val="20"/>
                <w:szCs w:val="20"/>
              </w:rPr>
              <w:t xml:space="preserve">“When a patient leaves your system for specialized care, where does information get lost?”  |  “Do you have a sense of where patients go out of market and why?”  |  “When you’ve referred to U Health, what has that experience been like?”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b/>
                <w:bCs/>
                <w:sz w:val="20"/>
                <w:szCs w:val="20"/>
              </w:rPr>
              <w:t xml:space="preserve">Data as Question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sz w:val="20"/>
                <w:szCs w:val="20"/>
              </w:rPr>
              <w:t xml:space="preserve">“We noticed [pattern] — we could be reading it wrong. Does that match what you’re seeing?”  |  “Our field team is hearing [theme] from providers in your market. Is that consistent with what you know?”</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00"/>
            </w:tcMar>
          </w:tcPr>
          <w:p>
            <w:r>
              <w:rPr>
                <w:rFonts w:ascii="Arial" w:cs="Arial" w:eastAsia="Arial" w:hAnsi="Arial"/>
                <w:b/>
                <w:bCs/>
                <w:sz w:val="20"/>
                <w:szCs w:val="20"/>
              </w:rPr>
              <w:t xml:space="preserve">Earned Ask</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sz w:val="20"/>
                <w:szCs w:val="20"/>
              </w:rPr>
              <w:t xml:space="preserve">“What would it look like for us to earn a stronger partnership?”  |  “What’s the most valuable thing I could bring back next time?”</w:t>
            </w:r>
          </w:p>
        </w:tc>
      </w:tr>
    </w:tbl>
    <w:p>
      <w:pPr>
        <w:spacing w:after="0" w:before="160"/>
      </w:pPr>
      <w:r>
        <w:t xml:space="preserve"/>
      </w:r>
    </w:p>
    <w:p>
      <w:pPr>
        <w:pBdr>
          <w:top w:val="single" w:color="CCCCCC" w:sz="2" w:space="4"/>
        </w:pBdr>
        <w:spacing w:after="0" w:before="80"/>
      </w:pPr>
      <w:r>
        <w:rPr>
          <w:rFonts w:ascii="Arial" w:cs="Arial" w:eastAsia="Arial" w:hAnsi="Arial"/>
          <w:color w:val="999999"/>
          <w:sz w:val="16"/>
          <w:szCs w:val="16"/>
        </w:rPr>
        <w:t xml:space="preserve">Sources: Reimann-Anderson, “Driving Referral Growth Through Field Excellence &amp; Accountability,” NAPR Conference 2026  •  BD Consultant Operating System, Asking Better Questions Training Guide (March 2026)  •  BD Skills Training Facilitator Guide (March 2026)</w:t>
      </w:r>
    </w:p>
    <w:sectPr>
      <w:head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0000" w:sz="4" w:space="4"/>
      </w:pBdr>
    </w:pPr>
    <w:r>
      <w:rPr>
        <w:rFonts w:ascii="Arial" w:cs="Arial" w:eastAsia="Arial" w:hAnsi="Arial"/>
        <w:color w:val="888888"/>
        <w:sz w:val="18"/>
        <w:szCs w:val="18"/>
      </w:rPr>
      <w:t xml:space="preserve">BD Skills Training  |  Asking Better Questions  |  University of Utah Health — Outreach &amp; Network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sz w:val="28"/>
      <w:szCs w:val="28"/>
    </w:rPr>
  </w:style>
  <w:style w:type="paragraph" w:styleId="Heading2">
    <w:name w:val="Heading 2"/>
    <w:basedOn w:val="Normal"/>
    <w:next w:val="Normal"/>
    <w:qFormat/>
    <w:pPr>
      <w:spacing w:after="80" w:before="240"/>
      <w:outlineLvl w:val="1"/>
    </w:pPr>
    <w:rPr>
      <w:rFonts w:ascii="Arial" w:cs="Arial" w:eastAsia="Arial" w:hAnsi="Arial"/>
      <w:b/>
      <w:bCs/>
      <w:color w:val="CC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2026-06-01T16:30:01.189Z</dcterms:created>
  <dcterms:modified xsi:type="dcterms:W3CDTF">2026-06-01T16:30:01.189Z</dcterms:modified>
</cp:coreProperties>
</file>

<file path=docProps/custom.xml><?xml version="1.0" encoding="utf-8"?>
<Properties xmlns="http://schemas.openxmlformats.org/officeDocument/2006/custom-properties" xmlns:vt="http://schemas.openxmlformats.org/officeDocument/2006/docPropsVTypes"/>
</file>