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BAD1D" w14:textId="77777777" w:rsidR="000C24B9" w:rsidRDefault="00000000" w:rsidP="005A658F">
      <w:pPr>
        <w:spacing w:after="80"/>
        <w:jc w:val="center"/>
      </w:pPr>
      <w:r>
        <w:rPr>
          <w:b/>
          <w:bCs/>
          <w:color w:val="CC0000"/>
          <w:sz w:val="44"/>
          <w:szCs w:val="44"/>
        </w:rPr>
        <w:t>BD Team</w:t>
      </w:r>
    </w:p>
    <w:p w14:paraId="71DD09DF" w14:textId="77777777" w:rsidR="000C24B9" w:rsidRDefault="00000000">
      <w:pPr>
        <w:spacing w:after="60"/>
        <w:jc w:val="center"/>
      </w:pPr>
      <w:r>
        <w:rPr>
          <w:b/>
          <w:bCs/>
          <w:color w:val="333333"/>
          <w:sz w:val="44"/>
          <w:szCs w:val="44"/>
        </w:rPr>
        <w:t>Guiding Principles</w:t>
      </w:r>
    </w:p>
    <w:p w14:paraId="47D0B622" w14:textId="77777777" w:rsidR="000C24B9" w:rsidRDefault="00000000">
      <w:pPr>
        <w:pBdr>
          <w:bottom w:val="single" w:sz="6" w:space="12" w:color="CC0000"/>
        </w:pBdr>
        <w:spacing w:after="200"/>
        <w:jc w:val="center"/>
      </w:pPr>
      <w:r>
        <w:rPr>
          <w:color w:val="666666"/>
        </w:rPr>
        <w:t>Outreach &amp; Network Development Team  |  University of Utah Health</w:t>
      </w:r>
    </w:p>
    <w:p w14:paraId="2CE81570" w14:textId="77777777" w:rsidR="000C24B9" w:rsidRDefault="000C24B9">
      <w:pPr>
        <w:spacing w:before="200"/>
      </w:pPr>
    </w:p>
    <w:p w14:paraId="5E8B306B" w14:textId="77777777" w:rsidR="000C24B9" w:rsidRDefault="00000000">
      <w:pPr>
        <w:spacing w:after="120"/>
      </w:pPr>
      <w:r>
        <w:rPr>
          <w:color w:val="333333"/>
          <w:sz w:val="21"/>
          <w:szCs w:val="21"/>
        </w:rPr>
        <w:t xml:space="preserve">These principles define how we approach our work, inform how we consult with clinical partners, and align us philosophically with the external partners we serve. They are organized around six questions that reflect the full scope of our function — from how we enter a market to how we protect the strategic integrity of our role. Each principle is grounded in the </w:t>
      </w:r>
      <w:r>
        <w:rPr>
          <w:b/>
          <w:bCs/>
          <w:color w:val="333333"/>
          <w:sz w:val="21"/>
          <w:szCs w:val="21"/>
        </w:rPr>
        <w:t>BD Operating System</w:t>
      </w:r>
      <w:r>
        <w:rPr>
          <w:color w:val="333333"/>
          <w:sz w:val="21"/>
          <w:szCs w:val="21"/>
        </w:rPr>
        <w:t xml:space="preserve"> and maps to the layer where it primarily lives.</w:t>
      </w:r>
    </w:p>
    <w:p w14:paraId="1CCD64B2" w14:textId="77777777" w:rsidR="000C24B9" w:rsidRDefault="000C24B9">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24B9" w14:paraId="2EE82188" w14:textId="77777777">
        <w:tblPrEx>
          <w:tblCellMar>
            <w:top w:w="0" w:type="dxa"/>
            <w:bottom w:w="0" w:type="dxa"/>
          </w:tblCellMar>
        </w:tblPrEx>
        <w:tc>
          <w:tcPr>
            <w:tcW w:w="9360" w:type="dxa"/>
            <w:shd w:val="clear" w:color="auto" w:fill="CC0000"/>
            <w:tcMar>
              <w:top w:w="120" w:type="dxa"/>
              <w:left w:w="200" w:type="dxa"/>
              <w:bottom w:w="120" w:type="dxa"/>
              <w:right w:w="200" w:type="dxa"/>
            </w:tcMar>
          </w:tcPr>
          <w:p w14:paraId="0E9CC2C1" w14:textId="77777777" w:rsidR="000C24B9" w:rsidRDefault="00000000">
            <w:r>
              <w:rPr>
                <w:b/>
                <w:bCs/>
                <w:color w:val="FFFFFF"/>
                <w:sz w:val="24"/>
                <w:szCs w:val="24"/>
              </w:rPr>
              <w:t>1. How We Enter Markets</w:t>
            </w:r>
          </w:p>
        </w:tc>
      </w:tr>
      <w:tr w:rsidR="000C24B9" w14:paraId="38C5F7D8" w14:textId="77777777">
        <w:tblPrEx>
          <w:tblCellMar>
            <w:top w:w="0" w:type="dxa"/>
            <w:bottom w:w="0" w:type="dxa"/>
          </w:tblCellMar>
        </w:tblPrEx>
        <w:tc>
          <w:tcPr>
            <w:tcW w:w="9360" w:type="dxa"/>
            <w:tcBorders>
              <w:bottom w:val="single" w:sz="4" w:space="0" w:color="CC0000"/>
            </w:tcBorders>
            <w:shd w:val="clear" w:color="auto" w:fill="F5F0F0"/>
            <w:tcMar>
              <w:top w:w="80" w:type="dxa"/>
              <w:left w:w="200" w:type="dxa"/>
              <w:bottom w:w="80" w:type="dxa"/>
              <w:right w:w="200" w:type="dxa"/>
            </w:tcMar>
          </w:tcPr>
          <w:p w14:paraId="1A5B39D2" w14:textId="77777777" w:rsidR="000C24B9" w:rsidRDefault="00000000">
            <w:r>
              <w:rPr>
                <w:i/>
                <w:iCs/>
                <w:color w:val="666666"/>
                <w:sz w:val="18"/>
                <w:szCs w:val="18"/>
              </w:rPr>
              <w:t>These principles govern how we show up in new and existing markets across our six-state network.</w:t>
            </w:r>
          </w:p>
        </w:tc>
      </w:tr>
    </w:tbl>
    <w:p w14:paraId="6CEE93D7" w14:textId="77777777" w:rsidR="005A658F" w:rsidRPr="005A658F" w:rsidRDefault="005A658F" w:rsidP="005A658F">
      <w:pPr>
        <w:pStyle w:val="ListParagraph"/>
        <w:spacing w:before="80" w:after="80"/>
        <w:ind w:left="720"/>
      </w:pPr>
    </w:p>
    <w:p w14:paraId="33162117" w14:textId="2086C2DE" w:rsidR="000C24B9" w:rsidRDefault="00000000">
      <w:pPr>
        <w:pStyle w:val="ListParagraph"/>
        <w:numPr>
          <w:ilvl w:val="0"/>
          <w:numId w:val="2"/>
        </w:numPr>
        <w:spacing w:before="80" w:after="80"/>
      </w:pPr>
      <w:r>
        <w:rPr>
          <w:b/>
          <w:bCs/>
          <w:color w:val="333333"/>
          <w:sz w:val="21"/>
          <w:szCs w:val="21"/>
        </w:rPr>
        <w:t>Act as the eyes and ears of U Health</w:t>
      </w:r>
      <w:r>
        <w:rPr>
          <w:color w:val="666666"/>
          <w:sz w:val="21"/>
          <w:szCs w:val="21"/>
        </w:rPr>
        <w:t xml:space="preserve"> — </w:t>
      </w:r>
      <w:r>
        <w:rPr>
          <w:color w:val="333333"/>
          <w:sz w:val="21"/>
          <w:szCs w:val="21"/>
        </w:rPr>
        <w:t>gathering intelligence to inform system-wide improvements and serving as the voice of external partners.</w:t>
      </w:r>
    </w:p>
    <w:p w14:paraId="73003DE1" w14:textId="77777777" w:rsidR="000C24B9" w:rsidRDefault="00000000">
      <w:pPr>
        <w:pStyle w:val="ListParagraph"/>
        <w:numPr>
          <w:ilvl w:val="0"/>
          <w:numId w:val="2"/>
        </w:numPr>
        <w:spacing w:before="80" w:after="80"/>
      </w:pPr>
      <w:r>
        <w:rPr>
          <w:b/>
          <w:bCs/>
          <w:color w:val="333333"/>
          <w:sz w:val="21"/>
          <w:szCs w:val="21"/>
        </w:rPr>
        <w:t>Enter markets collaboratively, not competitively</w:t>
      </w:r>
      <w:r>
        <w:rPr>
          <w:color w:val="666666"/>
          <w:sz w:val="21"/>
          <w:szCs w:val="21"/>
        </w:rPr>
        <w:t xml:space="preserve"> — </w:t>
      </w:r>
      <w:r>
        <w:rPr>
          <w:color w:val="333333"/>
          <w:sz w:val="21"/>
          <w:szCs w:val="21"/>
        </w:rPr>
        <w:t>leverage relationships to integrate without disrupting existing referral sources.</w:t>
      </w:r>
    </w:p>
    <w:p w14:paraId="6B52C85D" w14:textId="77777777" w:rsidR="000C24B9" w:rsidRDefault="00000000">
      <w:pPr>
        <w:pStyle w:val="ListParagraph"/>
        <w:numPr>
          <w:ilvl w:val="0"/>
          <w:numId w:val="2"/>
        </w:numPr>
        <w:spacing w:before="80" w:after="80"/>
      </w:pPr>
      <w:r>
        <w:rPr>
          <w:b/>
          <w:bCs/>
          <w:color w:val="333333"/>
          <w:sz w:val="21"/>
          <w:szCs w:val="21"/>
        </w:rPr>
        <w:t>Adapt strategies to the unique needs of each market</w:t>
      </w:r>
      <w:r>
        <w:rPr>
          <w:color w:val="666666"/>
          <w:sz w:val="21"/>
          <w:szCs w:val="21"/>
        </w:rPr>
        <w:t xml:space="preserve"> — </w:t>
      </w:r>
      <w:r>
        <w:rPr>
          <w:color w:val="333333"/>
          <w:sz w:val="21"/>
          <w:szCs w:val="21"/>
        </w:rPr>
        <w:t>differentiate between local and regional approaches because no one size fits all.</w:t>
      </w:r>
    </w:p>
    <w:p w14:paraId="61DD79B7" w14:textId="77777777" w:rsidR="000C24B9" w:rsidRDefault="00000000">
      <w:pPr>
        <w:pStyle w:val="ListParagraph"/>
        <w:numPr>
          <w:ilvl w:val="0"/>
          <w:numId w:val="2"/>
        </w:numPr>
        <w:spacing w:before="80" w:after="80"/>
      </w:pPr>
      <w:r>
        <w:rPr>
          <w:b/>
          <w:bCs/>
          <w:color w:val="333333"/>
          <w:sz w:val="21"/>
          <w:szCs w:val="21"/>
        </w:rPr>
        <w:t>Ease of access is key</w:t>
      </w:r>
      <w:r>
        <w:rPr>
          <w:color w:val="666666"/>
          <w:sz w:val="21"/>
          <w:szCs w:val="21"/>
        </w:rPr>
        <w:t xml:space="preserve"> — </w:t>
      </w:r>
      <w:r>
        <w:rPr>
          <w:color w:val="333333"/>
          <w:sz w:val="21"/>
          <w:szCs w:val="21"/>
        </w:rPr>
        <w:t>whoever offers the simplest pathway to care wins the business.</w:t>
      </w:r>
    </w:p>
    <w:p w14:paraId="08934AE9" w14:textId="77777777" w:rsidR="000C24B9" w:rsidRDefault="000C24B9">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24B9" w14:paraId="399DB384" w14:textId="77777777">
        <w:tblPrEx>
          <w:tblCellMar>
            <w:top w:w="0" w:type="dxa"/>
            <w:bottom w:w="0" w:type="dxa"/>
          </w:tblCellMar>
        </w:tblPrEx>
        <w:tc>
          <w:tcPr>
            <w:tcW w:w="9360" w:type="dxa"/>
            <w:shd w:val="clear" w:color="auto" w:fill="CC0000"/>
            <w:tcMar>
              <w:top w:w="120" w:type="dxa"/>
              <w:left w:w="200" w:type="dxa"/>
              <w:bottom w:w="120" w:type="dxa"/>
              <w:right w:w="200" w:type="dxa"/>
            </w:tcMar>
          </w:tcPr>
          <w:p w14:paraId="15AD6F90" w14:textId="77777777" w:rsidR="000C24B9" w:rsidRDefault="00000000">
            <w:r>
              <w:rPr>
                <w:b/>
                <w:bCs/>
                <w:color w:val="FFFFFF"/>
                <w:sz w:val="24"/>
                <w:szCs w:val="24"/>
              </w:rPr>
              <w:t>2. How We Build Relationships</w:t>
            </w:r>
          </w:p>
        </w:tc>
      </w:tr>
      <w:tr w:rsidR="000C24B9" w14:paraId="0354B766" w14:textId="77777777">
        <w:tblPrEx>
          <w:tblCellMar>
            <w:top w:w="0" w:type="dxa"/>
            <w:bottom w:w="0" w:type="dxa"/>
          </w:tblCellMar>
        </w:tblPrEx>
        <w:tc>
          <w:tcPr>
            <w:tcW w:w="9360" w:type="dxa"/>
            <w:tcBorders>
              <w:bottom w:val="single" w:sz="4" w:space="0" w:color="CC0000"/>
            </w:tcBorders>
            <w:shd w:val="clear" w:color="auto" w:fill="F5F0F0"/>
            <w:tcMar>
              <w:top w:w="80" w:type="dxa"/>
              <w:left w:w="200" w:type="dxa"/>
              <w:bottom w:w="80" w:type="dxa"/>
              <w:right w:w="200" w:type="dxa"/>
            </w:tcMar>
          </w:tcPr>
          <w:p w14:paraId="71FC9E60" w14:textId="77777777" w:rsidR="000C24B9" w:rsidRDefault="00000000">
            <w:r>
              <w:rPr>
                <w:i/>
                <w:iCs/>
                <w:color w:val="666666"/>
                <w:sz w:val="18"/>
                <w:szCs w:val="18"/>
              </w:rPr>
              <w:t>These principles define how we develop and maintain the partnerships that drive our work.</w:t>
            </w:r>
          </w:p>
        </w:tc>
      </w:tr>
    </w:tbl>
    <w:p w14:paraId="2656BA14" w14:textId="2C8A94FF" w:rsidR="005A658F" w:rsidRPr="005A658F" w:rsidRDefault="005A658F" w:rsidP="005A658F">
      <w:pPr>
        <w:pStyle w:val="ListParagraph"/>
        <w:spacing w:before="80" w:after="80"/>
        <w:ind w:left="720"/>
      </w:pPr>
    </w:p>
    <w:p w14:paraId="4CDF7341" w14:textId="63289130" w:rsidR="000C24B9" w:rsidRDefault="00000000">
      <w:pPr>
        <w:pStyle w:val="ListParagraph"/>
        <w:numPr>
          <w:ilvl w:val="0"/>
          <w:numId w:val="2"/>
        </w:numPr>
        <w:spacing w:before="80" w:after="80"/>
      </w:pPr>
      <w:r>
        <w:rPr>
          <w:b/>
          <w:bCs/>
          <w:color w:val="333333"/>
          <w:sz w:val="21"/>
          <w:szCs w:val="21"/>
        </w:rPr>
        <w:t>Position U Health as a natural referral destination for high-acuity care</w:t>
      </w:r>
      <w:r>
        <w:rPr>
          <w:color w:val="666666"/>
          <w:sz w:val="21"/>
          <w:szCs w:val="21"/>
        </w:rPr>
        <w:t xml:space="preserve"> — </w:t>
      </w:r>
      <w:r>
        <w:rPr>
          <w:color w:val="333333"/>
          <w:sz w:val="21"/>
          <w:szCs w:val="21"/>
        </w:rPr>
        <w:t>a partner, not a competitor.</w:t>
      </w:r>
    </w:p>
    <w:p w14:paraId="33555A08" w14:textId="77777777" w:rsidR="000C24B9" w:rsidRDefault="00000000">
      <w:pPr>
        <w:pStyle w:val="ListParagraph"/>
        <w:numPr>
          <w:ilvl w:val="0"/>
          <w:numId w:val="2"/>
        </w:numPr>
        <w:spacing w:before="80" w:after="80"/>
      </w:pPr>
      <w:r>
        <w:rPr>
          <w:b/>
          <w:bCs/>
          <w:color w:val="333333"/>
          <w:sz w:val="21"/>
          <w:szCs w:val="21"/>
        </w:rPr>
        <w:t>Relationships are actively managed, not just initiated</w:t>
      </w:r>
      <w:r>
        <w:rPr>
          <w:color w:val="666666"/>
          <w:sz w:val="21"/>
          <w:szCs w:val="21"/>
        </w:rPr>
        <w:t xml:space="preserve"> — </w:t>
      </w:r>
      <w:r>
        <w:rPr>
          <w:color w:val="333333"/>
          <w:sz w:val="21"/>
          <w:szCs w:val="21"/>
        </w:rPr>
        <w:t>our goal is to remain the first resource and first call. Introductions alone are not enough.</w:t>
      </w:r>
    </w:p>
    <w:p w14:paraId="6C6BC171" w14:textId="77777777" w:rsidR="000C24B9" w:rsidRDefault="00000000">
      <w:pPr>
        <w:pStyle w:val="ListParagraph"/>
        <w:numPr>
          <w:ilvl w:val="0"/>
          <w:numId w:val="2"/>
        </w:numPr>
        <w:spacing w:before="80" w:after="80"/>
      </w:pPr>
      <w:r>
        <w:rPr>
          <w:b/>
          <w:bCs/>
          <w:color w:val="333333"/>
          <w:sz w:val="21"/>
          <w:szCs w:val="21"/>
        </w:rPr>
        <w:t>Build trust through realistic expectations, transparent partnership, and removing barriers</w:t>
      </w:r>
      <w:r>
        <w:rPr>
          <w:color w:val="666666"/>
          <w:sz w:val="21"/>
          <w:szCs w:val="21"/>
        </w:rPr>
        <w:t xml:space="preserve"> — </w:t>
      </w:r>
      <w:r>
        <w:rPr>
          <w:color w:val="333333"/>
          <w:sz w:val="21"/>
          <w:szCs w:val="21"/>
        </w:rPr>
        <w:t>make it easy for referring providers and facilities to co-manage patients with U Health.</w:t>
      </w:r>
    </w:p>
    <w:p w14:paraId="7CE8F266" w14:textId="77777777" w:rsidR="000C24B9" w:rsidRDefault="00000000">
      <w:pPr>
        <w:pStyle w:val="ListParagraph"/>
        <w:numPr>
          <w:ilvl w:val="0"/>
          <w:numId w:val="2"/>
        </w:numPr>
        <w:spacing w:before="80" w:after="80"/>
      </w:pPr>
      <w:r>
        <w:rPr>
          <w:b/>
          <w:bCs/>
          <w:color w:val="333333"/>
          <w:sz w:val="21"/>
          <w:szCs w:val="21"/>
        </w:rPr>
        <w:t>Focus on understanding partners’ frustrations, needs, and perspectives</w:t>
      </w:r>
      <w:r>
        <w:rPr>
          <w:color w:val="666666"/>
          <w:sz w:val="21"/>
          <w:szCs w:val="21"/>
        </w:rPr>
        <w:t xml:space="preserve"> — </w:t>
      </w:r>
      <w:r>
        <w:rPr>
          <w:color w:val="333333"/>
          <w:sz w:val="21"/>
          <w:szCs w:val="21"/>
        </w:rPr>
        <w:t>before presenting solutions.</w:t>
      </w:r>
    </w:p>
    <w:p w14:paraId="0FA837E8" w14:textId="77777777" w:rsidR="000C24B9" w:rsidRDefault="00000000">
      <w:pPr>
        <w:pStyle w:val="ListParagraph"/>
        <w:numPr>
          <w:ilvl w:val="0"/>
          <w:numId w:val="2"/>
        </w:numPr>
        <w:spacing w:before="80" w:after="80"/>
      </w:pPr>
      <w:r>
        <w:rPr>
          <w:b/>
          <w:bCs/>
          <w:color w:val="333333"/>
          <w:sz w:val="21"/>
          <w:szCs w:val="21"/>
        </w:rPr>
        <w:t>Every interaction must bring value — in both directions</w:t>
      </w:r>
      <w:r>
        <w:rPr>
          <w:color w:val="666666"/>
          <w:sz w:val="21"/>
          <w:szCs w:val="21"/>
        </w:rPr>
        <w:t xml:space="preserve"> — </w:t>
      </w:r>
      <w:r>
        <w:rPr>
          <w:color w:val="333333"/>
          <w:sz w:val="21"/>
          <w:szCs w:val="21"/>
        </w:rPr>
        <w:t>or it shouldn’t happen.</w:t>
      </w:r>
    </w:p>
    <w:p w14:paraId="437574B5" w14:textId="77777777" w:rsidR="000C24B9" w:rsidRDefault="000C24B9">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24B9" w14:paraId="1EA9A25B" w14:textId="77777777">
        <w:tblPrEx>
          <w:tblCellMar>
            <w:top w:w="0" w:type="dxa"/>
            <w:bottom w:w="0" w:type="dxa"/>
          </w:tblCellMar>
        </w:tblPrEx>
        <w:tc>
          <w:tcPr>
            <w:tcW w:w="9360" w:type="dxa"/>
            <w:shd w:val="clear" w:color="auto" w:fill="CC0000"/>
            <w:tcMar>
              <w:top w:w="120" w:type="dxa"/>
              <w:left w:w="200" w:type="dxa"/>
              <w:bottom w:w="120" w:type="dxa"/>
              <w:right w:w="200" w:type="dxa"/>
            </w:tcMar>
          </w:tcPr>
          <w:p w14:paraId="0C0B0ACA" w14:textId="77777777" w:rsidR="000C24B9" w:rsidRDefault="00000000">
            <w:r>
              <w:rPr>
                <w:b/>
                <w:bCs/>
                <w:color w:val="FFFFFF"/>
                <w:sz w:val="24"/>
                <w:szCs w:val="24"/>
              </w:rPr>
              <w:t>3. How We Plan &amp; Prioritize</w:t>
            </w:r>
          </w:p>
        </w:tc>
      </w:tr>
      <w:tr w:rsidR="000C24B9" w14:paraId="09F8ECAE" w14:textId="77777777">
        <w:tblPrEx>
          <w:tblCellMar>
            <w:top w:w="0" w:type="dxa"/>
            <w:bottom w:w="0" w:type="dxa"/>
          </w:tblCellMar>
        </w:tblPrEx>
        <w:tc>
          <w:tcPr>
            <w:tcW w:w="9360" w:type="dxa"/>
            <w:tcBorders>
              <w:bottom w:val="single" w:sz="4" w:space="0" w:color="CC0000"/>
            </w:tcBorders>
            <w:shd w:val="clear" w:color="auto" w:fill="F5F0F0"/>
            <w:tcMar>
              <w:top w:w="80" w:type="dxa"/>
              <w:left w:w="200" w:type="dxa"/>
              <w:bottom w:w="80" w:type="dxa"/>
              <w:right w:w="200" w:type="dxa"/>
            </w:tcMar>
          </w:tcPr>
          <w:p w14:paraId="6CC62EA9" w14:textId="77777777" w:rsidR="000C24B9" w:rsidRDefault="00000000">
            <w:r>
              <w:rPr>
                <w:i/>
                <w:iCs/>
                <w:color w:val="666666"/>
                <w:sz w:val="18"/>
                <w:szCs w:val="18"/>
              </w:rPr>
              <w:t>These principles shape how we decide where to focus and how we build our outreach strategies.</w:t>
            </w:r>
          </w:p>
        </w:tc>
      </w:tr>
    </w:tbl>
    <w:p w14:paraId="66714113" w14:textId="77777777" w:rsidR="000C24B9" w:rsidRDefault="00000000">
      <w:pPr>
        <w:pStyle w:val="ListParagraph"/>
        <w:numPr>
          <w:ilvl w:val="0"/>
          <w:numId w:val="2"/>
        </w:numPr>
        <w:spacing w:before="80" w:after="80"/>
      </w:pPr>
      <w:r>
        <w:rPr>
          <w:b/>
          <w:bCs/>
          <w:color w:val="333333"/>
          <w:sz w:val="21"/>
          <w:szCs w:val="21"/>
        </w:rPr>
        <w:lastRenderedPageBreak/>
        <w:t>Never take a passive stance</w:t>
      </w:r>
      <w:r>
        <w:rPr>
          <w:color w:val="666666"/>
          <w:sz w:val="21"/>
          <w:szCs w:val="21"/>
        </w:rPr>
        <w:t xml:space="preserve"> — </w:t>
      </w:r>
      <w:r>
        <w:rPr>
          <w:color w:val="333333"/>
          <w:sz w:val="21"/>
          <w:szCs w:val="21"/>
        </w:rPr>
        <w:t>we consult using our knowledge of the market and effective outreach principles. We don’t just execute orders.</w:t>
      </w:r>
    </w:p>
    <w:p w14:paraId="21DA6F37" w14:textId="77777777" w:rsidR="000C24B9" w:rsidRDefault="00000000">
      <w:pPr>
        <w:pStyle w:val="ListParagraph"/>
        <w:numPr>
          <w:ilvl w:val="0"/>
          <w:numId w:val="2"/>
        </w:numPr>
        <w:spacing w:before="80" w:after="80"/>
      </w:pPr>
      <w:r>
        <w:rPr>
          <w:b/>
          <w:bCs/>
          <w:color w:val="333333"/>
          <w:sz w:val="21"/>
          <w:szCs w:val="21"/>
        </w:rPr>
        <w:t>Operate with a clear initiative-based approach rather than reacting randomly to opportunities</w:t>
      </w:r>
      <w:r>
        <w:rPr>
          <w:color w:val="666666"/>
          <w:sz w:val="21"/>
          <w:szCs w:val="21"/>
        </w:rPr>
        <w:t xml:space="preserve"> — </w:t>
      </w:r>
      <w:r>
        <w:rPr>
          <w:color w:val="333333"/>
          <w:sz w:val="21"/>
          <w:szCs w:val="21"/>
        </w:rPr>
        <w:t>a partial roadmap beats no roadmap and allows for strategic gathering of intelligence.</w:t>
      </w:r>
    </w:p>
    <w:p w14:paraId="53E94761" w14:textId="77777777" w:rsidR="000C24B9" w:rsidRDefault="00000000">
      <w:pPr>
        <w:pStyle w:val="ListParagraph"/>
        <w:numPr>
          <w:ilvl w:val="0"/>
          <w:numId w:val="2"/>
        </w:numPr>
        <w:spacing w:before="80" w:after="80"/>
      </w:pPr>
      <w:r>
        <w:rPr>
          <w:b/>
          <w:bCs/>
          <w:color w:val="333333"/>
          <w:sz w:val="21"/>
          <w:szCs w:val="21"/>
        </w:rPr>
        <w:t>Use both quantitative and qualitative data to guide decision-making</w:t>
      </w:r>
      <w:r>
        <w:rPr>
          <w:color w:val="666666"/>
          <w:sz w:val="21"/>
          <w:szCs w:val="21"/>
        </w:rPr>
        <w:t xml:space="preserve"> — </w:t>
      </w:r>
      <w:r>
        <w:rPr>
          <w:color w:val="333333"/>
          <w:sz w:val="21"/>
          <w:szCs w:val="21"/>
        </w:rPr>
        <w:t>and tell the story.</w:t>
      </w:r>
    </w:p>
    <w:p w14:paraId="37642922" w14:textId="77777777" w:rsidR="000C24B9" w:rsidRDefault="00000000">
      <w:pPr>
        <w:pStyle w:val="ListParagraph"/>
        <w:numPr>
          <w:ilvl w:val="0"/>
          <w:numId w:val="2"/>
        </w:numPr>
        <w:spacing w:before="80" w:after="80"/>
      </w:pPr>
      <w:r>
        <w:rPr>
          <w:b/>
          <w:bCs/>
          <w:color w:val="333333"/>
          <w:sz w:val="21"/>
          <w:szCs w:val="21"/>
        </w:rPr>
        <w:t>Develop a clear, compelling narrative for why external partners should choose U Health</w:t>
      </w:r>
      <w:r>
        <w:rPr>
          <w:color w:val="666666"/>
          <w:sz w:val="21"/>
          <w:szCs w:val="21"/>
        </w:rPr>
        <w:t xml:space="preserve"> — </w:t>
      </w:r>
      <w:r>
        <w:rPr>
          <w:color w:val="333333"/>
          <w:sz w:val="21"/>
          <w:szCs w:val="21"/>
        </w:rPr>
        <w:t>working closely with clinicians to extract and refine the message.</w:t>
      </w:r>
    </w:p>
    <w:p w14:paraId="188ACF7A" w14:textId="77777777" w:rsidR="000C24B9" w:rsidRPr="005A658F" w:rsidRDefault="00000000">
      <w:pPr>
        <w:pStyle w:val="ListParagraph"/>
        <w:numPr>
          <w:ilvl w:val="0"/>
          <w:numId w:val="2"/>
        </w:numPr>
        <w:spacing w:before="80" w:after="80"/>
      </w:pPr>
      <w:r>
        <w:rPr>
          <w:b/>
          <w:bCs/>
          <w:color w:val="333333"/>
          <w:sz w:val="21"/>
          <w:szCs w:val="21"/>
        </w:rPr>
        <w:t>Prioritize program promotion over provider promotion</w:t>
      </w:r>
      <w:r>
        <w:rPr>
          <w:color w:val="666666"/>
          <w:sz w:val="21"/>
          <w:szCs w:val="21"/>
        </w:rPr>
        <w:t xml:space="preserve"> — </w:t>
      </w:r>
      <w:r>
        <w:rPr>
          <w:color w:val="333333"/>
          <w:sz w:val="21"/>
          <w:szCs w:val="21"/>
        </w:rPr>
        <w:t>focusing on programs with accessible capacity and the highest potential impact.</w:t>
      </w:r>
    </w:p>
    <w:p w14:paraId="3FDF77FC" w14:textId="114EAE8F" w:rsidR="005A658F" w:rsidRDefault="005A658F" w:rsidP="005A658F">
      <w:pPr>
        <w:pStyle w:val="ListParagraph"/>
        <w:numPr>
          <w:ilvl w:val="0"/>
          <w:numId w:val="2"/>
        </w:numPr>
        <w:spacing w:before="80" w:after="80"/>
      </w:pPr>
      <w:r>
        <w:rPr>
          <w:b/>
          <w:bCs/>
          <w:color w:val="333333"/>
          <w:sz w:val="21"/>
          <w:szCs w:val="21"/>
        </w:rPr>
        <w:t>Protect the system, not just the specialty</w:t>
      </w:r>
      <w:r>
        <w:rPr>
          <w:color w:val="666666"/>
          <w:sz w:val="21"/>
          <w:szCs w:val="21"/>
        </w:rPr>
        <w:t xml:space="preserve"> — </w:t>
      </w:r>
      <w:r>
        <w:rPr>
          <w:color w:val="333333"/>
          <w:sz w:val="21"/>
          <w:szCs w:val="21"/>
        </w:rPr>
        <w:t xml:space="preserve">balance micro vs. </w:t>
      </w:r>
      <w:proofErr w:type="gramStart"/>
      <w:r>
        <w:rPr>
          <w:color w:val="333333"/>
          <w:sz w:val="21"/>
          <w:szCs w:val="21"/>
        </w:rPr>
        <w:t>macro opportunities</w:t>
      </w:r>
      <w:proofErr w:type="gramEnd"/>
      <w:r>
        <w:rPr>
          <w:color w:val="333333"/>
          <w:sz w:val="21"/>
          <w:szCs w:val="21"/>
        </w:rPr>
        <w:t xml:space="preserve"> and consider system-wide strategy over standalone initiatives.</w:t>
      </w:r>
    </w:p>
    <w:p w14:paraId="204631CC" w14:textId="77777777" w:rsidR="000C24B9" w:rsidRDefault="000C24B9">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24B9" w14:paraId="1EB072AD" w14:textId="77777777">
        <w:tblPrEx>
          <w:tblCellMar>
            <w:top w:w="0" w:type="dxa"/>
            <w:bottom w:w="0" w:type="dxa"/>
          </w:tblCellMar>
        </w:tblPrEx>
        <w:tc>
          <w:tcPr>
            <w:tcW w:w="9360" w:type="dxa"/>
            <w:shd w:val="clear" w:color="auto" w:fill="CC0000"/>
            <w:tcMar>
              <w:top w:w="120" w:type="dxa"/>
              <w:left w:w="200" w:type="dxa"/>
              <w:bottom w:w="120" w:type="dxa"/>
              <w:right w:w="200" w:type="dxa"/>
            </w:tcMar>
          </w:tcPr>
          <w:p w14:paraId="3FF1149C" w14:textId="77777777" w:rsidR="000C24B9" w:rsidRDefault="00000000">
            <w:r>
              <w:rPr>
                <w:b/>
                <w:bCs/>
                <w:color w:val="FFFFFF"/>
                <w:sz w:val="24"/>
                <w:szCs w:val="24"/>
              </w:rPr>
              <w:t>4. How We Match Acuity</w:t>
            </w:r>
          </w:p>
        </w:tc>
      </w:tr>
      <w:tr w:rsidR="000C24B9" w14:paraId="1F163E02" w14:textId="77777777">
        <w:tblPrEx>
          <w:tblCellMar>
            <w:top w:w="0" w:type="dxa"/>
            <w:bottom w:w="0" w:type="dxa"/>
          </w:tblCellMar>
        </w:tblPrEx>
        <w:tc>
          <w:tcPr>
            <w:tcW w:w="9360" w:type="dxa"/>
            <w:tcBorders>
              <w:bottom w:val="single" w:sz="4" w:space="0" w:color="CC0000"/>
            </w:tcBorders>
            <w:shd w:val="clear" w:color="auto" w:fill="F5F0F0"/>
            <w:tcMar>
              <w:top w:w="80" w:type="dxa"/>
              <w:left w:w="200" w:type="dxa"/>
              <w:bottom w:w="80" w:type="dxa"/>
              <w:right w:w="200" w:type="dxa"/>
            </w:tcMar>
          </w:tcPr>
          <w:p w14:paraId="722C0DB1" w14:textId="77777777" w:rsidR="000C24B9" w:rsidRDefault="00000000">
            <w:r>
              <w:rPr>
                <w:i/>
                <w:iCs/>
                <w:color w:val="666666"/>
                <w:sz w:val="18"/>
                <w:szCs w:val="18"/>
              </w:rPr>
              <w:t>These principles ensure we pursue the right patients from the right markets at the right complexity level.</w:t>
            </w:r>
          </w:p>
        </w:tc>
      </w:tr>
    </w:tbl>
    <w:p w14:paraId="44B98285" w14:textId="77777777" w:rsidR="005A658F" w:rsidRPr="005A658F" w:rsidRDefault="005A658F" w:rsidP="005A658F">
      <w:pPr>
        <w:pStyle w:val="ListParagraph"/>
        <w:spacing w:before="80" w:after="80"/>
        <w:ind w:left="720"/>
      </w:pPr>
    </w:p>
    <w:p w14:paraId="73F04037" w14:textId="5B82D1DA" w:rsidR="000C24B9" w:rsidRDefault="00000000">
      <w:pPr>
        <w:pStyle w:val="ListParagraph"/>
        <w:numPr>
          <w:ilvl w:val="0"/>
          <w:numId w:val="2"/>
        </w:numPr>
        <w:spacing w:before="80" w:after="80"/>
      </w:pPr>
      <w:r>
        <w:rPr>
          <w:b/>
          <w:bCs/>
          <w:color w:val="333333"/>
          <w:sz w:val="21"/>
          <w:szCs w:val="21"/>
        </w:rPr>
        <w:t>Capture high-acuity cases that are already leaving local markets</w:t>
      </w:r>
      <w:r>
        <w:rPr>
          <w:color w:val="666666"/>
          <w:sz w:val="21"/>
          <w:szCs w:val="21"/>
        </w:rPr>
        <w:t xml:space="preserve"> — </w:t>
      </w:r>
      <w:r>
        <w:rPr>
          <w:color w:val="333333"/>
          <w:sz w:val="21"/>
          <w:szCs w:val="21"/>
        </w:rPr>
        <w:t>don’t increase referrals for care that can and should stay local.</w:t>
      </w:r>
    </w:p>
    <w:p w14:paraId="62DC66F4" w14:textId="77777777" w:rsidR="000C24B9" w:rsidRDefault="00000000">
      <w:pPr>
        <w:pStyle w:val="ListParagraph"/>
        <w:numPr>
          <w:ilvl w:val="0"/>
          <w:numId w:val="2"/>
        </w:numPr>
        <w:spacing w:before="80" w:after="80"/>
      </w:pPr>
      <w:r>
        <w:rPr>
          <w:b/>
          <w:bCs/>
          <w:color w:val="333333"/>
          <w:sz w:val="21"/>
          <w:szCs w:val="21"/>
        </w:rPr>
        <w:t>The lower the incidence rate, the broader the market scope required</w:t>
      </w:r>
      <w:r>
        <w:rPr>
          <w:color w:val="666666"/>
          <w:sz w:val="21"/>
          <w:szCs w:val="21"/>
        </w:rPr>
        <w:t xml:space="preserve"> — </w:t>
      </w:r>
      <w:r>
        <w:rPr>
          <w:color w:val="333333"/>
          <w:sz w:val="21"/>
          <w:szCs w:val="21"/>
        </w:rPr>
        <w:t>align acuity levels with necessary market size.</w:t>
      </w:r>
    </w:p>
    <w:p w14:paraId="3C668AEA" w14:textId="77777777" w:rsidR="000C24B9" w:rsidRDefault="00000000">
      <w:pPr>
        <w:pStyle w:val="ListParagraph"/>
        <w:numPr>
          <w:ilvl w:val="0"/>
          <w:numId w:val="2"/>
        </w:numPr>
        <w:spacing w:before="80" w:after="80"/>
      </w:pPr>
      <w:r>
        <w:rPr>
          <w:b/>
          <w:bCs/>
          <w:color w:val="333333"/>
          <w:sz w:val="21"/>
          <w:szCs w:val="21"/>
        </w:rPr>
        <w:t>Implement solutions that enable local care when possible</w:t>
      </w:r>
      <w:r>
        <w:rPr>
          <w:color w:val="666666"/>
          <w:sz w:val="21"/>
          <w:szCs w:val="21"/>
        </w:rPr>
        <w:t xml:space="preserve"> — </w:t>
      </w:r>
      <w:r>
        <w:rPr>
          <w:color w:val="333333"/>
          <w:sz w:val="21"/>
          <w:szCs w:val="21"/>
        </w:rPr>
        <w:t>preserving U Health’s clinic, OR, and bed capacity for those who must be treated here.</w:t>
      </w:r>
    </w:p>
    <w:p w14:paraId="44EBF88B" w14:textId="77777777" w:rsidR="000C24B9" w:rsidRDefault="00000000">
      <w:pPr>
        <w:pStyle w:val="ListParagraph"/>
        <w:numPr>
          <w:ilvl w:val="0"/>
          <w:numId w:val="2"/>
        </w:numPr>
        <w:spacing w:before="80" w:after="80"/>
      </w:pPr>
      <w:r>
        <w:rPr>
          <w:b/>
          <w:bCs/>
          <w:color w:val="333333"/>
          <w:sz w:val="21"/>
          <w:szCs w:val="21"/>
        </w:rPr>
        <w:t>The more insight and influence we have closer to the transferring site</w:t>
      </w:r>
      <w:r>
        <w:rPr>
          <w:color w:val="666666"/>
          <w:sz w:val="21"/>
          <w:szCs w:val="21"/>
        </w:rPr>
        <w:t xml:space="preserve"> — </w:t>
      </w:r>
      <w:r>
        <w:rPr>
          <w:color w:val="333333"/>
          <w:sz w:val="21"/>
          <w:szCs w:val="21"/>
        </w:rPr>
        <w:t>the more effective we are at capturing the patients we want.</w:t>
      </w:r>
    </w:p>
    <w:p w14:paraId="2BAAB58E" w14:textId="77777777" w:rsidR="000C24B9" w:rsidRDefault="00000000">
      <w:pPr>
        <w:pStyle w:val="ListParagraph"/>
        <w:numPr>
          <w:ilvl w:val="0"/>
          <w:numId w:val="2"/>
        </w:numPr>
        <w:spacing w:before="80" w:after="80"/>
      </w:pPr>
      <w:r>
        <w:rPr>
          <w:b/>
          <w:bCs/>
          <w:color w:val="333333"/>
          <w:sz w:val="21"/>
          <w:szCs w:val="21"/>
        </w:rPr>
        <w:t>Successful outreach results in higher Case Mix Index from a target market or relationship</w:t>
      </w:r>
      <w:r>
        <w:rPr>
          <w:color w:val="666666"/>
          <w:sz w:val="21"/>
          <w:szCs w:val="21"/>
        </w:rPr>
        <w:t xml:space="preserve"> — </w:t>
      </w:r>
      <w:r>
        <w:rPr>
          <w:color w:val="333333"/>
          <w:sz w:val="21"/>
          <w:szCs w:val="21"/>
        </w:rPr>
        <w:t>not simply higher volume.</w:t>
      </w:r>
    </w:p>
    <w:p w14:paraId="4F03BFE2" w14:textId="77777777" w:rsidR="000C24B9" w:rsidRDefault="000C24B9">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24B9" w14:paraId="39921DDC" w14:textId="77777777">
        <w:tblPrEx>
          <w:tblCellMar>
            <w:top w:w="0" w:type="dxa"/>
            <w:bottom w:w="0" w:type="dxa"/>
          </w:tblCellMar>
        </w:tblPrEx>
        <w:tc>
          <w:tcPr>
            <w:tcW w:w="9360" w:type="dxa"/>
            <w:shd w:val="clear" w:color="auto" w:fill="CC0000"/>
            <w:tcMar>
              <w:top w:w="120" w:type="dxa"/>
              <w:left w:w="200" w:type="dxa"/>
              <w:bottom w:w="120" w:type="dxa"/>
              <w:right w:w="200" w:type="dxa"/>
            </w:tcMar>
          </w:tcPr>
          <w:p w14:paraId="5DE51CE3" w14:textId="77777777" w:rsidR="000C24B9" w:rsidRDefault="00000000">
            <w:r>
              <w:rPr>
                <w:b/>
                <w:bCs/>
                <w:color w:val="FFFFFF"/>
                <w:sz w:val="24"/>
                <w:szCs w:val="24"/>
              </w:rPr>
              <w:t>5. How We Execute &amp; Learn</w:t>
            </w:r>
          </w:p>
        </w:tc>
      </w:tr>
      <w:tr w:rsidR="000C24B9" w14:paraId="7F162F93" w14:textId="77777777">
        <w:tblPrEx>
          <w:tblCellMar>
            <w:top w:w="0" w:type="dxa"/>
            <w:bottom w:w="0" w:type="dxa"/>
          </w:tblCellMar>
        </w:tblPrEx>
        <w:tc>
          <w:tcPr>
            <w:tcW w:w="9360" w:type="dxa"/>
            <w:tcBorders>
              <w:bottom w:val="single" w:sz="4" w:space="0" w:color="CC0000"/>
            </w:tcBorders>
            <w:shd w:val="clear" w:color="auto" w:fill="F5F0F0"/>
            <w:tcMar>
              <w:top w:w="80" w:type="dxa"/>
              <w:left w:w="200" w:type="dxa"/>
              <w:bottom w:w="80" w:type="dxa"/>
              <w:right w:w="200" w:type="dxa"/>
            </w:tcMar>
          </w:tcPr>
          <w:p w14:paraId="35906241" w14:textId="77777777" w:rsidR="000C24B9" w:rsidRDefault="00000000">
            <w:r>
              <w:rPr>
                <w:i/>
                <w:iCs/>
                <w:color w:val="666666"/>
                <w:sz w:val="18"/>
                <w:szCs w:val="18"/>
              </w:rPr>
              <w:t>These principles define our team’s identity in the field and our commitment to continuous improvement.</w:t>
            </w:r>
          </w:p>
        </w:tc>
      </w:tr>
    </w:tbl>
    <w:p w14:paraId="3AD9BAE3" w14:textId="77777777" w:rsidR="005A658F" w:rsidRPr="005A658F" w:rsidRDefault="005A658F" w:rsidP="005A658F">
      <w:pPr>
        <w:pStyle w:val="ListParagraph"/>
        <w:spacing w:before="80" w:after="80"/>
        <w:ind w:left="720"/>
      </w:pPr>
    </w:p>
    <w:p w14:paraId="656FADC2" w14:textId="1BD0F87E" w:rsidR="000C24B9" w:rsidRDefault="00000000">
      <w:pPr>
        <w:pStyle w:val="ListParagraph"/>
        <w:numPr>
          <w:ilvl w:val="0"/>
          <w:numId w:val="2"/>
        </w:numPr>
        <w:spacing w:before="80" w:after="80"/>
      </w:pPr>
      <w:r>
        <w:rPr>
          <w:b/>
          <w:bCs/>
          <w:color w:val="333333"/>
          <w:sz w:val="21"/>
          <w:szCs w:val="21"/>
        </w:rPr>
        <w:t>We are explorers, not presenters</w:t>
      </w:r>
      <w:r>
        <w:rPr>
          <w:color w:val="666666"/>
          <w:sz w:val="21"/>
          <w:szCs w:val="21"/>
        </w:rPr>
        <w:t xml:space="preserve"> — </w:t>
      </w:r>
      <w:r>
        <w:rPr>
          <w:color w:val="333333"/>
          <w:sz w:val="21"/>
          <w:szCs w:val="21"/>
        </w:rPr>
        <w:t>we lead with curiosity, comfort with ambiguity, and listening over solving.</w:t>
      </w:r>
    </w:p>
    <w:p w14:paraId="0869DDAC" w14:textId="77777777" w:rsidR="000C24B9" w:rsidRDefault="00000000">
      <w:pPr>
        <w:pStyle w:val="ListParagraph"/>
        <w:numPr>
          <w:ilvl w:val="0"/>
          <w:numId w:val="2"/>
        </w:numPr>
        <w:spacing w:before="80" w:after="80"/>
      </w:pPr>
      <w:r>
        <w:rPr>
          <w:b/>
          <w:bCs/>
          <w:color w:val="333333"/>
          <w:sz w:val="21"/>
          <w:szCs w:val="21"/>
        </w:rPr>
        <w:t>Ask better questions and proactively seek hard feedback</w:t>
      </w:r>
      <w:r>
        <w:rPr>
          <w:color w:val="666666"/>
          <w:sz w:val="21"/>
          <w:szCs w:val="21"/>
        </w:rPr>
        <w:t xml:space="preserve"> — </w:t>
      </w:r>
      <w:r>
        <w:rPr>
          <w:color w:val="333333"/>
          <w:sz w:val="21"/>
          <w:szCs w:val="21"/>
        </w:rPr>
        <w:t>change the setting, give explicit permission for honest conversation, and pursue the insights others won’t ask for.</w:t>
      </w:r>
    </w:p>
    <w:p w14:paraId="6069BC11" w14:textId="77777777" w:rsidR="000C24B9" w:rsidRDefault="00000000">
      <w:pPr>
        <w:pStyle w:val="ListParagraph"/>
        <w:numPr>
          <w:ilvl w:val="0"/>
          <w:numId w:val="2"/>
        </w:numPr>
        <w:spacing w:before="80" w:after="80"/>
      </w:pPr>
      <w:r>
        <w:rPr>
          <w:b/>
          <w:bCs/>
          <w:color w:val="333333"/>
          <w:sz w:val="21"/>
          <w:szCs w:val="21"/>
        </w:rPr>
        <w:t>Document everything with discipline</w:t>
      </w:r>
      <w:r>
        <w:rPr>
          <w:color w:val="666666"/>
          <w:sz w:val="21"/>
          <w:szCs w:val="21"/>
        </w:rPr>
        <w:t xml:space="preserve"> — </w:t>
      </w:r>
      <w:r>
        <w:rPr>
          <w:color w:val="333333"/>
          <w:sz w:val="21"/>
          <w:szCs w:val="21"/>
        </w:rPr>
        <w:t>field intelligence only becomes institutional knowledge when it’s captured, and our credibility comes from synthesis and discipline, not just good relationships.</w:t>
      </w:r>
    </w:p>
    <w:p w14:paraId="5360B4F0" w14:textId="77777777" w:rsidR="000C24B9" w:rsidRPr="005A658F" w:rsidRDefault="00000000">
      <w:pPr>
        <w:pStyle w:val="ListParagraph"/>
        <w:numPr>
          <w:ilvl w:val="0"/>
          <w:numId w:val="2"/>
        </w:numPr>
        <w:spacing w:before="80" w:after="80"/>
      </w:pPr>
      <w:r>
        <w:rPr>
          <w:b/>
          <w:bCs/>
          <w:color w:val="333333"/>
          <w:sz w:val="21"/>
          <w:szCs w:val="21"/>
        </w:rPr>
        <w:t>Apply offensive vs. defensive thinking</w:t>
      </w:r>
      <w:r>
        <w:rPr>
          <w:color w:val="666666"/>
          <w:sz w:val="21"/>
          <w:szCs w:val="21"/>
        </w:rPr>
        <w:t xml:space="preserve"> — </w:t>
      </w:r>
      <w:r>
        <w:rPr>
          <w:color w:val="333333"/>
          <w:sz w:val="21"/>
          <w:szCs w:val="21"/>
        </w:rPr>
        <w:t>in evaluating market positioning opportunities.</w:t>
      </w:r>
    </w:p>
    <w:p w14:paraId="2FC8A2C1" w14:textId="3BA3C1BC" w:rsidR="005A658F" w:rsidRDefault="005A658F" w:rsidP="005A658F">
      <w:pPr>
        <w:pStyle w:val="ListParagraph"/>
        <w:numPr>
          <w:ilvl w:val="0"/>
          <w:numId w:val="2"/>
        </w:numPr>
        <w:spacing w:before="80" w:after="80"/>
      </w:pPr>
      <w:r>
        <w:rPr>
          <w:b/>
          <w:bCs/>
          <w:color w:val="333333"/>
          <w:sz w:val="21"/>
          <w:szCs w:val="21"/>
        </w:rPr>
        <w:t>When BD becomes a workaround for broken processes, that signals system failure</w:t>
      </w:r>
      <w:r>
        <w:rPr>
          <w:color w:val="666666"/>
          <w:sz w:val="21"/>
          <w:szCs w:val="21"/>
        </w:rPr>
        <w:t xml:space="preserve"> — </w:t>
      </w:r>
      <w:r>
        <w:rPr>
          <w:color w:val="333333"/>
          <w:sz w:val="21"/>
          <w:szCs w:val="21"/>
        </w:rPr>
        <w:t>not a BD function to absorb.</w:t>
      </w:r>
    </w:p>
    <w:p w14:paraId="400A3015" w14:textId="77777777" w:rsidR="000C24B9" w:rsidRDefault="000C24B9">
      <w:pPr>
        <w:spacing w:before="240"/>
      </w:pPr>
    </w:p>
    <w:sectPr w:rsidR="000C24B9">
      <w:headerReference w:type="default" r:id="rId7"/>
      <w:footerReference w:type="default" r:id="rId8"/>
      <w:pgSz w:w="12240" w:h="15840"/>
      <w:pgMar w:top="144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201FF" w14:textId="77777777" w:rsidR="006D550D" w:rsidRDefault="006D550D">
      <w:r>
        <w:separator/>
      </w:r>
    </w:p>
  </w:endnote>
  <w:endnote w:type="continuationSeparator" w:id="0">
    <w:p w14:paraId="42D6DB74" w14:textId="77777777" w:rsidR="006D550D" w:rsidRDefault="006D5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7199C" w14:textId="77777777" w:rsidR="000C24B9" w:rsidRDefault="00000000">
    <w:pPr>
      <w:pBdr>
        <w:top w:val="single" w:sz="2" w:space="6" w:color="CCCCCC"/>
      </w:pBdr>
      <w:jc w:val="center"/>
    </w:pPr>
    <w:r>
      <w:rPr>
        <w:color w:val="666666"/>
        <w:sz w:val="14"/>
        <w:szCs w:val="14"/>
      </w:rPr>
      <w:t xml:space="preserve">V2.0  |  April 2026  |  Page </w:t>
    </w:r>
    <w:r>
      <w:rPr>
        <w:color w:val="666666"/>
        <w:sz w:val="14"/>
        <w:szCs w:val="14"/>
      </w:rPr>
      <w:fldChar w:fldCharType="begin"/>
    </w:r>
    <w:r>
      <w:rPr>
        <w:color w:val="666666"/>
        <w:sz w:val="14"/>
        <w:szCs w:val="14"/>
      </w:rPr>
      <w:instrText>PAGE</w:instrText>
    </w:r>
    <w:r>
      <w:rPr>
        <w:color w:val="666666"/>
        <w:sz w:val="14"/>
        <w:szCs w:val="14"/>
      </w:rPr>
      <w:fldChar w:fldCharType="separate"/>
    </w:r>
    <w:r w:rsidR="005A658F">
      <w:rPr>
        <w:noProof/>
        <w:color w:val="666666"/>
        <w:sz w:val="14"/>
        <w:szCs w:val="14"/>
      </w:rPr>
      <w:t>1</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83E3F" w14:textId="77777777" w:rsidR="006D550D" w:rsidRDefault="006D550D">
      <w:r>
        <w:separator/>
      </w:r>
    </w:p>
  </w:footnote>
  <w:footnote w:type="continuationSeparator" w:id="0">
    <w:p w14:paraId="2A18284D" w14:textId="77777777" w:rsidR="006D550D" w:rsidRDefault="006D55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5510A" w14:textId="77C718BF" w:rsidR="000C24B9" w:rsidRDefault="00000000">
    <w:pPr>
      <w:pBdr>
        <w:bottom w:val="single" w:sz="4" w:space="6" w:color="CC0000"/>
      </w:pBdr>
      <w:jc w:val="center"/>
    </w:pPr>
    <w:r>
      <w:rPr>
        <w:color w:val="666666"/>
        <w:sz w:val="16"/>
        <w:szCs w:val="16"/>
      </w:rPr>
      <w:t xml:space="preserve">BD Team Guiding Principles  |  University of Utah Health  |  </w:t>
    </w:r>
    <w:r w:rsidR="005A658F">
      <w:rPr>
        <w:color w:val="666666"/>
        <w:sz w:val="16"/>
        <w:szCs w:val="16"/>
      </w:rPr>
      <w:t>Office of Network Development &amp; Telehealth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251D4"/>
    <w:multiLevelType w:val="hybridMultilevel"/>
    <w:tmpl w:val="061E2182"/>
    <w:lvl w:ilvl="0" w:tplc="DE3AE14E">
      <w:start w:val="1"/>
      <w:numFmt w:val="bullet"/>
      <w:lvlText w:val="•"/>
      <w:lvlJc w:val="left"/>
      <w:pPr>
        <w:ind w:left="720" w:hanging="360"/>
      </w:pPr>
    </w:lvl>
    <w:lvl w:ilvl="1" w:tplc="1EC8259A">
      <w:numFmt w:val="decimal"/>
      <w:lvlText w:val=""/>
      <w:lvlJc w:val="left"/>
    </w:lvl>
    <w:lvl w:ilvl="2" w:tplc="05784B04">
      <w:numFmt w:val="decimal"/>
      <w:lvlText w:val=""/>
      <w:lvlJc w:val="left"/>
    </w:lvl>
    <w:lvl w:ilvl="3" w:tplc="5D88C40C">
      <w:numFmt w:val="decimal"/>
      <w:lvlText w:val=""/>
      <w:lvlJc w:val="left"/>
    </w:lvl>
    <w:lvl w:ilvl="4" w:tplc="835031EE">
      <w:numFmt w:val="decimal"/>
      <w:lvlText w:val=""/>
      <w:lvlJc w:val="left"/>
    </w:lvl>
    <w:lvl w:ilvl="5" w:tplc="06C27B4C">
      <w:numFmt w:val="decimal"/>
      <w:lvlText w:val=""/>
      <w:lvlJc w:val="left"/>
    </w:lvl>
    <w:lvl w:ilvl="6" w:tplc="9AA66020">
      <w:numFmt w:val="decimal"/>
      <w:lvlText w:val=""/>
      <w:lvlJc w:val="left"/>
    </w:lvl>
    <w:lvl w:ilvl="7" w:tplc="00783722">
      <w:numFmt w:val="decimal"/>
      <w:lvlText w:val=""/>
      <w:lvlJc w:val="left"/>
    </w:lvl>
    <w:lvl w:ilvl="8" w:tplc="6BE48688">
      <w:numFmt w:val="decimal"/>
      <w:lvlText w:val=""/>
      <w:lvlJc w:val="left"/>
    </w:lvl>
  </w:abstractNum>
  <w:abstractNum w:abstractNumId="1" w15:restartNumberingAfterBreak="0">
    <w:nsid w:val="51F038BE"/>
    <w:multiLevelType w:val="hybridMultilevel"/>
    <w:tmpl w:val="24808396"/>
    <w:lvl w:ilvl="0" w:tplc="91828A7C">
      <w:start w:val="1"/>
      <w:numFmt w:val="bullet"/>
      <w:lvlText w:val="▪"/>
      <w:lvlJc w:val="left"/>
      <w:pPr>
        <w:ind w:left="720" w:hanging="360"/>
      </w:pPr>
    </w:lvl>
    <w:lvl w:ilvl="1" w:tplc="5E846630">
      <w:numFmt w:val="decimal"/>
      <w:lvlText w:val=""/>
      <w:lvlJc w:val="left"/>
    </w:lvl>
    <w:lvl w:ilvl="2" w:tplc="989ADA2A">
      <w:numFmt w:val="decimal"/>
      <w:lvlText w:val=""/>
      <w:lvlJc w:val="left"/>
    </w:lvl>
    <w:lvl w:ilvl="3" w:tplc="1BF84C9C">
      <w:numFmt w:val="decimal"/>
      <w:lvlText w:val=""/>
      <w:lvlJc w:val="left"/>
    </w:lvl>
    <w:lvl w:ilvl="4" w:tplc="62A81CD8">
      <w:numFmt w:val="decimal"/>
      <w:lvlText w:val=""/>
      <w:lvlJc w:val="left"/>
    </w:lvl>
    <w:lvl w:ilvl="5" w:tplc="CC021502">
      <w:numFmt w:val="decimal"/>
      <w:lvlText w:val=""/>
      <w:lvlJc w:val="left"/>
    </w:lvl>
    <w:lvl w:ilvl="6" w:tplc="5B3A41C4">
      <w:numFmt w:val="decimal"/>
      <w:lvlText w:val=""/>
      <w:lvlJc w:val="left"/>
    </w:lvl>
    <w:lvl w:ilvl="7" w:tplc="928A4B9E">
      <w:numFmt w:val="decimal"/>
      <w:lvlText w:val=""/>
      <w:lvlJc w:val="left"/>
    </w:lvl>
    <w:lvl w:ilvl="8" w:tplc="61EE4CA8">
      <w:numFmt w:val="decimal"/>
      <w:lvlText w:val=""/>
      <w:lvlJc w:val="left"/>
    </w:lvl>
  </w:abstractNum>
  <w:abstractNum w:abstractNumId="2" w15:restartNumberingAfterBreak="0">
    <w:nsid w:val="7B1D5412"/>
    <w:multiLevelType w:val="hybridMultilevel"/>
    <w:tmpl w:val="078CDE38"/>
    <w:lvl w:ilvl="0" w:tplc="B200620C">
      <w:start w:val="1"/>
      <w:numFmt w:val="bullet"/>
      <w:lvlText w:val="●"/>
      <w:lvlJc w:val="left"/>
      <w:pPr>
        <w:ind w:left="720" w:hanging="360"/>
      </w:pPr>
    </w:lvl>
    <w:lvl w:ilvl="1" w:tplc="CA56BC9A">
      <w:start w:val="1"/>
      <w:numFmt w:val="bullet"/>
      <w:lvlText w:val="○"/>
      <w:lvlJc w:val="left"/>
      <w:pPr>
        <w:ind w:left="1440" w:hanging="360"/>
      </w:pPr>
    </w:lvl>
    <w:lvl w:ilvl="2" w:tplc="073A8B54">
      <w:start w:val="1"/>
      <w:numFmt w:val="bullet"/>
      <w:lvlText w:val="■"/>
      <w:lvlJc w:val="left"/>
      <w:pPr>
        <w:ind w:left="2160" w:hanging="360"/>
      </w:pPr>
    </w:lvl>
    <w:lvl w:ilvl="3" w:tplc="7F9C0598">
      <w:start w:val="1"/>
      <w:numFmt w:val="bullet"/>
      <w:lvlText w:val="●"/>
      <w:lvlJc w:val="left"/>
      <w:pPr>
        <w:ind w:left="2880" w:hanging="360"/>
      </w:pPr>
    </w:lvl>
    <w:lvl w:ilvl="4" w:tplc="E40E89EE">
      <w:start w:val="1"/>
      <w:numFmt w:val="bullet"/>
      <w:lvlText w:val="○"/>
      <w:lvlJc w:val="left"/>
      <w:pPr>
        <w:ind w:left="3600" w:hanging="360"/>
      </w:pPr>
    </w:lvl>
    <w:lvl w:ilvl="5" w:tplc="0234F8B0">
      <w:start w:val="1"/>
      <w:numFmt w:val="bullet"/>
      <w:lvlText w:val="■"/>
      <w:lvlJc w:val="left"/>
      <w:pPr>
        <w:ind w:left="4320" w:hanging="360"/>
      </w:pPr>
    </w:lvl>
    <w:lvl w:ilvl="6" w:tplc="17545C1C">
      <w:start w:val="1"/>
      <w:numFmt w:val="bullet"/>
      <w:lvlText w:val="●"/>
      <w:lvlJc w:val="left"/>
      <w:pPr>
        <w:ind w:left="5040" w:hanging="360"/>
      </w:pPr>
    </w:lvl>
    <w:lvl w:ilvl="7" w:tplc="20104AE6">
      <w:start w:val="1"/>
      <w:numFmt w:val="bullet"/>
      <w:lvlText w:val="●"/>
      <w:lvlJc w:val="left"/>
      <w:pPr>
        <w:ind w:left="5760" w:hanging="360"/>
      </w:pPr>
    </w:lvl>
    <w:lvl w:ilvl="8" w:tplc="F118A59C">
      <w:start w:val="1"/>
      <w:numFmt w:val="bullet"/>
      <w:lvlText w:val="●"/>
      <w:lvlJc w:val="left"/>
      <w:pPr>
        <w:ind w:left="6480" w:hanging="360"/>
      </w:pPr>
    </w:lvl>
  </w:abstractNum>
  <w:num w:numId="1" w16cid:durableId="474416601">
    <w:abstractNumId w:val="2"/>
    <w:lvlOverride w:ilvl="0">
      <w:startOverride w:val="1"/>
    </w:lvlOverride>
  </w:num>
  <w:num w:numId="2" w16cid:durableId="1654988976">
    <w:abstractNumId w:val="1"/>
    <w:lvlOverride w:ilvl="0">
      <w:startOverride w:val="1"/>
    </w:lvlOverride>
  </w:num>
  <w:num w:numId="3" w16cid:durableId="2002156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4B9"/>
    <w:rsid w:val="000C24B9"/>
    <w:rsid w:val="005A658F"/>
    <w:rsid w:val="006739FB"/>
    <w:rsid w:val="006D5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972D1E"/>
  <w15:docId w15:val="{7C20B726-C20F-C145-BB93-E65D1821C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CC0000"/>
      <w:sz w:val="36"/>
      <w:szCs w:val="36"/>
    </w:rPr>
  </w:style>
  <w:style w:type="paragraph" w:styleId="Heading2">
    <w:name w:val="heading 2"/>
    <w:uiPriority w:val="9"/>
    <w:semiHidden/>
    <w:unhideWhenUsed/>
    <w:qFormat/>
    <w:pPr>
      <w:spacing w:before="200" w:after="100"/>
      <w:outlineLvl w:val="1"/>
    </w:pPr>
    <w:rPr>
      <w:b/>
      <w:bCs/>
      <w:color w:val="333333"/>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A658F"/>
    <w:pPr>
      <w:tabs>
        <w:tab w:val="center" w:pos="4680"/>
        <w:tab w:val="right" w:pos="9360"/>
      </w:tabs>
    </w:pPr>
  </w:style>
  <w:style w:type="character" w:customStyle="1" w:styleId="HeaderChar">
    <w:name w:val="Header Char"/>
    <w:basedOn w:val="DefaultParagraphFont"/>
    <w:link w:val="Header"/>
    <w:uiPriority w:val="99"/>
    <w:rsid w:val="005A658F"/>
  </w:style>
  <w:style w:type="paragraph" w:styleId="Footer">
    <w:name w:val="footer"/>
    <w:basedOn w:val="Normal"/>
    <w:link w:val="FooterChar"/>
    <w:uiPriority w:val="99"/>
    <w:unhideWhenUsed/>
    <w:rsid w:val="005A658F"/>
    <w:pPr>
      <w:tabs>
        <w:tab w:val="center" w:pos="4680"/>
        <w:tab w:val="right" w:pos="9360"/>
      </w:tabs>
    </w:pPr>
  </w:style>
  <w:style w:type="character" w:customStyle="1" w:styleId="FooterChar">
    <w:name w:val="Footer Char"/>
    <w:basedOn w:val="DefaultParagraphFont"/>
    <w:link w:val="Footer"/>
    <w:uiPriority w:val="99"/>
    <w:rsid w:val="005A65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689</Words>
  <Characters>3782</Characters>
  <Application>Microsoft Office Word</Application>
  <DocSecurity>0</DocSecurity>
  <Lines>77</Lines>
  <Paragraphs>46</Paragraphs>
  <ScaleCrop>false</ScaleCrop>
  <Company/>
  <LinksUpToDate>false</LinksUpToDate>
  <CharactersWithSpaces>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Benton Lyons</cp:lastModifiedBy>
  <cp:revision>2</cp:revision>
  <dcterms:created xsi:type="dcterms:W3CDTF">2026-04-20T16:23:00Z</dcterms:created>
  <dcterms:modified xsi:type="dcterms:W3CDTF">2026-04-20T16:32:00Z</dcterms:modified>
</cp:coreProperties>
</file>