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5276"/>
          <w:spacing w:val="30"/>
          <w:sz w:val="16"/>
          <w:szCs w:val="16"/>
        </w:rPr>
        <w:t xml:space="preserve">UNIVERSITY OF UTAH HEALTH  |  OUTREACH &amp; NETWORK DEVELOPMENT</w:t>
      </w:r>
    </w:p>
    <w:p>
      <w:pPr>
        <w:pBdr>
          <w:bottom w:val="single" w:color="BE0000" w:sz="12" w:space="4"/>
        </w:pBdr>
        <w:spacing w:after="40" w:before="0"/>
      </w:pPr>
      <w:r>
        <w:rPr>
          <w:rFonts w:ascii="Arial" w:cs="Arial" w:eastAsia="Arial" w:hAnsi="Arial"/>
          <w:b/>
          <w:bCs/>
          <w:color w:val="1F2A44"/>
          <w:sz w:val="40"/>
          <w:szCs w:val="40"/>
        </w:rPr>
        <w:t xml:space="preserve">The Stewardship Phase</w:t>
      </w:r>
    </w:p>
    <w:p>
      <w:pPr>
        <w:spacing w:after="200" w:before="80"/>
      </w:pPr>
      <w:r>
        <w:rPr>
          <w:rFonts w:ascii="Arial" w:cs="Arial" w:eastAsia="Arial" w:hAnsi="Arial"/>
          <w:i/>
          <w:iCs/>
          <w:color w:val="1A5276"/>
          <w:sz w:val="22"/>
          <w:szCs w:val="22"/>
        </w:rPr>
        <w:t xml:space="preserve">An operating approach for established initiatives within the BD Operating System</w:t>
      </w:r>
    </w:p>
    <w:p>
      <w:pPr>
        <w:spacing w:after="120" w:before="0" w:line="276"/>
      </w:pPr>
      <w:r>
        <w:rPr>
          <w:rFonts w:ascii="Arial" w:cs="Arial" w:eastAsia="Arial" w:hAnsi="Arial"/>
          <w:b/>
          <w:bCs/>
          <w:color w:val="BE0000"/>
          <w:sz w:val="22"/>
          <w:szCs w:val="22"/>
        </w:rPr>
        <w:t xml:space="preserve">When an initiative enters Stewardship.  </w:t>
      </w:r>
      <w:r>
        <w:rPr>
          <w:rFonts w:ascii="Arial" w:cs="Arial" w:eastAsia="Arial" w:hAnsi="Arial"/>
          <w:color w:val="000000"/>
          <w:sz w:val="22"/>
          <w:szCs w:val="22"/>
        </w:rPr>
        <w:t xml:space="preserve">After two or three full cycles of the BDOS — planning, execution, and reporting — most initiatives reach a point where additional exploratory work yields diminishing returns. Priority markets have been covered, key referring relationships are established, and the initiative is producing referrals. That is the diagnostic signal that the initiative is ready to shift from active build-out into the Stewardship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1A5276" w:sz="4"/>
              <w:left w:val="single" w:color="1A5276" w:sz="4"/>
              <w:bottom w:val="single" w:color="1A5276" w:sz="4"/>
              <w:right w:val="single" w:color="1A5276" w:sz="4"/>
            </w:tcBorders>
            <w:shd w:fill="E8F0F3" w:val="clear"/>
            <w:tcMar>
              <w:top w:type="dxa" w:w="140"/>
              <w:left w:type="dxa" w:w="200"/>
              <w:bottom w:type="dxa" w:w="140"/>
              <w:right w:type="dxa" w:w="200"/>
            </w:tcMar>
          </w:tcPr>
          <w:p>
            <w:pPr>
              <w:spacing w:after="80" w:before="40"/>
            </w:pPr>
            <w:r>
              <w:rPr>
                <w:rFonts w:ascii="Arial" w:cs="Arial" w:eastAsia="Arial" w:hAnsi="Arial"/>
                <w:b/>
                <w:bCs/>
                <w:color w:val="1A5276"/>
                <w:sz w:val="22"/>
                <w:szCs w:val="22"/>
              </w:rPr>
              <w:t xml:space="preserve">WHAT IT IS</w:t>
            </w:r>
          </w:p>
          <w:p>
            <w:pPr>
              <w:spacing w:after="30" w:before="30" w:line="264"/>
              <w:ind w:left="220" w:hanging="180"/>
            </w:pPr>
            <w:r>
              <w:rPr>
                <w:rFonts w:ascii="Arial" w:cs="Arial" w:eastAsia="Arial" w:hAnsi="Arial"/>
                <w:b/>
                <w:bCs/>
                <w:color w:val="1A5276"/>
                <w:sz w:val="22"/>
                <w:szCs w:val="22"/>
              </w:rPr>
              <w:t xml:space="preserve">•  </w:t>
            </w:r>
            <w:r>
              <w:rPr>
                <w:rFonts w:ascii="Arial" w:cs="Arial" w:eastAsia="Arial" w:hAnsi="Arial"/>
                <w:color w:val="000000"/>
                <w:sz w:val="22"/>
                <w:szCs w:val="22"/>
              </w:rPr>
              <w:t xml:space="preserve">The defined operating approach for initiatives that have completed their exploratory and active build-out work.</w:t>
            </w:r>
          </w:p>
          <w:p>
            <w:pPr>
              <w:spacing w:after="30" w:before="30" w:line="264"/>
              <w:ind w:left="220" w:hanging="180"/>
            </w:pPr>
            <w:r>
              <w:rPr>
                <w:rFonts w:ascii="Arial" w:cs="Arial" w:eastAsia="Arial" w:hAnsi="Arial"/>
                <w:b/>
                <w:bCs/>
                <w:color w:val="1A5276"/>
                <w:sz w:val="22"/>
                <w:szCs w:val="22"/>
              </w:rPr>
              <w:t xml:space="preserve">•  </w:t>
            </w:r>
            <w:r>
              <w:rPr>
                <w:rFonts w:ascii="Arial" w:cs="Arial" w:eastAsia="Arial" w:hAnsi="Arial"/>
                <w:color w:val="000000"/>
                <w:sz w:val="22"/>
                <w:szCs w:val="22"/>
              </w:rPr>
              <w:t xml:space="preserve">Sustained, active work — protecting the partnership, preserving relationships, and keeping the initiative healthy.</w:t>
            </w:r>
          </w:p>
          <w:p>
            <w:pPr>
              <w:spacing w:after="30" w:before="30" w:line="264"/>
              <w:ind w:left="220" w:hanging="180"/>
            </w:pPr>
            <w:r>
              <w:rPr>
                <w:rFonts w:ascii="Arial" w:cs="Arial" w:eastAsia="Arial" w:hAnsi="Arial"/>
                <w:b/>
                <w:bCs/>
                <w:color w:val="1A5276"/>
                <w:sz w:val="22"/>
                <w:szCs w:val="22"/>
              </w:rPr>
              <w:t xml:space="preserve">•  </w:t>
            </w:r>
            <w:r>
              <w:rPr>
                <w:rFonts w:ascii="Arial" w:cs="Arial" w:eastAsia="Arial" w:hAnsi="Arial"/>
                <w:color w:val="000000"/>
                <w:sz w:val="22"/>
                <w:szCs w:val="22"/>
              </w:rPr>
              <w:t xml:space="preserve">Cross-promotion: initiatives in stewardship ride along with the active-phase visits we are already making for other priorities.</w:t>
            </w:r>
          </w:p>
          <w:p>
            <w:pPr>
              <w:spacing w:after="30" w:before="30" w:line="264"/>
              <w:ind w:left="220" w:hanging="180"/>
            </w:pPr>
            <w:r>
              <w:rPr>
                <w:rFonts w:ascii="Arial" w:cs="Arial" w:eastAsia="Arial" w:hAnsi="Arial"/>
                <w:b/>
                <w:bCs/>
                <w:color w:val="1A5276"/>
                <w:sz w:val="22"/>
                <w:szCs w:val="22"/>
              </w:rPr>
              <w:t xml:space="preserve">•  </w:t>
            </w:r>
            <w:r>
              <w:rPr>
                <w:rFonts w:ascii="Arial" w:cs="Arial" w:eastAsia="Arial" w:hAnsi="Arial"/>
                <w:color w:val="000000"/>
                <w:sz w:val="22"/>
                <w:szCs w:val="22"/>
              </w:rPr>
              <w:t xml:space="preserve">A two-way intelligence loop between BD and the clinical lead.</w:t>
            </w:r>
          </w:p>
        </w:tc>
        <w:tc>
          <w:tcPr>
            <w:tcW w:type="dxa" w:w="4680"/>
            <w:tcBorders>
              <w:top w:val="single" w:color="BE0000" w:sz="4"/>
              <w:left w:val="single" w:color="BE0000" w:sz="4"/>
              <w:bottom w:val="single" w:color="BE0000" w:sz="4"/>
              <w:right w:val="single" w:color="BE0000" w:sz="4"/>
            </w:tcBorders>
            <w:shd w:fill="F9E8E8" w:val="clear"/>
            <w:tcMar>
              <w:top w:type="dxa" w:w="140"/>
              <w:left w:type="dxa" w:w="200"/>
              <w:bottom w:type="dxa" w:w="140"/>
              <w:right w:type="dxa" w:w="200"/>
            </w:tcMar>
          </w:tcPr>
          <w:p>
            <w:pPr>
              <w:spacing w:after="80" w:before="40"/>
            </w:pPr>
            <w:r>
              <w:rPr>
                <w:rFonts w:ascii="Arial" w:cs="Arial" w:eastAsia="Arial" w:hAnsi="Arial"/>
                <w:b/>
                <w:bCs/>
                <w:color w:val="BE0000"/>
                <w:sz w:val="22"/>
                <w:szCs w:val="22"/>
              </w:rPr>
              <w:t xml:space="preserve">WHAT IT IS NOT</w:t>
            </w:r>
          </w:p>
          <w:p>
            <w:pPr>
              <w:spacing w:after="30" w:before="30" w:line="264"/>
              <w:ind w:left="220" w:hanging="180"/>
            </w:pPr>
            <w:r>
              <w:rPr>
                <w:rFonts w:ascii="Arial" w:cs="Arial" w:eastAsia="Arial" w:hAnsi="Arial"/>
                <w:b/>
                <w:bCs/>
                <w:color w:val="BE0000"/>
                <w:sz w:val="22"/>
                <w:szCs w:val="22"/>
              </w:rPr>
              <w:t xml:space="preserve">•  </w:t>
            </w:r>
            <w:r>
              <w:rPr>
                <w:rFonts w:ascii="Arial" w:cs="Arial" w:eastAsia="Arial" w:hAnsi="Arial"/>
                <w:color w:val="000000"/>
                <w:sz w:val="22"/>
                <w:szCs w:val="22"/>
              </w:rPr>
              <w:t xml:space="preserve">Not the end of the initiative or a signal of declining BD interest.</w:t>
            </w:r>
          </w:p>
          <w:p>
            <w:pPr>
              <w:spacing w:after="30" w:before="30" w:line="264"/>
              <w:ind w:left="220" w:hanging="180"/>
            </w:pPr>
            <w:r>
              <w:rPr>
                <w:rFonts w:ascii="Arial" w:cs="Arial" w:eastAsia="Arial" w:hAnsi="Arial"/>
                <w:b/>
                <w:bCs/>
                <w:color w:val="BE0000"/>
                <w:sz w:val="22"/>
                <w:szCs w:val="22"/>
              </w:rPr>
              <w:t xml:space="preserve">•  </w:t>
            </w:r>
            <w:r>
              <w:rPr>
                <w:rFonts w:ascii="Arial" w:cs="Arial" w:eastAsia="Arial" w:hAnsi="Arial"/>
                <w:color w:val="000000"/>
                <w:sz w:val="22"/>
                <w:szCs w:val="22"/>
              </w:rPr>
              <w:t xml:space="preserve">Not static or “set it and forget it” work.</w:t>
            </w:r>
          </w:p>
          <w:p>
            <w:pPr>
              <w:spacing w:after="30" w:before="30" w:line="264"/>
              <w:ind w:left="220" w:hanging="180"/>
            </w:pPr>
            <w:r>
              <w:rPr>
                <w:rFonts w:ascii="Arial" w:cs="Arial" w:eastAsia="Arial" w:hAnsi="Arial"/>
                <w:b/>
                <w:bCs/>
                <w:color w:val="BE0000"/>
                <w:sz w:val="22"/>
                <w:szCs w:val="22"/>
              </w:rPr>
              <w:t xml:space="preserve">•  </w:t>
            </w:r>
            <w:r>
              <w:rPr>
                <w:rFonts w:ascii="Arial" w:cs="Arial" w:eastAsia="Arial" w:hAnsi="Arial"/>
                <w:color w:val="000000"/>
                <w:sz w:val="22"/>
                <w:szCs w:val="22"/>
              </w:rPr>
              <w:t xml:space="preserve">Not a withdrawal of BD support — we continue to visit referring clinics and represent the initiative in market.</w:t>
            </w:r>
          </w:p>
          <w:p>
            <w:pPr>
              <w:spacing w:after="30" w:before="30" w:line="264"/>
              <w:ind w:left="220" w:hanging="180"/>
            </w:pPr>
            <w:r>
              <w:rPr>
                <w:rFonts w:ascii="Arial" w:cs="Arial" w:eastAsia="Arial" w:hAnsi="Arial"/>
                <w:b/>
                <w:bCs/>
                <w:color w:val="BE0000"/>
                <w:sz w:val="22"/>
                <w:szCs w:val="22"/>
              </w:rPr>
              <w:t xml:space="preserve">•  </w:t>
            </w:r>
            <w:r>
              <w:rPr>
                <w:rFonts w:ascii="Arial" w:cs="Arial" w:eastAsia="Arial" w:hAnsi="Arial"/>
                <w:color w:val="000000"/>
                <w:sz w:val="22"/>
                <w:szCs w:val="22"/>
              </w:rPr>
              <w:t xml:space="preserve">Not a one-way reporting relationship; intelligence flows in both directions.</w:t>
            </w:r>
          </w:p>
        </w:tc>
      </w:tr>
    </w:tbl>
    <w:p>
      <w:pPr>
        <w:spacing w:after="0" w:before="100"/>
      </w:pPr>
      <w:r>
        <w:t xml:space="preserve"/>
      </w:r>
    </w:p>
    <w:p>
      <w:pPr>
        <w:pBdr>
          <w:bottom w:val="single" w:color="BE0000" w:sz="6" w:space="2"/>
        </w:pBdr>
        <w:spacing w:after="80" w:before="200"/>
      </w:pPr>
      <w:r>
        <w:rPr>
          <w:rFonts w:ascii="Arial" w:cs="Arial" w:eastAsia="Arial" w:hAnsi="Arial"/>
          <w:b/>
          <w:bCs/>
          <w:color w:val="BE0000"/>
          <w:spacing w:val="20"/>
          <w:sz w:val="22"/>
          <w:szCs w:val="22"/>
        </w:rPr>
        <w:t xml:space="preserve">COMMUNICATION PLAN</w:t>
      </w:r>
    </w:p>
    <w:p>
      <w:pPr>
        <w:pStyle w:val="ListParagraph"/>
        <w:numPr>
          <w:ilvl w:val="0"/>
          <w:numId w:val="2"/>
        </w:numPr>
        <w:spacing w:after="40" w:before="40" w:line="276"/>
      </w:pPr>
      <w:r>
        <w:rPr>
          <w:rFonts w:ascii="Arial" w:cs="Arial" w:eastAsia="Arial" w:hAnsi="Arial"/>
          <w:b/>
          <w:bCs/>
          <w:color w:val="1F2A44"/>
          <w:sz w:val="22"/>
          <w:szCs w:val="22"/>
        </w:rPr>
        <w:t xml:space="preserve">Quarterly hardwired check-in  </w:t>
      </w:r>
      <w:r>
        <w:rPr>
          <w:rFonts w:ascii="Arial" w:cs="Arial" w:eastAsia="Arial" w:hAnsi="Arial"/>
          <w:color w:val="000000"/>
          <w:sz w:val="22"/>
          <w:szCs w:val="22"/>
        </w:rPr>
        <w:t xml:space="preserve">— the safety-net touchpoint to review the past quarter’s referral patterns, market intelligence, and any items raised since the last meeting.</w:t>
      </w:r>
    </w:p>
    <w:p>
      <w:pPr>
        <w:pStyle w:val="ListParagraph"/>
        <w:numPr>
          <w:ilvl w:val="0"/>
          <w:numId w:val="2"/>
        </w:numPr>
        <w:spacing w:after="40" w:before="40" w:line="276"/>
      </w:pPr>
      <w:r>
        <w:rPr>
          <w:rFonts w:ascii="Arial" w:cs="Arial" w:eastAsia="Arial" w:hAnsi="Arial"/>
          <w:b/>
          <w:bCs/>
          <w:color w:val="1F2A44"/>
          <w:sz w:val="22"/>
          <w:szCs w:val="22"/>
        </w:rPr>
        <w:t xml:space="preserve">Real-time intel  </w:t>
      </w:r>
      <w:r>
        <w:rPr>
          <w:rFonts w:ascii="Arial" w:cs="Arial" w:eastAsia="Arial" w:hAnsi="Arial"/>
          <w:color w:val="000000"/>
          <w:sz w:val="22"/>
          <w:szCs w:val="22"/>
        </w:rPr>
        <w:t xml:space="preserve">— when BD encounters relevant market intelligence, feedback, or issues, we share in real time rather than holding for the quarterly. The clinical lead is asked to do the same.</w:t>
      </w:r>
    </w:p>
    <w:p>
      <w:pPr>
        <w:pStyle w:val="ListParagraph"/>
        <w:numPr>
          <w:ilvl w:val="0"/>
          <w:numId w:val="2"/>
        </w:numPr>
        <w:spacing w:after="40" w:before="40" w:line="276"/>
      </w:pPr>
      <w:r>
        <w:rPr>
          <w:rFonts w:ascii="Arial" w:cs="Arial" w:eastAsia="Arial" w:hAnsi="Arial"/>
          <w:b/>
          <w:bCs/>
          <w:color w:val="1F2A44"/>
          <w:sz w:val="22"/>
          <w:szCs w:val="22"/>
        </w:rPr>
        <w:t xml:space="preserve">Ad hoc calls  </w:t>
      </w:r>
      <w:r>
        <w:rPr>
          <w:rFonts w:ascii="Arial" w:cs="Arial" w:eastAsia="Arial" w:hAnsi="Arial"/>
          <w:color w:val="000000"/>
          <w:sz w:val="22"/>
          <w:szCs w:val="22"/>
        </w:rPr>
        <w:t xml:space="preserve">— scheduled as needed when something warrants a live conversation outside the quarterly cadence.</w:t>
      </w:r>
    </w:p>
    <w:p>
      <w:pPr>
        <w:pStyle w:val="ListParagraph"/>
        <w:numPr>
          <w:ilvl w:val="0"/>
          <w:numId w:val="2"/>
        </w:numPr>
        <w:spacing w:after="40" w:before="40" w:line="276"/>
      </w:pPr>
      <w:r>
        <w:rPr>
          <w:rFonts w:ascii="Arial" w:cs="Arial" w:eastAsia="Arial" w:hAnsi="Arial"/>
          <w:b/>
          <w:bCs/>
          <w:color w:val="1F2A44"/>
          <w:sz w:val="22"/>
          <w:szCs w:val="22"/>
        </w:rPr>
        <w:t xml:space="preserve">Routine cross-promotion  </w:t>
      </w:r>
      <w:r>
        <w:rPr>
          <w:rFonts w:ascii="Arial" w:cs="Arial" w:eastAsia="Arial" w:hAnsi="Arial"/>
          <w:color w:val="000000"/>
          <w:sz w:val="22"/>
          <w:szCs w:val="22"/>
        </w:rPr>
        <w:t xml:space="preserve">— BD continues to visit referring clinics in priority markets to support other active initiatives, and uses those visits to keep the stewarded initiative top of mind.</w:t>
      </w:r>
    </w:p>
    <w:p>
      <w:pPr>
        <w:pBdr>
          <w:bottom w:val="single" w:color="BE0000" w:sz="6" w:space="2"/>
        </w:pBdr>
        <w:spacing w:after="80" w:before="200"/>
      </w:pPr>
      <w:r>
        <w:rPr>
          <w:rFonts w:ascii="Arial" w:cs="Arial" w:eastAsia="Arial" w:hAnsi="Arial"/>
          <w:b/>
          <w:bCs/>
          <w:color w:val="BE0000"/>
          <w:spacing w:val="20"/>
          <w:sz w:val="22"/>
          <w:szCs w:val="22"/>
        </w:rPr>
        <w:t xml:space="preserve">TOOLS &amp; RESOURCES EVALUATED ON A RECURRING BASIS</w:t>
      </w:r>
    </w:p>
    <w:p>
      <w:pPr>
        <w:pStyle w:val="ListParagraph"/>
        <w:numPr>
          <w:ilvl w:val="0"/>
          <w:numId w:val="2"/>
        </w:numPr>
        <w:spacing w:after="40" w:before="40" w:line="276"/>
      </w:pPr>
      <w:r>
        <w:rPr>
          <w:rFonts w:ascii="Arial" w:cs="Arial" w:eastAsia="Arial" w:hAnsi="Arial"/>
          <w:b/>
          <w:bCs/>
          <w:color w:val="1F2A44"/>
          <w:sz w:val="22"/>
          <w:szCs w:val="22"/>
        </w:rPr>
        <w:t xml:space="preserve">Regional Provider Map  </w:t>
      </w:r>
      <w:r>
        <w:rPr>
          <w:rFonts w:ascii="Arial" w:cs="Arial" w:eastAsia="Arial" w:hAnsi="Arial"/>
          <w:color w:val="000000"/>
          <w:sz w:val="22"/>
          <w:szCs w:val="22"/>
        </w:rPr>
        <w:t xml:space="preserve">— tracks market structure, new entrants, and provider movement in priority geographies.</w:t>
      </w:r>
    </w:p>
    <w:p>
      <w:pPr>
        <w:pStyle w:val="ListParagraph"/>
        <w:numPr>
          <w:ilvl w:val="0"/>
          <w:numId w:val="2"/>
        </w:numPr>
        <w:spacing w:after="40" w:before="40" w:line="276"/>
      </w:pPr>
      <w:r>
        <w:rPr>
          <w:rFonts w:ascii="Arial" w:cs="Arial" w:eastAsia="Arial" w:hAnsi="Arial"/>
          <w:b/>
          <w:bCs/>
          <w:color w:val="1F2A44"/>
          <w:sz w:val="22"/>
          <w:szCs w:val="22"/>
        </w:rPr>
        <w:t xml:space="preserve">Year-over-year referral dashboard  </w:t>
      </w:r>
      <w:r>
        <w:rPr>
          <w:rFonts w:ascii="Arial" w:cs="Arial" w:eastAsia="Arial" w:hAnsi="Arial"/>
          <w:color w:val="000000"/>
          <w:sz w:val="22"/>
          <w:szCs w:val="22"/>
        </w:rPr>
        <w:t xml:space="preserve">— provider-level, market-level, and service-line views of referral trend.</w:t>
      </w:r>
    </w:p>
    <w:p>
      <w:pPr>
        <w:pStyle w:val="ListParagraph"/>
        <w:numPr>
          <w:ilvl w:val="0"/>
          <w:numId w:val="2"/>
        </w:numPr>
        <w:spacing w:after="40" w:before="40" w:line="276"/>
      </w:pPr>
      <w:r>
        <w:rPr>
          <w:rFonts w:ascii="Arial" w:cs="Arial" w:eastAsia="Arial" w:hAnsi="Arial"/>
          <w:b/>
          <w:bCs/>
          <w:color w:val="1F2A44"/>
          <w:sz w:val="22"/>
          <w:szCs w:val="22"/>
        </w:rPr>
        <w:t xml:space="preserve">New and lapsed referrer review  </w:t>
      </w:r>
      <w:r>
        <w:rPr>
          <w:rFonts w:ascii="Arial" w:cs="Arial" w:eastAsia="Arial" w:hAnsi="Arial"/>
          <w:color w:val="000000"/>
          <w:sz w:val="22"/>
          <w:szCs w:val="22"/>
        </w:rPr>
        <w:t xml:space="preserve">— identifies which providers have started referring and which have dropped off, so attention is directed before relationships erode.</w:t>
      </w:r>
    </w:p>
    <w:p>
      <w:pPr>
        <w:pStyle w:val="ListParagraph"/>
        <w:numPr>
          <w:ilvl w:val="0"/>
          <w:numId w:val="2"/>
        </w:numPr>
        <w:spacing w:after="40" w:before="40" w:line="276"/>
      </w:pPr>
      <w:r>
        <w:rPr>
          <w:rFonts w:ascii="Arial" w:cs="Arial" w:eastAsia="Arial" w:hAnsi="Arial"/>
          <w:b/>
          <w:bCs/>
          <w:color w:val="1F2A44"/>
          <w:sz w:val="22"/>
          <w:szCs w:val="22"/>
        </w:rPr>
        <w:t xml:space="preserve">Quarterly stewardship report  </w:t>
      </w:r>
      <w:r>
        <w:rPr>
          <w:rFonts w:ascii="Arial" w:cs="Arial" w:eastAsia="Arial" w:hAnsi="Arial"/>
          <w:color w:val="000000"/>
          <w:sz w:val="22"/>
          <w:szCs w:val="22"/>
        </w:rPr>
        <w:t xml:space="preserve">— the structured artifact reviewed at each quarterly check-in.</w:t>
      </w:r>
    </w:p>
    <w:p>
      <w:pPr>
        <w:pStyle w:val="ListParagraph"/>
        <w:numPr>
          <w:ilvl w:val="0"/>
          <w:numId w:val="2"/>
        </w:numPr>
        <w:spacing w:after="40" w:before="40" w:line="276"/>
      </w:pPr>
      <w:r>
        <w:rPr>
          <w:rFonts w:ascii="Arial" w:cs="Arial" w:eastAsia="Arial" w:hAnsi="Arial"/>
          <w:b/>
          <w:bCs/>
          <w:color w:val="1F2A44"/>
          <w:sz w:val="22"/>
          <w:szCs w:val="22"/>
        </w:rPr>
        <w:t xml:space="preserve">Communication cadence calendar  </w:t>
      </w:r>
      <w:r>
        <w:rPr>
          <w:rFonts w:ascii="Arial" w:cs="Arial" w:eastAsia="Arial" w:hAnsi="Arial"/>
          <w:color w:val="000000"/>
          <w:sz w:val="22"/>
          <w:szCs w:val="22"/>
        </w:rPr>
        <w:t xml:space="preserve">— annual conferences, newsletters, and outreach moments tied to the initiative.</w:t>
      </w:r>
    </w:p>
    <w:p>
      <w:pPr>
        <w:pBdr>
          <w:bottom w:val="single" w:color="BE0000" w:sz="6" w:space="2"/>
        </w:pBdr>
        <w:spacing w:after="80" w:before="200"/>
      </w:pPr>
      <w:r>
        <w:rPr>
          <w:rFonts w:ascii="Arial" w:cs="Arial" w:eastAsia="Arial" w:hAnsi="Arial"/>
          <w:b/>
          <w:bCs/>
          <w:color w:val="BE0000"/>
          <w:spacing w:val="20"/>
          <w:sz w:val="22"/>
          <w:szCs w:val="22"/>
        </w:rPr>
        <w:t xml:space="preserve">THE ONGOING WORKING RELATIONSHIP</w:t>
      </w:r>
    </w:p>
    <w:p>
      <w:pPr>
        <w:spacing w:after="120" w:before="0" w:line="276"/>
      </w:pPr>
      <w:r>
        <w:rPr>
          <w:rFonts w:ascii="Arial" w:cs="Arial" w:eastAsia="Arial" w:hAnsi="Arial"/>
          <w:i/>
          <w:iCs/>
          <w:color w:val="000000"/>
          <w:sz w:val="22"/>
          <w:szCs w:val="22"/>
        </w:rPr>
        <w:t xml:space="preserve">Stewardship is a two-sided commitment. Both sides have responsibilities that keep the initiative healthy and the partnership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1A5276" w:sz="4"/>
              <w:left w:val="single" w:color="1A5276" w:sz="4"/>
              <w:bottom w:val="single" w:color="1A5276" w:sz="4"/>
              <w:right w:val="single" w:color="1A5276" w:sz="4"/>
            </w:tcBorders>
            <w:shd w:fill="E8F0F3" w:val="clear"/>
            <w:tcMar>
              <w:top w:type="dxa" w:w="140"/>
              <w:left w:type="dxa" w:w="200"/>
              <w:bottom w:type="dxa" w:w="140"/>
              <w:right w:type="dxa" w:w="200"/>
            </w:tcMar>
          </w:tcPr>
          <w:p>
            <w:pPr>
              <w:spacing w:after="80" w:before="40"/>
            </w:pPr>
            <w:r>
              <w:rPr>
                <w:rFonts w:ascii="Arial" w:cs="Arial" w:eastAsia="Arial" w:hAnsi="Arial"/>
                <w:b/>
                <w:bCs/>
                <w:color w:val="1A5276"/>
                <w:sz w:val="22"/>
                <w:szCs w:val="22"/>
              </w:rPr>
              <w:t xml:space="preserve">WHAT BD COMMITS TO</w:t>
            </w:r>
          </w:p>
          <w:p>
            <w:pPr>
              <w:spacing w:after="30" w:before="30" w:line="264"/>
              <w:ind w:left="220" w:hanging="180"/>
            </w:pPr>
            <w:r>
              <w:rPr>
                <w:rFonts w:ascii="Arial" w:cs="Arial" w:eastAsia="Arial" w:hAnsi="Arial"/>
                <w:b/>
                <w:bCs/>
                <w:color w:val="1A5276"/>
                <w:sz w:val="22"/>
                <w:szCs w:val="22"/>
              </w:rPr>
              <w:t xml:space="preserve">•  </w:t>
            </w:r>
            <w:r>
              <w:rPr>
                <w:rFonts w:ascii="Arial" w:cs="Arial" w:eastAsia="Arial" w:hAnsi="Arial"/>
                <w:color w:val="000000"/>
                <w:sz w:val="22"/>
                <w:szCs w:val="22"/>
              </w:rPr>
              <w:t xml:space="preserve">Sustained touch cadence with established referrers, integrated into routine market visits.</w:t>
            </w:r>
          </w:p>
          <w:p>
            <w:pPr>
              <w:spacing w:after="30" w:before="30" w:line="264"/>
              <w:ind w:left="220" w:hanging="180"/>
            </w:pPr>
            <w:r>
              <w:rPr>
                <w:rFonts w:ascii="Arial" w:cs="Arial" w:eastAsia="Arial" w:hAnsi="Arial"/>
                <w:b/>
                <w:bCs/>
                <w:color w:val="1A5276"/>
                <w:sz w:val="22"/>
                <w:szCs w:val="22"/>
              </w:rPr>
              <w:t xml:space="preserve">•  </w:t>
            </w:r>
            <w:r>
              <w:rPr>
                <w:rFonts w:ascii="Arial" w:cs="Arial" w:eastAsia="Arial" w:hAnsi="Arial"/>
                <w:color w:val="000000"/>
                <w:sz w:val="22"/>
                <w:szCs w:val="22"/>
              </w:rPr>
              <w:t xml:space="preserve">Quarterly analysis of referral patterns and market intelligence.</w:t>
            </w:r>
          </w:p>
          <w:p>
            <w:pPr>
              <w:spacing w:after="30" w:before="30" w:line="264"/>
              <w:ind w:left="220" w:hanging="180"/>
            </w:pPr>
            <w:r>
              <w:rPr>
                <w:rFonts w:ascii="Arial" w:cs="Arial" w:eastAsia="Arial" w:hAnsi="Arial"/>
                <w:b/>
                <w:bCs/>
                <w:color w:val="1A5276"/>
                <w:sz w:val="22"/>
                <w:szCs w:val="22"/>
              </w:rPr>
              <w:t xml:space="preserve">•  </w:t>
            </w:r>
            <w:r>
              <w:rPr>
                <w:rFonts w:ascii="Arial" w:cs="Arial" w:eastAsia="Arial" w:hAnsi="Arial"/>
                <w:color w:val="000000"/>
                <w:sz w:val="22"/>
                <w:szCs w:val="22"/>
              </w:rPr>
              <w:t xml:space="preserve">Cross-promotion of the initiative during active-phase visits in priority markets.</w:t>
            </w:r>
          </w:p>
          <w:p>
            <w:pPr>
              <w:spacing w:after="30" w:before="30" w:line="264"/>
              <w:ind w:left="220" w:hanging="180"/>
            </w:pPr>
            <w:r>
              <w:rPr>
                <w:rFonts w:ascii="Arial" w:cs="Arial" w:eastAsia="Arial" w:hAnsi="Arial"/>
                <w:b/>
                <w:bCs/>
                <w:color w:val="1A5276"/>
                <w:sz w:val="22"/>
                <w:szCs w:val="22"/>
              </w:rPr>
              <w:t xml:space="preserve">•  </w:t>
            </w:r>
            <w:r>
              <w:rPr>
                <w:rFonts w:ascii="Arial" w:cs="Arial" w:eastAsia="Arial" w:hAnsi="Arial"/>
                <w:color w:val="000000"/>
                <w:sz w:val="22"/>
                <w:szCs w:val="22"/>
              </w:rPr>
              <w:t xml:space="preserve">Real-time sharing of relevant market intel, feedback, and issues as they surface.</w:t>
            </w:r>
          </w:p>
          <w:p>
            <w:pPr>
              <w:spacing w:after="30" w:before="30" w:line="264"/>
              <w:ind w:left="220" w:hanging="180"/>
            </w:pPr>
            <w:r>
              <w:rPr>
                <w:rFonts w:ascii="Arial" w:cs="Arial" w:eastAsia="Arial" w:hAnsi="Arial"/>
                <w:b/>
                <w:bCs/>
                <w:color w:val="1A5276"/>
                <w:sz w:val="22"/>
                <w:szCs w:val="22"/>
              </w:rPr>
              <w:t xml:space="preserve">•  </w:t>
            </w:r>
            <w:r>
              <w:rPr>
                <w:rFonts w:ascii="Arial" w:cs="Arial" w:eastAsia="Arial" w:hAnsi="Arial"/>
                <w:color w:val="000000"/>
                <w:sz w:val="22"/>
                <w:szCs w:val="22"/>
              </w:rPr>
              <w:t xml:space="preserve">Advocacy back to the program when capacity, access, or service issues are surfacing externally.</w:t>
            </w:r>
          </w:p>
        </w:tc>
        <w:tc>
          <w:tcPr>
            <w:tcW w:type="dxa" w:w="4680"/>
            <w:tcBorders>
              <w:top w:val="single" w:color="BE0000" w:sz="4"/>
              <w:left w:val="single" w:color="BE0000" w:sz="4"/>
              <w:bottom w:val="single" w:color="BE0000" w:sz="4"/>
              <w:right w:val="single" w:color="BE0000" w:sz="4"/>
            </w:tcBorders>
            <w:shd w:fill="F9E8E8" w:val="clear"/>
            <w:tcMar>
              <w:top w:type="dxa" w:w="140"/>
              <w:left w:type="dxa" w:w="200"/>
              <w:bottom w:type="dxa" w:w="140"/>
              <w:right w:type="dxa" w:w="200"/>
            </w:tcMar>
          </w:tcPr>
          <w:p>
            <w:pPr>
              <w:spacing w:after="80" w:before="40"/>
            </w:pPr>
            <w:r>
              <w:rPr>
                <w:rFonts w:ascii="Arial" w:cs="Arial" w:eastAsia="Arial" w:hAnsi="Arial"/>
                <w:b/>
                <w:bCs/>
                <w:color w:val="BE0000"/>
                <w:sz w:val="22"/>
                <w:szCs w:val="22"/>
              </w:rPr>
              <w:t xml:space="preserve">WHAT WE ASK OF THE CLINICAL LEAD</w:t>
            </w:r>
          </w:p>
          <w:p>
            <w:pPr>
              <w:spacing w:after="30" w:before="30" w:line="264"/>
              <w:ind w:left="220" w:hanging="180"/>
            </w:pPr>
            <w:r>
              <w:rPr>
                <w:rFonts w:ascii="Arial" w:cs="Arial" w:eastAsia="Arial" w:hAnsi="Arial"/>
                <w:b/>
                <w:bCs/>
                <w:color w:val="BE0000"/>
                <w:sz w:val="22"/>
                <w:szCs w:val="22"/>
              </w:rPr>
              <w:t xml:space="preserve">•  </w:t>
            </w:r>
            <w:r>
              <w:rPr>
                <w:rFonts w:ascii="Arial" w:cs="Arial" w:eastAsia="Arial" w:hAnsi="Arial"/>
                <w:color w:val="000000"/>
                <w:sz w:val="22"/>
                <w:szCs w:val="22"/>
              </w:rPr>
              <w:t xml:space="preserve">Real-time updates on market changes the program is hearing — provider movements, new entrants, competitive shifts.</w:t>
            </w:r>
          </w:p>
          <w:p>
            <w:pPr>
              <w:spacing w:after="30" w:before="30" w:line="264"/>
              <w:ind w:left="220" w:hanging="180"/>
            </w:pPr>
            <w:r>
              <w:rPr>
                <w:rFonts w:ascii="Arial" w:cs="Arial" w:eastAsia="Arial" w:hAnsi="Arial"/>
                <w:b/>
                <w:bCs/>
                <w:color w:val="BE0000"/>
                <w:sz w:val="22"/>
                <w:szCs w:val="22"/>
              </w:rPr>
              <w:t xml:space="preserve">•  </w:t>
            </w:r>
            <w:r>
              <w:rPr>
                <w:rFonts w:ascii="Arial" w:cs="Arial" w:eastAsia="Arial" w:hAnsi="Arial"/>
                <w:color w:val="000000"/>
                <w:sz w:val="22"/>
                <w:szCs w:val="22"/>
              </w:rPr>
              <w:t xml:space="preserve">Participation in the quarterly check-in.</w:t>
            </w:r>
          </w:p>
          <w:p>
            <w:pPr>
              <w:spacing w:after="30" w:before="30" w:line="264"/>
              <w:ind w:left="220" w:hanging="180"/>
            </w:pPr>
            <w:r>
              <w:rPr>
                <w:rFonts w:ascii="Arial" w:cs="Arial" w:eastAsia="Arial" w:hAnsi="Arial"/>
                <w:b/>
                <w:bCs/>
                <w:color w:val="BE0000"/>
                <w:sz w:val="22"/>
                <w:szCs w:val="22"/>
              </w:rPr>
              <w:t xml:space="preserve">•  </w:t>
            </w:r>
            <w:r>
              <w:rPr>
                <w:rFonts w:ascii="Arial" w:cs="Arial" w:eastAsia="Arial" w:hAnsi="Arial"/>
                <w:color w:val="000000"/>
                <w:sz w:val="22"/>
                <w:szCs w:val="22"/>
              </w:rPr>
              <w:t xml:space="preserve">Flagging capacity or access changes that should affect outreach strategy.</w:t>
            </w:r>
          </w:p>
          <w:p>
            <w:pPr>
              <w:spacing w:after="30" w:before="30" w:line="264"/>
              <w:ind w:left="220" w:hanging="180"/>
            </w:pPr>
            <w:r>
              <w:rPr>
                <w:rFonts w:ascii="Arial" w:cs="Arial" w:eastAsia="Arial" w:hAnsi="Arial"/>
                <w:b/>
                <w:bCs/>
                <w:color w:val="BE0000"/>
                <w:sz w:val="22"/>
                <w:szCs w:val="22"/>
              </w:rPr>
              <w:t xml:space="preserve">•  </w:t>
            </w:r>
            <w:r>
              <w:rPr>
                <w:rFonts w:ascii="Arial" w:cs="Arial" w:eastAsia="Arial" w:hAnsi="Arial"/>
                <w:color w:val="000000"/>
                <w:sz w:val="22"/>
                <w:szCs w:val="22"/>
              </w:rPr>
              <w:t xml:space="preserve">Direct engagement when relationship issues require clinical lead involvement.</w:t>
            </w:r>
          </w:p>
          <w:p>
            <w:pPr>
              <w:spacing w:after="30" w:before="30" w:line="264"/>
              <w:ind w:left="220" w:hanging="180"/>
            </w:pPr>
            <w:r>
              <w:rPr>
                <w:rFonts w:ascii="Arial" w:cs="Arial" w:eastAsia="Arial" w:hAnsi="Arial"/>
                <w:b/>
                <w:bCs/>
                <w:color w:val="BE0000"/>
                <w:sz w:val="22"/>
                <w:szCs w:val="22"/>
              </w:rPr>
              <w:t xml:space="preserve">•  </w:t>
            </w:r>
            <w:r>
              <w:rPr>
                <w:rFonts w:ascii="Arial" w:cs="Arial" w:eastAsia="Arial" w:hAnsi="Arial"/>
                <w:color w:val="000000"/>
                <w:sz w:val="22"/>
                <w:szCs w:val="22"/>
              </w:rPr>
              <w:t xml:space="preserve">Openness about feedback or misperceptions we are surfacing from referring providers.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276" w:sz="4"/>
              <w:left w:val="single" w:color="1A5276" w:sz="24"/>
              <w:bottom w:val="single" w:color="1A5276" w:sz="4"/>
              <w:right w:val="single" w:color="1A5276" w:sz="4"/>
            </w:tcBorders>
            <w:shd w:fill="E8F0F3" w:val="clear"/>
            <w:tcMar>
              <w:top w:type="dxa" w:w="160"/>
              <w:left w:type="dxa" w:w="220"/>
              <w:bottom w:type="dxa" w:w="160"/>
              <w:right w:type="dxa" w:w="220"/>
            </w:tcMar>
          </w:tcPr>
          <w:p>
            <w:pPr>
              <w:spacing w:after="80" w:before="0"/>
            </w:pPr>
            <w:r>
              <w:rPr>
                <w:rFonts w:ascii="Arial" w:cs="Arial" w:eastAsia="Arial" w:hAnsi="Arial"/>
                <w:b/>
                <w:bCs/>
                <w:color w:val="1A5276"/>
                <w:spacing w:val="20"/>
                <w:sz w:val="22"/>
                <w:szCs w:val="22"/>
              </w:rPr>
              <w:t xml:space="preserve">THE TRANSITION CONVERSATION</w:t>
            </w:r>
          </w:p>
          <w:p>
            <w:pPr>
              <w:spacing w:after="0" w:before="0" w:line="276"/>
            </w:pPr>
            <w:r>
              <w:rPr>
                <w:rFonts w:ascii="Arial" w:cs="Arial" w:eastAsia="Arial" w:hAnsi="Arial"/>
                <w:color w:val="000000"/>
                <w:sz w:val="22"/>
                <w:szCs w:val="22"/>
              </w:rPr>
              <w:t xml:space="preserve">The move from active to stewardship is a defined moment, not a quiet drift. It is initiated by BD in a brief conversation that covers: where we are, what we have covered, why we are proposing the shift, what continues, and what we ask going forward. Naming this as a known phase of the BDOS — rather than letting it happen by default — protects the partnership and signals that stewardship is active work, not absence of work.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Stewardship Phase</dc:title>
  <dc:creator>Outreach &amp; Network Development</dc:creator>
  <cp:lastModifiedBy>Un-named</cp:lastModifiedBy>
  <cp:revision>1</cp:revision>
  <dcterms:created xsi:type="dcterms:W3CDTF">2026-05-13T17:20:01.818Z</dcterms:created>
  <dcterms:modified xsi:type="dcterms:W3CDTF">2026-05-13T17:20:01.836Z</dcterms:modified>
</cp:coreProperties>
</file>

<file path=docProps/custom.xml><?xml version="1.0" encoding="utf-8"?>
<Properties xmlns="http://schemas.openxmlformats.org/officeDocument/2006/custom-properties" xmlns:vt="http://schemas.openxmlformats.org/officeDocument/2006/docPropsVTypes"/>
</file>