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D5914" w14:textId="77777777" w:rsidR="00E47E24" w:rsidRDefault="00000000">
      <w:pPr>
        <w:pStyle w:val="Heading2"/>
      </w:pPr>
      <w:r>
        <w:t>Change Log to Owner Project Requirements (OPR)</w:t>
      </w:r>
    </w:p>
    <w:p w14:paraId="73ED8691" w14:textId="77777777" w:rsidR="00E47E24" w:rsidRDefault="72C130D5">
      <w:r w:rsidRPr="72C130D5">
        <w:rPr>
          <w:b/>
          <w:bCs/>
        </w:rPr>
        <w:t>Document Reference:</w:t>
      </w:r>
      <w:r w:rsidRPr="72C130D5">
        <w:t xml:space="preserve"> GGE-000-DES-PMG-0001_01</w:t>
      </w:r>
    </w:p>
    <w:p w14:paraId="6C233FF0" w14:textId="5895F846" w:rsidR="00307463" w:rsidRPr="00307463" w:rsidRDefault="00307463">
      <w:pPr>
        <w:rPr>
          <w:b/>
          <w:bCs/>
        </w:rPr>
      </w:pPr>
      <w:r w:rsidRPr="00307463">
        <w:rPr>
          <w:b/>
          <w:bCs/>
        </w:rPr>
        <w:t xml:space="preserve">Revised Document Coding: </w:t>
      </w:r>
      <w:r w:rsidRPr="00307463">
        <w:t>GE01-DES-PM00-OPR-0001_02</w:t>
      </w:r>
    </w:p>
    <w:p w14:paraId="59BEAC1B" w14:textId="546FF559" w:rsidR="79A5B85A" w:rsidRDefault="79A5B85A" w:rsidP="72C130D5">
      <w:r w:rsidRPr="72C130D5">
        <w:rPr>
          <w:b/>
          <w:bCs/>
        </w:rPr>
        <w:t xml:space="preserve">Purpose: </w:t>
      </w:r>
      <w:r w:rsidRPr="72C130D5">
        <w:t>Accompany OPR submission to the Uptime Institute</w:t>
      </w:r>
      <w:r w:rsidR="00307463">
        <w:t xml:space="preserve"> / Issued for Design (IFD)</w:t>
      </w:r>
    </w:p>
    <w:p w14:paraId="79EFB3F9" w14:textId="52C51DD3" w:rsidR="00E47E24" w:rsidRDefault="72C130D5">
      <w:r w:rsidRPr="72C130D5">
        <w:rPr>
          <w:b/>
          <w:bCs/>
        </w:rPr>
        <w:t>Revision Target:</w:t>
      </w:r>
      <w:r w:rsidRPr="72C130D5">
        <w:t xml:space="preserve"> 02 </w:t>
      </w:r>
    </w:p>
    <w:p w14:paraId="259615AB" w14:textId="77777777" w:rsidR="00E47E24" w:rsidRDefault="00000000">
      <w:r>
        <w:rPr>
          <w:b/>
          <w:bCs/>
        </w:rPr>
        <w:t>Date:</w:t>
      </w:r>
      <w:r>
        <w:t xml:space="preserve"> October 30, 2025</w:t>
      </w:r>
    </w:p>
    <w:p w14:paraId="344911D2" w14:textId="32C80962" w:rsidR="00E47E24" w:rsidRDefault="72C130D5" w:rsidP="72C130D5">
      <w:r w:rsidRPr="72C130D5">
        <w:rPr>
          <w:b/>
          <w:bCs/>
        </w:rPr>
        <w:t>Prepared By:</w:t>
      </w:r>
      <w:r w:rsidRPr="72C130D5">
        <w:t xml:space="preserve"> </w:t>
      </w:r>
      <w:r w:rsidR="24E624DF" w:rsidRPr="72C130D5">
        <w:t>Teymur Nasrullayev</w:t>
      </w:r>
      <w:r w:rsidR="450BEBB1" w:rsidRPr="72C130D5">
        <w:t xml:space="preserve"> (Data Center Manager)</w:t>
      </w:r>
    </w:p>
    <w:p w14:paraId="33700788" w14:textId="625F083E" w:rsidR="24E624DF" w:rsidRDefault="24E624DF" w:rsidP="72C130D5">
      <w:r w:rsidRPr="72C130D5">
        <w:rPr>
          <w:b/>
          <w:bCs/>
        </w:rPr>
        <w:t xml:space="preserve">Approved By: </w:t>
      </w:r>
      <w:r w:rsidRPr="72C130D5">
        <w:t>Ramiz Mammadov</w:t>
      </w:r>
      <w:r w:rsidR="059563AB" w:rsidRPr="72C130D5">
        <w:t xml:space="preserve"> (Chairman/Director)</w:t>
      </w:r>
    </w:p>
    <w:p w14:paraId="4C9EABB1" w14:textId="77777777" w:rsidR="00E47E24" w:rsidRDefault="00000000">
      <w:pPr>
        <w:pStyle w:val="Heading3"/>
      </w:pPr>
      <w:r>
        <w:t>1. Updates Based on Basis of Design (</w:t>
      </w:r>
      <w:proofErr w:type="spellStart"/>
      <w:r>
        <w:t>BoD</w:t>
      </w:r>
      <w:proofErr w:type="spellEnd"/>
      <w:r>
        <w:t>)</w:t>
      </w:r>
    </w:p>
    <w:p w14:paraId="6AED214B" w14:textId="77777777" w:rsidR="00E47E24" w:rsidRDefault="00000000" w:rsidP="0084055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Cooling System Strategy:</w:t>
      </w:r>
      <w:r>
        <w:t xml:space="preserve"> Confirmed hybrid cooling system using river-water free cooling and ground-thermal field. Supports PUE ≤ 1.5.</w:t>
      </w:r>
    </w:p>
    <w:p w14:paraId="6F82106D" w14:textId="77777777" w:rsidR="00E47E24" w:rsidRDefault="00000000" w:rsidP="0084055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Power Topology:</w:t>
      </w:r>
      <w:r>
        <w:t xml:space="preserve"> Dual independent utility + HPP feeds, 2N transformer configuration, modular UPS with </w:t>
      </w:r>
      <w:proofErr w:type="spellStart"/>
      <w:r>
        <w:t>LiFePO</w:t>
      </w:r>
      <w:proofErr w:type="spellEnd"/>
      <w:r>
        <w:t>₄ batteries.</w:t>
      </w:r>
    </w:p>
    <w:p w14:paraId="7D1EB58A" w14:textId="77777777" w:rsidR="00E47E24" w:rsidRDefault="00000000" w:rsidP="0084055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Mechanical Redundancy:</w:t>
      </w:r>
      <w:r>
        <w:t xml:space="preserve"> N+1 dry coolers for GPU racks; auto-failover if river temperature exceeds 26°C.</w:t>
      </w:r>
    </w:p>
    <w:p w14:paraId="730DA6A4" w14:textId="77777777" w:rsidR="00E47E24" w:rsidRDefault="00000000" w:rsidP="0084055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Certification Target:</w:t>
      </w:r>
      <w:r>
        <w:t xml:space="preserve"> Tier III compliance confirmed with Tier IV-ready design features.</w:t>
      </w:r>
    </w:p>
    <w:p w14:paraId="5699556B" w14:textId="77777777" w:rsidR="00E47E24" w:rsidRDefault="00000000" w:rsidP="0084055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Structural Zoning:</w:t>
      </w:r>
      <w:r>
        <w:t xml:space="preserve"> Floor load capacities and slab-to-slab construction confirmed for critical zones.</w:t>
      </w:r>
    </w:p>
    <w:p w14:paraId="1958101A" w14:textId="77777777" w:rsidR="00E47E24" w:rsidRDefault="00000000" w:rsidP="0084055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Energy Source:</w:t>
      </w:r>
      <w:r>
        <w:t xml:space="preserve"> 3.7 MW </w:t>
      </w:r>
      <w:proofErr w:type="spellStart"/>
      <w:r>
        <w:t>Mtkvari</w:t>
      </w:r>
      <w:proofErr w:type="spellEnd"/>
      <w:r>
        <w:t xml:space="preserve"> HPP + city utility; 100% renewable baseline.</w:t>
      </w:r>
    </w:p>
    <w:p w14:paraId="79C9277C" w14:textId="77777777" w:rsidR="00E47E24" w:rsidRDefault="00000000" w:rsidP="0084055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IT Capacity Breakdown:</w:t>
      </w:r>
      <w:r>
        <w:t xml:space="preserve"> 5.635 MW total; Quantum AI (2.5 MW), Enterprise Suites (1.47 MW), Hub (0.665 MW), VIP (1.0 MW).</w:t>
      </w:r>
    </w:p>
    <w:p w14:paraId="40D148D4" w14:textId="77777777" w:rsidR="00E47E24" w:rsidRDefault="00000000">
      <w:pPr>
        <w:pStyle w:val="Heading3"/>
      </w:pPr>
      <w:r>
        <w:t>2. Design Review Register-Driven Changes</w:t>
      </w:r>
    </w:p>
    <w:p w14:paraId="17626FB5" w14:textId="77777777" w:rsidR="00E47E24" w:rsidRDefault="00000000" w:rsidP="00840557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Security Booth Relocation:</w:t>
      </w:r>
      <w:r>
        <w:t xml:space="preserve"> Lobby layout revised to position security booth closer to entrance.</w:t>
      </w:r>
    </w:p>
    <w:p w14:paraId="2E718E73" w14:textId="0FC978A6" w:rsidR="00E47E24" w:rsidRDefault="72C130D5" w:rsidP="00840557">
      <w:pPr>
        <w:pStyle w:val="ListParagraph"/>
        <w:numPr>
          <w:ilvl w:val="0"/>
          <w:numId w:val="3"/>
        </w:numPr>
        <w:jc w:val="both"/>
      </w:pPr>
      <w:r w:rsidRPr="72C130D5">
        <w:rPr>
          <w:b/>
          <w:bCs/>
        </w:rPr>
        <w:t>Mantrap Addition:</w:t>
      </w:r>
      <w:r w:rsidRPr="72C130D5">
        <w:t xml:space="preserve"> Vestibule/mantrap added to main entrance with access control and intercom.</w:t>
      </w:r>
    </w:p>
    <w:p w14:paraId="1A96E7D2" w14:textId="77777777" w:rsidR="00E47E24" w:rsidRDefault="00000000" w:rsidP="00840557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Bullet-Resistant Glass:</w:t>
      </w:r>
      <w:r>
        <w:t xml:space="preserve"> Security booth now includes impact/bullet-resistant glass.</w:t>
      </w:r>
    </w:p>
    <w:p w14:paraId="2D5B7522" w14:textId="77777777" w:rsidR="00E47E24" w:rsidRDefault="00000000" w:rsidP="00840557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Oversized Doors:</w:t>
      </w:r>
      <w:r>
        <w:t xml:space="preserve"> Clear door heights of 2.8–4.5 m confirmed for equipment access.</w:t>
      </w:r>
    </w:p>
    <w:p w14:paraId="1AB31A6B" w14:textId="77777777" w:rsidR="00E47E24" w:rsidRDefault="00000000" w:rsidP="00840557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Office Area Optimization:</w:t>
      </w:r>
      <w:r>
        <w:t xml:space="preserve"> Office areas on IT floors reduced to prioritize critical space.</w:t>
      </w:r>
    </w:p>
    <w:p w14:paraId="230AD15F" w14:textId="77777777" w:rsidR="00E47E24" w:rsidRDefault="00000000" w:rsidP="00840557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Transformer Sizing:</w:t>
      </w:r>
      <w:r>
        <w:t xml:space="preserve"> Transformer count reduced to align with actual IT load; future expansion space reserved.</w:t>
      </w:r>
    </w:p>
    <w:p w14:paraId="119ED09C" w14:textId="77777777" w:rsidR="00E47E24" w:rsidRDefault="00000000" w:rsidP="00840557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UPS Coverage:</w:t>
      </w:r>
      <w:r>
        <w:t xml:space="preserve"> UPS protection extended to critical cooling equipment and BMS servers.</w:t>
      </w:r>
    </w:p>
    <w:p w14:paraId="748E7F74" w14:textId="77777777" w:rsidR="00E47E24" w:rsidRDefault="00000000" w:rsidP="00840557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Switchgear Layout:</w:t>
      </w:r>
      <w:r>
        <w:t xml:space="preserve"> Electrical room layouts revised for efficiency and clarity.</w:t>
      </w:r>
    </w:p>
    <w:p w14:paraId="57B76BFC" w14:textId="77777777" w:rsidR="00E47E24" w:rsidRDefault="00000000" w:rsidP="00840557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lastRenderedPageBreak/>
        <w:t>Cable Routing:</w:t>
      </w:r>
      <w:r>
        <w:t xml:space="preserve"> UPS and switchgear proximity improved to reduce cable lengths.</w:t>
      </w:r>
    </w:p>
    <w:p w14:paraId="60D0402C" w14:textId="77777777" w:rsidR="00E47E24" w:rsidRDefault="00000000" w:rsidP="00840557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Corridor Strategy:</w:t>
      </w:r>
      <w:r>
        <w:t xml:space="preserve"> Central corridor retained per Owner’s directive; external wall insulation improved.</w:t>
      </w:r>
    </w:p>
    <w:p w14:paraId="4C8311F7" w14:textId="77777777" w:rsidR="00E47E24" w:rsidRDefault="00000000" w:rsidP="00840557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Room Labeling Corrections:</w:t>
      </w:r>
      <w:r>
        <w:t xml:space="preserve"> ER-A and ER-B labeling errors corrected; ER-C added.</w:t>
      </w:r>
    </w:p>
    <w:p w14:paraId="77C45C11" w14:textId="77777777" w:rsidR="00E47E24" w:rsidRDefault="00000000" w:rsidP="00840557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Chiller Redundancy Clarification:</w:t>
      </w:r>
      <w:r>
        <w:t xml:space="preserve"> Revised to reflect N+1 scalable to 2N, correcting overbuilt 2N installation.</w:t>
      </w:r>
    </w:p>
    <w:p w14:paraId="5E30E0A3" w14:textId="77777777" w:rsidR="00E47E24" w:rsidRDefault="00000000">
      <w:pPr>
        <w:pStyle w:val="Heading3"/>
      </w:pPr>
      <w:r>
        <w:t>3. Physical Security Design Framework Integration</w:t>
      </w:r>
    </w:p>
    <w:p w14:paraId="0DA3D869" w14:textId="77777777" w:rsidR="00E47E24" w:rsidRDefault="00000000" w:rsidP="00840557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>Security Zones Defined:</w:t>
      </w:r>
      <w:r>
        <w:t xml:space="preserve"> Violet, Blue, Yellow, Orange, Red, and Black zones established with Control Points (CP1–CP5).</w:t>
      </w:r>
    </w:p>
    <w:p w14:paraId="7F696B09" w14:textId="77777777" w:rsidR="00E47E24" w:rsidRDefault="00000000" w:rsidP="00840557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>Security Classification:</w:t>
      </w:r>
      <w:r>
        <w:t xml:space="preserve"> Facility classified as EN 50600-2-5 Security Class 3.</w:t>
      </w:r>
    </w:p>
    <w:p w14:paraId="53509D35" w14:textId="77777777" w:rsidR="00E47E24" w:rsidRDefault="00000000" w:rsidP="00840557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>Multi-Factor Authentication (MFA):</w:t>
      </w:r>
      <w:r>
        <w:t xml:space="preserve"> Mandatory biometric authentication (iris) for transitions into Orange and Red Zones. Facial recognition reserved for VIP entry.</w:t>
      </w:r>
    </w:p>
    <w:p w14:paraId="1781CC96" w14:textId="77777777" w:rsidR="00E47E24" w:rsidRDefault="00000000" w:rsidP="00840557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>Visitor Management System (VMS):</w:t>
      </w:r>
      <w:r>
        <w:t xml:space="preserve"> Integrated with ACS; strict ID policy and escorting rules enforced.</w:t>
      </w:r>
    </w:p>
    <w:p w14:paraId="5033D15E" w14:textId="77777777" w:rsidR="00E47E24" w:rsidRDefault="00000000" w:rsidP="00840557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>Mantrap Protocols:</w:t>
      </w:r>
      <w:r>
        <w:t xml:space="preserve"> Single-person entry enforced with dual authentication and CCTV coverage at 125 </w:t>
      </w:r>
      <w:proofErr w:type="spellStart"/>
      <w:r>
        <w:t>ppfw</w:t>
      </w:r>
      <w:proofErr w:type="spellEnd"/>
      <w:r>
        <w:t>.</w:t>
      </w:r>
    </w:p>
    <w:p w14:paraId="51FB89C4" w14:textId="77777777" w:rsidR="00E47E24" w:rsidRDefault="00000000" w:rsidP="00840557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>Emergency Override Protocols:</w:t>
      </w:r>
      <w:r>
        <w:t xml:space="preserve"> Fire alarm overrides all other protocols; lockdown, flood, earthquake, and battery incidents integrated with ERP.</w:t>
      </w:r>
    </w:p>
    <w:p w14:paraId="4208AD05" w14:textId="77777777" w:rsidR="00E47E24" w:rsidRDefault="00000000" w:rsidP="00840557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>Security Control Room (SCR):</w:t>
      </w:r>
      <w:r>
        <w:t xml:space="preserve"> Redundant systems, 72-hour sustainment capability, and integrated command protocol with NOC.</w:t>
      </w:r>
    </w:p>
    <w:p w14:paraId="0C6A0477" w14:textId="77777777" w:rsidR="00E47E24" w:rsidRDefault="00000000" w:rsidP="00840557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>CICO Checkpoint:</w:t>
      </w:r>
      <w:r>
        <w:t xml:space="preserve"> Mandatory screening, asset logging, and tamper-evident seals for tools and equipment.</w:t>
      </w:r>
    </w:p>
    <w:p w14:paraId="1BE174F6" w14:textId="77777777" w:rsidR="00E47E24" w:rsidRDefault="00000000" w:rsidP="00840557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>Secure Network Infrastructure:</w:t>
      </w:r>
      <w:r>
        <w:t xml:space="preserve"> Physically isolated, UPS-backed, monitored network for ACS, CCTV, IDS.</w:t>
      </w:r>
    </w:p>
    <w:p w14:paraId="66DD4B13" w14:textId="77777777" w:rsidR="00E47E24" w:rsidRDefault="00000000" w:rsidP="00840557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>Compliance &amp; Governance:</w:t>
      </w:r>
      <w:r>
        <w:t xml:space="preserve"> GDPR-compliant biometric and CCTV systems; DPIA and ROPA documentation mandated.</w:t>
      </w:r>
    </w:p>
    <w:p w14:paraId="308C5CD2" w14:textId="77777777" w:rsidR="00E47E24" w:rsidRDefault="00000000" w:rsidP="00840557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>Maintenance Protocols:</w:t>
      </w:r>
      <w:r>
        <w:t xml:space="preserve"> Quarterly health checks, annual calibration, and 3-year log retention for all security systems.</w:t>
      </w:r>
    </w:p>
    <w:p w14:paraId="6922D716" w14:textId="5221B0FE" w:rsidR="00E47E24" w:rsidRDefault="72C130D5" w:rsidP="00840557">
      <w:pPr>
        <w:pStyle w:val="ListParagraph"/>
        <w:numPr>
          <w:ilvl w:val="0"/>
          <w:numId w:val="4"/>
        </w:numPr>
        <w:jc w:val="both"/>
      </w:pPr>
      <w:r w:rsidRPr="72C130D5">
        <w:rPr>
          <w:b/>
          <w:bCs/>
        </w:rPr>
        <w:t>Supplier Vetting:</w:t>
      </w:r>
      <w:r w:rsidRPr="72C130D5">
        <w:t xml:space="preserve"> ISO/IEC 27001-compliant supplier for lifecycle management and access control.</w:t>
      </w:r>
    </w:p>
    <w:p w14:paraId="5CD1FBFE" w14:textId="77777777" w:rsidR="00E47E24" w:rsidRDefault="00000000" w:rsidP="00840557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>Design Intent Handover:</w:t>
      </w:r>
      <w:r>
        <w:t xml:space="preserve"> Formal process defined with certificate prerequisite for Security Operations Manual approval.</w:t>
      </w:r>
    </w:p>
    <w:p w14:paraId="2DEC4DE0" w14:textId="77777777" w:rsidR="00E47E24" w:rsidRDefault="00000000">
      <w:pPr>
        <w:pStyle w:val="Heading3"/>
      </w:pPr>
      <w:r>
        <w:t>4. SSRP (Staffing Strategy &amp; Recruitment Plan) Integration</w:t>
      </w:r>
    </w:p>
    <w:p w14:paraId="038F44FC" w14:textId="77777777" w:rsidR="00E47E24" w:rsidRDefault="00000000" w:rsidP="00840557">
      <w:pPr>
        <w:pStyle w:val="ListParagraph"/>
        <w:numPr>
          <w:ilvl w:val="0"/>
          <w:numId w:val="5"/>
        </w:numPr>
        <w:jc w:val="both"/>
      </w:pPr>
      <w:r>
        <w:rPr>
          <w:b/>
          <w:bCs/>
        </w:rPr>
        <w:t>FTE Revision:</w:t>
      </w:r>
      <w:r>
        <w:t xml:space="preserve"> Staffing reduced from 81 to 50 FTEs across 26 unique roles in 4 functional areas.</w:t>
      </w:r>
    </w:p>
    <w:p w14:paraId="1ACFEBF3" w14:textId="77777777" w:rsidR="00E47E24" w:rsidRDefault="00000000" w:rsidP="00840557">
      <w:pPr>
        <w:pStyle w:val="ListParagraph"/>
        <w:numPr>
          <w:ilvl w:val="0"/>
          <w:numId w:val="5"/>
        </w:numPr>
        <w:jc w:val="both"/>
      </w:pPr>
      <w:r>
        <w:rPr>
          <w:b/>
          <w:bCs/>
        </w:rPr>
        <w:t>Role Adjustments:</w:t>
      </w:r>
      <w:r>
        <w:t xml:space="preserve"> CRCO removed; CISO scope expanded to include HPP; CCO now oversees SLA Team.</w:t>
      </w:r>
    </w:p>
    <w:p w14:paraId="5C2FDE46" w14:textId="0FC1EDBA" w:rsidR="00E47E24" w:rsidRDefault="72C130D5" w:rsidP="00840557">
      <w:pPr>
        <w:pStyle w:val="ListParagraph"/>
        <w:numPr>
          <w:ilvl w:val="0"/>
          <w:numId w:val="5"/>
        </w:numPr>
        <w:jc w:val="both"/>
      </w:pPr>
      <w:r w:rsidRPr="72C130D5">
        <w:rPr>
          <w:b/>
          <w:bCs/>
        </w:rPr>
        <w:t>Security Staffing:</w:t>
      </w:r>
      <w:r w:rsidRPr="72C130D5">
        <w:t xml:space="preserve"> 12 Security Specialists moved to a subcontracting model.</w:t>
      </w:r>
    </w:p>
    <w:p w14:paraId="352ED0E1" w14:textId="77777777" w:rsidR="00E47E24" w:rsidRDefault="00000000" w:rsidP="00840557">
      <w:pPr>
        <w:pStyle w:val="ListParagraph"/>
        <w:numPr>
          <w:ilvl w:val="0"/>
          <w:numId w:val="5"/>
        </w:numPr>
        <w:jc w:val="both"/>
      </w:pPr>
      <w:r>
        <w:rPr>
          <w:b/>
          <w:bCs/>
        </w:rPr>
        <w:lastRenderedPageBreak/>
        <w:t>Recruitment Strategy:</w:t>
      </w:r>
      <w:r>
        <w:t xml:space="preserve"> Dual-track approach—local recruitment for junior roles, international search for specialized positions.</w:t>
      </w:r>
    </w:p>
    <w:p w14:paraId="0033DDCE" w14:textId="77777777" w:rsidR="00E47E24" w:rsidRDefault="00000000" w:rsidP="00840557">
      <w:pPr>
        <w:pStyle w:val="ListParagraph"/>
        <w:numPr>
          <w:ilvl w:val="0"/>
          <w:numId w:val="5"/>
        </w:numPr>
        <w:jc w:val="both"/>
      </w:pPr>
      <w:r>
        <w:rPr>
          <w:b/>
          <w:bCs/>
        </w:rPr>
        <w:t>Training Standards:</w:t>
      </w:r>
      <w:r>
        <w:t xml:space="preserve"> Tiered training structure (enterprise-wide, function-specific, role-specific) aligned with Tier III, ISO 27001, CDCP, CISSP, VCP.</w:t>
      </w:r>
    </w:p>
    <w:p w14:paraId="3516CC7B" w14:textId="77777777" w:rsidR="00E47E24" w:rsidRDefault="00000000" w:rsidP="00840557">
      <w:pPr>
        <w:pStyle w:val="ListParagraph"/>
        <w:numPr>
          <w:ilvl w:val="0"/>
          <w:numId w:val="5"/>
        </w:numPr>
        <w:jc w:val="both"/>
      </w:pPr>
      <w:r>
        <w:rPr>
          <w:b/>
          <w:bCs/>
        </w:rPr>
        <w:t>Governance:</w:t>
      </w:r>
      <w:r>
        <w:t xml:space="preserve"> RACI model defined; quarterly reporting and KPI tracking implemented.</w:t>
      </w:r>
    </w:p>
    <w:p w14:paraId="258B28DC" w14:textId="77777777" w:rsidR="00E47E24" w:rsidRDefault="00000000" w:rsidP="00840557">
      <w:pPr>
        <w:pStyle w:val="ListParagraph"/>
        <w:numPr>
          <w:ilvl w:val="0"/>
          <w:numId w:val="5"/>
        </w:numPr>
        <w:jc w:val="both"/>
      </w:pPr>
      <w:r>
        <w:rPr>
          <w:b/>
          <w:bCs/>
        </w:rPr>
        <w:t>Succession Planning:</w:t>
      </w:r>
      <w:r>
        <w:t xml:space="preserve"> Framework mandated for mission-critical roles with career pathing and diversity goals.</w:t>
      </w:r>
    </w:p>
    <w:p w14:paraId="68CA8362" w14:textId="0A02C954" w:rsidR="00E47E24" w:rsidRDefault="72C130D5" w:rsidP="00840557">
      <w:pPr>
        <w:pStyle w:val="ListParagraph"/>
        <w:numPr>
          <w:ilvl w:val="0"/>
          <w:numId w:val="5"/>
        </w:numPr>
        <w:jc w:val="both"/>
      </w:pPr>
      <w:r w:rsidRPr="72C130D5">
        <w:rPr>
          <w:b/>
          <w:bCs/>
        </w:rPr>
        <w:t>Diversity &amp; Inclusion:</w:t>
      </w:r>
      <w:r w:rsidRPr="72C130D5">
        <w:t xml:space="preserve"> Formal D&amp;I targets, and inclusive sourcing channels established.</w:t>
      </w:r>
    </w:p>
    <w:p w14:paraId="37F9459E" w14:textId="77777777" w:rsidR="00E47E24" w:rsidRDefault="00000000" w:rsidP="00840557">
      <w:pPr>
        <w:pStyle w:val="ListParagraph"/>
        <w:numPr>
          <w:ilvl w:val="0"/>
          <w:numId w:val="5"/>
        </w:numPr>
        <w:jc w:val="both"/>
      </w:pPr>
      <w:r>
        <w:rPr>
          <w:b/>
          <w:bCs/>
        </w:rPr>
        <w:t>Budgeting:</w:t>
      </w:r>
      <w:r>
        <w:t xml:space="preserve"> Compensation benchmarking and budget planning tied to JD development.</w:t>
      </w:r>
    </w:p>
    <w:p w14:paraId="22071568" w14:textId="77777777" w:rsidR="00E47E24" w:rsidRDefault="00000000" w:rsidP="00840557">
      <w:pPr>
        <w:pStyle w:val="ListParagraph"/>
        <w:numPr>
          <w:ilvl w:val="0"/>
          <w:numId w:val="5"/>
        </w:numPr>
        <w:jc w:val="both"/>
      </w:pPr>
      <w:r>
        <w:rPr>
          <w:b/>
          <w:bCs/>
        </w:rPr>
        <w:t>Recruitment Timeline:</w:t>
      </w:r>
      <w:r>
        <w:t xml:space="preserve"> Phased hiring plan from Q1 2026 to Q2 2027.</w:t>
      </w:r>
    </w:p>
    <w:p w14:paraId="16FCF799" w14:textId="77777777" w:rsidR="00E47E24" w:rsidRDefault="00000000">
      <w:pPr>
        <w:pStyle w:val="Heading3"/>
      </w:pPr>
      <w:r>
        <w:t>5. Pre-Sales Engineering &amp; Catalogue Alignment</w:t>
      </w:r>
    </w:p>
    <w:p w14:paraId="1AD219CF" w14:textId="77777777" w:rsidR="00E47E24" w:rsidRDefault="00000000" w:rsidP="00840557">
      <w:pPr>
        <w:pStyle w:val="ListParagraph"/>
        <w:numPr>
          <w:ilvl w:val="0"/>
          <w:numId w:val="6"/>
        </w:numPr>
        <w:jc w:val="both"/>
      </w:pPr>
      <w:r>
        <w:rPr>
          <w:b/>
          <w:bCs/>
        </w:rPr>
        <w:t>Service Enablement Systems:</w:t>
      </w:r>
      <w:r>
        <w:t xml:space="preserve"> Engineering requirements mapped to catalogue offerings—DCIM, CRM, BMS, RMS, SIEM, VMS, API Gateway.</w:t>
      </w:r>
    </w:p>
    <w:p w14:paraId="1ABE8364" w14:textId="77777777" w:rsidR="00E47E24" w:rsidRDefault="00000000" w:rsidP="00840557">
      <w:pPr>
        <w:pStyle w:val="ListParagraph"/>
        <w:numPr>
          <w:ilvl w:val="0"/>
          <w:numId w:val="6"/>
        </w:numPr>
        <w:jc w:val="both"/>
      </w:pPr>
      <w:r>
        <w:rPr>
          <w:b/>
          <w:bCs/>
        </w:rPr>
        <w:t>Security Systems:</w:t>
      </w:r>
      <w:r>
        <w:t xml:space="preserve"> SIEM, CCTV, Access Control, and VMS confirmed as high-priority foundational systems.</w:t>
      </w:r>
    </w:p>
    <w:p w14:paraId="758A10FF" w14:textId="77777777" w:rsidR="00E47E24" w:rsidRDefault="00000000" w:rsidP="00840557">
      <w:pPr>
        <w:pStyle w:val="ListParagraph"/>
        <w:numPr>
          <w:ilvl w:val="0"/>
          <w:numId w:val="6"/>
        </w:numPr>
        <w:jc w:val="both"/>
      </w:pPr>
      <w:r>
        <w:rPr>
          <w:b/>
          <w:bCs/>
        </w:rPr>
        <w:t>Customer Support Platform:</w:t>
      </w:r>
      <w:r>
        <w:t xml:space="preserve"> "</w:t>
      </w:r>
      <w:proofErr w:type="spellStart"/>
      <w:r>
        <w:t>Biliki.Support</w:t>
      </w:r>
      <w:proofErr w:type="spellEnd"/>
      <w:r>
        <w:t>" platform defined for omni-channel support, SLA tracking, and infrastructure control.</w:t>
      </w:r>
    </w:p>
    <w:p w14:paraId="25CC7E0C" w14:textId="4BDAE47E" w:rsidR="00E47E24" w:rsidRDefault="72C130D5" w:rsidP="00840557">
      <w:pPr>
        <w:pStyle w:val="ListParagraph"/>
        <w:numPr>
          <w:ilvl w:val="0"/>
          <w:numId w:val="6"/>
        </w:numPr>
        <w:jc w:val="both"/>
      </w:pPr>
      <w:r w:rsidRPr="72C130D5">
        <w:rPr>
          <w:b/>
          <w:bCs/>
        </w:rPr>
        <w:t>Infrastructure Monitoring:</w:t>
      </w:r>
      <w:r w:rsidRPr="72C130D5">
        <w:t xml:space="preserve"> DCIM and BMS prioritized capacity planning and environmental control.</w:t>
      </w:r>
    </w:p>
    <w:p w14:paraId="4F66846A" w14:textId="77777777" w:rsidR="00E47E24" w:rsidRDefault="00000000" w:rsidP="00840557">
      <w:pPr>
        <w:pStyle w:val="ListParagraph"/>
        <w:numPr>
          <w:ilvl w:val="0"/>
          <w:numId w:val="6"/>
        </w:numPr>
        <w:jc w:val="both"/>
      </w:pPr>
      <w:r>
        <w:rPr>
          <w:b/>
          <w:bCs/>
        </w:rPr>
        <w:t>Service Fulfillment:</w:t>
      </w:r>
      <w:r>
        <w:t xml:space="preserve"> Automated orchestration platform required for Core Services provisioning.</w:t>
      </w:r>
    </w:p>
    <w:p w14:paraId="3B30008E" w14:textId="77777777" w:rsidR="00E47E24" w:rsidRDefault="00000000" w:rsidP="00840557">
      <w:pPr>
        <w:pStyle w:val="ListParagraph"/>
        <w:numPr>
          <w:ilvl w:val="0"/>
          <w:numId w:val="6"/>
        </w:numPr>
        <w:jc w:val="both"/>
      </w:pPr>
      <w:r>
        <w:rPr>
          <w:b/>
          <w:bCs/>
        </w:rPr>
        <w:t>Compliance Mapping:</w:t>
      </w:r>
      <w:r>
        <w:t xml:space="preserve"> ISO 27001, GDPR, NFPA, and EN 50600 standards integrated across service and infrastructure layers.</w:t>
      </w:r>
    </w:p>
    <w:p w14:paraId="4A3590D4" w14:textId="77777777" w:rsidR="00E47E24" w:rsidRDefault="00000000" w:rsidP="00840557">
      <w:pPr>
        <w:pStyle w:val="Heading3"/>
        <w:jc w:val="both"/>
      </w:pPr>
      <w:r>
        <w:t>6. Updates Based on ERP, HSE Manual, and Legal &amp; Compliance Assessment Report (LCAR)</w:t>
      </w:r>
    </w:p>
    <w:p w14:paraId="2E631889" w14:textId="77777777" w:rsidR="00E47E24" w:rsidRDefault="00000000" w:rsidP="00840557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Emergency Preparedness Integration:</w:t>
      </w:r>
      <w:r>
        <w:t xml:space="preserve"> ERP protocols for fire, incident, and evacuation incorporated into operational readiness.</w:t>
      </w:r>
    </w:p>
    <w:p w14:paraId="23E525B1" w14:textId="77777777" w:rsidR="00E47E24" w:rsidRDefault="00000000" w:rsidP="00840557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Mock Drill Protocols:</w:t>
      </w:r>
      <w:r>
        <w:t xml:space="preserve"> Annual drills for offices/stores; quarterly for Data Center and HPP. Lessons learned to be documented.</w:t>
      </w:r>
    </w:p>
    <w:p w14:paraId="2239F1E0" w14:textId="77777777" w:rsidR="00E47E24" w:rsidRDefault="00000000" w:rsidP="00840557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Emergency Roles Formalized:</w:t>
      </w:r>
      <w:r>
        <w:t xml:space="preserve"> EC, ERO, ERS, Fire Wardens, and First Aiders roles defined with responsibilities and contact protocols.</w:t>
      </w:r>
    </w:p>
    <w:p w14:paraId="05A4D8A4" w14:textId="77777777" w:rsidR="00E47E24" w:rsidRDefault="00000000" w:rsidP="00840557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ERP–BCP–DR Transition:</w:t>
      </w:r>
      <w:r>
        <w:t xml:space="preserve"> Formal handoff protocol established for seamless emergency-to-recovery transition.</w:t>
      </w:r>
    </w:p>
    <w:p w14:paraId="451614B8" w14:textId="77777777" w:rsidR="00E47E24" w:rsidRDefault="00000000" w:rsidP="00840557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ESG Emergency Annex:</w:t>
      </w:r>
      <w:r>
        <w:t xml:space="preserve"> Environmental (spill, flood), social (inclusive evacuation), and governance (incident KPIs, board oversight) safeguards embedded.</w:t>
      </w:r>
    </w:p>
    <w:p w14:paraId="1D4770F3" w14:textId="77777777" w:rsidR="00E47E24" w:rsidRDefault="00000000" w:rsidP="00840557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HSE Governance:</w:t>
      </w:r>
      <w:r>
        <w:t xml:space="preserve"> HSEQ Manager and HSE Board roles clarified; monthly review cycles and delegated authority for updates and audits.</w:t>
      </w:r>
    </w:p>
    <w:p w14:paraId="31AA64A2" w14:textId="77777777" w:rsidR="00E47E24" w:rsidRDefault="00000000" w:rsidP="00840557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lastRenderedPageBreak/>
        <w:t>Training Matrix:</w:t>
      </w:r>
      <w:r>
        <w:t xml:space="preserve"> HSE training matrix defined for all roles; includes emergency response, hazard awareness, and operational control procedures.</w:t>
      </w:r>
    </w:p>
    <w:p w14:paraId="4FBC675C" w14:textId="77777777" w:rsidR="00E47E24" w:rsidRDefault="00000000" w:rsidP="00840557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Operational Control Procedures:</w:t>
      </w:r>
      <w:r>
        <w:t xml:space="preserve"> Permit-to-work system, hazard elimination, and PPE provisioning formalized.</w:t>
      </w:r>
    </w:p>
    <w:p w14:paraId="0B773481" w14:textId="77777777" w:rsidR="00E47E24" w:rsidRDefault="00000000" w:rsidP="00840557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Legal Compliance Tracking:</w:t>
      </w:r>
      <w:r>
        <w:t xml:space="preserve"> Monthly legal compliance verification and register maintenance mandated.</w:t>
      </w:r>
    </w:p>
    <w:p w14:paraId="4D9F8A8D" w14:textId="77777777" w:rsidR="00E47E24" w:rsidRDefault="00000000" w:rsidP="00840557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Contractor Safety Compliance:</w:t>
      </w:r>
      <w:r>
        <w:t xml:space="preserve"> Contractors must undergo HSE induction and comply with Owner HSE standards; performance tracked via dedicated forms.</w:t>
      </w:r>
    </w:p>
    <w:p w14:paraId="67318C88" w14:textId="77777777" w:rsidR="00E47E24" w:rsidRDefault="00000000" w:rsidP="00840557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ESHIA Adoption:</w:t>
      </w:r>
      <w:r>
        <w:t xml:space="preserve"> ESHIA adopted as compliance baseline, exceeding Georgian EAC requirements by including SIA, HIA, SEP, and ESMP.</w:t>
      </w:r>
    </w:p>
    <w:p w14:paraId="5AD8D26F" w14:textId="77777777" w:rsidR="00E47E24" w:rsidRDefault="00000000" w:rsidP="00840557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Certification Alignment:</w:t>
      </w:r>
      <w:r>
        <w:t xml:space="preserve"> Project design and documentation aligned with IFC PS, HSS, Verra VCS, and LEED frameworks.</w:t>
      </w:r>
    </w:p>
    <w:p w14:paraId="6DFB8837" w14:textId="77777777" w:rsidR="00E47E24" w:rsidRDefault="00000000" w:rsidP="00840557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Gap Closure Strategy:</w:t>
      </w:r>
      <w:r>
        <w:t xml:space="preserve"> Developer-led inputs (GHG modeling, biodiversity co-benefits, stakeholder benefit-sharing) identified for certification readiness.</w:t>
      </w:r>
    </w:p>
    <w:p w14:paraId="3F81EF2D" w14:textId="77777777" w:rsidR="00E47E24" w:rsidRDefault="00000000" w:rsidP="00840557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Scoping Decision Protocol:</w:t>
      </w:r>
      <w:r>
        <w:t xml:space="preserve"> Voluntary EIA path confirmed; scoping decision to serve as binding </w:t>
      </w:r>
      <w:proofErr w:type="spellStart"/>
      <w:r>
        <w:t>ToR</w:t>
      </w:r>
      <w:proofErr w:type="spellEnd"/>
      <w:r>
        <w:t xml:space="preserve"> for ESHIA.</w:t>
      </w:r>
    </w:p>
    <w:p w14:paraId="18537B67" w14:textId="77777777" w:rsidR="00E47E24" w:rsidRDefault="00000000" w:rsidP="00840557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Public Participation Enhancements:</w:t>
      </w:r>
      <w:r>
        <w:t xml:space="preserve"> SEP and grievance mechanisms added to exceed EAC minimums and align with international standards.</w:t>
      </w:r>
    </w:p>
    <w:p w14:paraId="0D569BBD" w14:textId="77777777" w:rsidR="00E47E24" w:rsidRDefault="00000000">
      <w:pPr>
        <w:pStyle w:val="Heading3"/>
      </w:pPr>
      <w:r>
        <w:t>7. Summary of Impact</w:t>
      </w:r>
    </w:p>
    <w:p w14:paraId="16756FCD" w14:textId="77777777" w:rsidR="00E47E24" w:rsidRDefault="00000000">
      <w:r>
        <w:t>These changes ensure:</w:t>
      </w:r>
    </w:p>
    <w:p w14:paraId="5D1A43A5" w14:textId="12FEC5F3" w:rsidR="00E47E24" w:rsidRDefault="72C130D5" w:rsidP="00840557">
      <w:pPr>
        <w:pStyle w:val="ListParagraph"/>
        <w:numPr>
          <w:ilvl w:val="0"/>
          <w:numId w:val="8"/>
        </w:numPr>
        <w:jc w:val="both"/>
      </w:pPr>
      <w:r w:rsidRPr="72C130D5">
        <w:t>Full alignment with Tier III and Tier IV-ready design principles.</w:t>
      </w:r>
    </w:p>
    <w:p w14:paraId="1C82A31E" w14:textId="77777777" w:rsidR="00E47E24" w:rsidRDefault="00000000" w:rsidP="00840557">
      <w:pPr>
        <w:pStyle w:val="ListParagraph"/>
        <w:numPr>
          <w:ilvl w:val="0"/>
          <w:numId w:val="8"/>
        </w:numPr>
        <w:jc w:val="both"/>
      </w:pPr>
      <w:r>
        <w:t>Enhanced physical and cyber security posture.</w:t>
      </w:r>
    </w:p>
    <w:p w14:paraId="0D12261C" w14:textId="77777777" w:rsidR="00E47E24" w:rsidRDefault="00000000" w:rsidP="00840557">
      <w:pPr>
        <w:pStyle w:val="ListParagraph"/>
        <w:numPr>
          <w:ilvl w:val="0"/>
          <w:numId w:val="8"/>
        </w:numPr>
        <w:jc w:val="both"/>
      </w:pPr>
      <w:r>
        <w:t>Compliance with international standards (ISO/IEC 27001, GDPR, EN 50600).</w:t>
      </w:r>
    </w:p>
    <w:p w14:paraId="54274417" w14:textId="77777777" w:rsidR="00E47E24" w:rsidRDefault="00000000" w:rsidP="00840557">
      <w:pPr>
        <w:pStyle w:val="ListParagraph"/>
        <w:numPr>
          <w:ilvl w:val="0"/>
          <w:numId w:val="8"/>
        </w:numPr>
        <w:jc w:val="both"/>
      </w:pPr>
      <w:r>
        <w:t>Operational readiness and maintainability.</w:t>
      </w:r>
    </w:p>
    <w:p w14:paraId="59127D89" w14:textId="77777777" w:rsidR="00E47E24" w:rsidRDefault="00000000" w:rsidP="00840557">
      <w:pPr>
        <w:pStyle w:val="ListParagraph"/>
        <w:numPr>
          <w:ilvl w:val="0"/>
          <w:numId w:val="8"/>
        </w:numPr>
        <w:jc w:val="both"/>
      </w:pPr>
      <w:r>
        <w:t>Integration of ESG, staffing, and service delivery frameworks.</w:t>
      </w:r>
    </w:p>
    <w:sectPr w:rsidR="00E47E2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49669"/>
    <w:multiLevelType w:val="hybridMultilevel"/>
    <w:tmpl w:val="5726C3F4"/>
    <w:lvl w:ilvl="0" w:tplc="198694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8CAA6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AFC28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9B203C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0126C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EAAF07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3CE0F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A446B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76A1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8B695E0"/>
    <w:multiLevelType w:val="hybridMultilevel"/>
    <w:tmpl w:val="A95821DC"/>
    <w:lvl w:ilvl="0" w:tplc="5D82AD0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2B2DA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F0C9E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18A8E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6C85B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148FE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738D7F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58EA7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E422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38B86D3"/>
    <w:multiLevelType w:val="hybridMultilevel"/>
    <w:tmpl w:val="8B48B448"/>
    <w:lvl w:ilvl="0" w:tplc="C868E93A">
      <w:start w:val="1"/>
      <w:numFmt w:val="bullet"/>
      <w:lvlText w:val="●"/>
      <w:lvlJc w:val="left"/>
      <w:pPr>
        <w:ind w:left="720" w:hanging="360"/>
      </w:pPr>
    </w:lvl>
    <w:lvl w:ilvl="1" w:tplc="042A2C20">
      <w:start w:val="1"/>
      <w:numFmt w:val="bullet"/>
      <w:lvlText w:val="○"/>
      <w:lvlJc w:val="left"/>
      <w:pPr>
        <w:ind w:left="1440" w:hanging="360"/>
      </w:pPr>
    </w:lvl>
    <w:lvl w:ilvl="2" w:tplc="32F2FF2E">
      <w:start w:val="1"/>
      <w:numFmt w:val="bullet"/>
      <w:lvlText w:val="■"/>
      <w:lvlJc w:val="left"/>
      <w:pPr>
        <w:ind w:left="2160" w:hanging="360"/>
      </w:pPr>
    </w:lvl>
    <w:lvl w:ilvl="3" w:tplc="47A64120">
      <w:start w:val="1"/>
      <w:numFmt w:val="bullet"/>
      <w:lvlText w:val="●"/>
      <w:lvlJc w:val="left"/>
      <w:pPr>
        <w:ind w:left="2880" w:hanging="360"/>
      </w:pPr>
    </w:lvl>
    <w:lvl w:ilvl="4" w:tplc="FCA86A46">
      <w:start w:val="1"/>
      <w:numFmt w:val="bullet"/>
      <w:lvlText w:val="○"/>
      <w:lvlJc w:val="left"/>
      <w:pPr>
        <w:ind w:left="3600" w:hanging="360"/>
      </w:pPr>
    </w:lvl>
    <w:lvl w:ilvl="5" w:tplc="74E60EFC">
      <w:start w:val="1"/>
      <w:numFmt w:val="bullet"/>
      <w:lvlText w:val="■"/>
      <w:lvlJc w:val="left"/>
      <w:pPr>
        <w:ind w:left="4320" w:hanging="360"/>
      </w:pPr>
    </w:lvl>
    <w:lvl w:ilvl="6" w:tplc="57640BA0">
      <w:start w:val="1"/>
      <w:numFmt w:val="bullet"/>
      <w:lvlText w:val="●"/>
      <w:lvlJc w:val="left"/>
      <w:pPr>
        <w:ind w:left="5040" w:hanging="360"/>
      </w:pPr>
    </w:lvl>
    <w:lvl w:ilvl="7" w:tplc="4DD09FC8">
      <w:start w:val="1"/>
      <w:numFmt w:val="bullet"/>
      <w:lvlText w:val="●"/>
      <w:lvlJc w:val="left"/>
      <w:pPr>
        <w:ind w:left="5760" w:hanging="360"/>
      </w:pPr>
    </w:lvl>
    <w:lvl w:ilvl="8" w:tplc="679E717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1D21B29"/>
    <w:multiLevelType w:val="hybridMultilevel"/>
    <w:tmpl w:val="C8784F5C"/>
    <w:lvl w:ilvl="0" w:tplc="133888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1CEF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E1C64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38CCC9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E449F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A9CB64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000C6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7C02E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2E613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31513D9"/>
    <w:multiLevelType w:val="hybridMultilevel"/>
    <w:tmpl w:val="CDC210FC"/>
    <w:lvl w:ilvl="0" w:tplc="E96ECA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EB63E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E9CE7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22EDB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80EC4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CA2672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1324E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24C70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3E4793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219EE88"/>
    <w:multiLevelType w:val="hybridMultilevel"/>
    <w:tmpl w:val="1D50FD68"/>
    <w:lvl w:ilvl="0" w:tplc="49F842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73666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F0A1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0FEB5D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68800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D54E44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DA41D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F1A3E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1323C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48B2BDD7"/>
    <w:multiLevelType w:val="hybridMultilevel"/>
    <w:tmpl w:val="5CAA51EC"/>
    <w:lvl w:ilvl="0" w:tplc="2E0ABE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B3A19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CC2E57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AA8319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22005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F2042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EA028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C0EF8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1A8392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582E6F57"/>
    <w:multiLevelType w:val="hybridMultilevel"/>
    <w:tmpl w:val="FB08FE6A"/>
    <w:lvl w:ilvl="0" w:tplc="D2C0CE5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41EB9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EC69BB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2E6E36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9468F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B825E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3107A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EB62E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9FEA5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7CCAAFBB"/>
    <w:multiLevelType w:val="hybridMultilevel"/>
    <w:tmpl w:val="90BAC236"/>
    <w:lvl w:ilvl="0" w:tplc="49D25B6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7F8EF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97853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94A90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FB4AE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8883C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774829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3EC39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E926E6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353195976">
    <w:abstractNumId w:val="2"/>
    <w:lvlOverride w:ilvl="0">
      <w:startOverride w:val="1"/>
    </w:lvlOverride>
  </w:num>
  <w:num w:numId="2" w16cid:durableId="1334182167">
    <w:abstractNumId w:val="4"/>
  </w:num>
  <w:num w:numId="3" w16cid:durableId="1219975014">
    <w:abstractNumId w:val="1"/>
  </w:num>
  <w:num w:numId="4" w16cid:durableId="687485821">
    <w:abstractNumId w:val="8"/>
  </w:num>
  <w:num w:numId="5" w16cid:durableId="123550980">
    <w:abstractNumId w:val="3"/>
  </w:num>
  <w:num w:numId="6" w16cid:durableId="1323849683">
    <w:abstractNumId w:val="7"/>
  </w:num>
  <w:num w:numId="7" w16cid:durableId="832766893">
    <w:abstractNumId w:val="6"/>
  </w:num>
  <w:num w:numId="8" w16cid:durableId="1168641742">
    <w:abstractNumId w:val="0"/>
  </w:num>
  <w:num w:numId="9" w16cid:durableId="1068112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9563AB"/>
    <w:rsid w:val="00307463"/>
    <w:rsid w:val="005D6133"/>
    <w:rsid w:val="00840557"/>
    <w:rsid w:val="00E47E24"/>
    <w:rsid w:val="059563AB"/>
    <w:rsid w:val="0DB99C8D"/>
    <w:rsid w:val="15F532A1"/>
    <w:rsid w:val="24E624DF"/>
    <w:rsid w:val="450BEBB1"/>
    <w:rsid w:val="4570CF29"/>
    <w:rsid w:val="49BB77A6"/>
    <w:rsid w:val="4A5DD48F"/>
    <w:rsid w:val="5033CC66"/>
    <w:rsid w:val="5D80E18F"/>
    <w:rsid w:val="706DEEA7"/>
    <w:rsid w:val="72C130D5"/>
    <w:rsid w:val="79A5B85A"/>
    <w:rsid w:val="7E36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DA19"/>
  <w15:docId w15:val="{7F130BE3-960D-4544-BAAA-6B04CD5B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1175</Words>
  <Characters>6703</Characters>
  <Application>Microsoft Office Word</Application>
  <DocSecurity>0</DocSecurity>
  <Lines>55</Lines>
  <Paragraphs>15</Paragraphs>
  <ScaleCrop>false</ScaleCrop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Ramiz Mammadov</cp:lastModifiedBy>
  <cp:revision>3</cp:revision>
  <dcterms:created xsi:type="dcterms:W3CDTF">2025-10-29T21:05:00Z</dcterms:created>
  <dcterms:modified xsi:type="dcterms:W3CDTF">2025-10-29T21:07:00Z</dcterms:modified>
</cp:coreProperties>
</file>