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8B271" w14:textId="77777777" w:rsidR="00B40F8B" w:rsidRDefault="00000000">
      <w:pPr>
        <w:pStyle w:val="FirstParagraph"/>
      </w:pPr>
      <w:r>
        <w:rPr>
          <w:b/>
          <w:bCs/>
        </w:rPr>
        <w:t>Created:</w:t>
      </w:r>
      <w:r>
        <w:t xml:space="preserve"> 2025-10-29 </w:t>
      </w:r>
      <w:r>
        <w:rPr>
          <w:b/>
          <w:bCs/>
        </w:rPr>
        <w:t>Updated from:</w:t>
      </w:r>
      <w:r>
        <w:t xml:space="preserve"> Pryor_Bod_EVS_Rev01.md + Erik_BOD references</w:t>
      </w:r>
    </w:p>
    <w:p w14:paraId="67325C7C" w14:textId="77777777" w:rsidR="00B40F8B" w:rsidRDefault="00000000">
      <w:pPr>
        <w:pStyle w:val="Heading1"/>
      </w:pPr>
      <w:bookmarkStart w:id="0" w:name="Xc66dcfb4c1da3612553de7e557af3c94a7e576a"/>
      <w:r>
        <w:t>BASIS OF DESIGN - PROCUREMENT &amp; CONTRACTING</w:t>
      </w:r>
    </w:p>
    <w:p w14:paraId="1212ED2C" w14:textId="77777777" w:rsidR="00B40F8B" w:rsidRDefault="00000000">
      <w:pPr>
        <w:pStyle w:val="Heading2"/>
      </w:pPr>
      <w:bookmarkStart w:id="1" w:name="csi-division-00"/>
      <w:r>
        <w:t>CSI Division 00</w:t>
      </w:r>
    </w:p>
    <w:p w14:paraId="7B216894" w14:textId="77777777" w:rsidR="00B40F8B" w:rsidRDefault="00000000">
      <w:pPr>
        <w:pStyle w:val="Heading3"/>
      </w:pPr>
      <w:bookmarkStart w:id="2" w:name="pryor-data-center---pachyderm-global"/>
      <w:r>
        <w:t>Pryor Data Center - PACHYDERM GLOBAL</w:t>
      </w:r>
    </w:p>
    <w:p w14:paraId="4BB5ED6D" w14:textId="77777777" w:rsidR="00B40F8B" w:rsidRDefault="00000000">
      <w:pPr>
        <w:pStyle w:val="FirstParagraph"/>
      </w:pPr>
      <w:r>
        <w:rPr>
          <w:b/>
          <w:bCs/>
        </w:rPr>
        <w:t>Parent Document:</w:t>
      </w:r>
      <w:r>
        <w:t xml:space="preserve"> [[Saga Pryor DC/Basis of Design/Erik_BOD_Updated/_BOD - Exec Summary and TOC]]</w:t>
      </w:r>
    </w:p>
    <w:p w14:paraId="1D624B96" w14:textId="77777777" w:rsidR="00B40F8B" w:rsidRDefault="00000000">
      <w:r>
        <w:pict w14:anchorId="7E9DACF2">
          <v:rect id="_x0000_i1025" style="width:0;height:1.5pt" o:hralign="center" o:hrstd="t" o:hr="t"/>
        </w:pict>
      </w:r>
    </w:p>
    <w:p w14:paraId="5EFA7CED" w14:textId="77777777" w:rsidR="00B40F8B" w:rsidRDefault="00000000">
      <w:pPr>
        <w:pStyle w:val="Heading2"/>
      </w:pPr>
      <w:bookmarkStart w:id="3" w:name="overview"/>
      <w:bookmarkEnd w:id="1"/>
      <w:bookmarkEnd w:id="2"/>
      <w:r>
        <w:t>OVERVIEW</w:t>
      </w:r>
    </w:p>
    <w:p w14:paraId="4A977C38" w14:textId="77777777" w:rsidR="00B40F8B" w:rsidRDefault="00000000">
      <w:pPr>
        <w:pStyle w:val="FirstParagraph"/>
      </w:pPr>
      <w:r>
        <w:t>CSI Division 00 establishes the contract strategy, procurement approach, and delivery methods for the Pryor Data Center project. This division defines how the project will be organized, procured, and executed to meet schedule, budget, and performance requirements while minimizing risk.</w:t>
      </w:r>
    </w:p>
    <w:p w14:paraId="75C2FC6A" w14:textId="77777777" w:rsidR="00E9326C" w:rsidRDefault="00000000">
      <w:pPr>
        <w:pStyle w:val="BodyText"/>
      </w:pPr>
      <w:r>
        <w:rPr>
          <w:b/>
          <w:bCs/>
        </w:rPr>
        <w:t>Key Objectives:</w:t>
      </w:r>
      <w:r>
        <w:t xml:space="preserve"> </w:t>
      </w:r>
    </w:p>
    <w:p w14:paraId="2BD1D3D1" w14:textId="77777777" w:rsidR="00E9326C" w:rsidRDefault="00000000">
      <w:pPr>
        <w:pStyle w:val="BodyText"/>
      </w:pPr>
      <w:r>
        <w:t xml:space="preserve">- </w:t>
      </w:r>
      <w:r>
        <w:rPr>
          <w:b/>
          <w:bCs/>
        </w:rPr>
        <w:t>Delivery method:</w:t>
      </w:r>
      <w:r>
        <w:t xml:space="preserve"> Select optimal project delivery approach (Design-Build, CMAR, etc.) </w:t>
      </w:r>
    </w:p>
    <w:p w14:paraId="410195B8" w14:textId="77777777" w:rsidR="00E9326C" w:rsidRDefault="00000000">
      <w:pPr>
        <w:pStyle w:val="BodyText"/>
      </w:pPr>
      <w:r>
        <w:t xml:space="preserve">- </w:t>
      </w:r>
      <w:r>
        <w:rPr>
          <w:b/>
          <w:bCs/>
        </w:rPr>
        <w:t>Procurement strategy:</w:t>
      </w:r>
      <w:r>
        <w:t xml:space="preserve"> Balance competitive pricing with proven Tier III vendors </w:t>
      </w:r>
    </w:p>
    <w:p w14:paraId="5856ED2B" w14:textId="77777777" w:rsidR="00E9326C" w:rsidRDefault="00000000">
      <w:pPr>
        <w:pStyle w:val="BodyText"/>
      </w:pPr>
      <w:r>
        <w:t xml:space="preserve">- </w:t>
      </w:r>
      <w:r>
        <w:rPr>
          <w:b/>
          <w:bCs/>
        </w:rPr>
        <w:t>Risk allocation:</w:t>
      </w:r>
      <w:r>
        <w:t xml:space="preserve"> Clear contractual roles for design, construction, commissioning, and performance </w:t>
      </w:r>
    </w:p>
    <w:p w14:paraId="2CCBF9E6" w14:textId="77777777" w:rsidR="00E9326C" w:rsidRDefault="00000000">
      <w:pPr>
        <w:pStyle w:val="BodyText"/>
      </w:pPr>
      <w:r>
        <w:t xml:space="preserve">- </w:t>
      </w:r>
      <w:r>
        <w:rPr>
          <w:b/>
          <w:bCs/>
        </w:rPr>
        <w:t>Schedule optimization:</w:t>
      </w:r>
      <w:r>
        <w:t xml:space="preserve"> Parallel design, procurement, and construction to meet 24-month timeline </w:t>
      </w:r>
    </w:p>
    <w:p w14:paraId="30854E4E" w14:textId="19D573E6" w:rsidR="00B40F8B" w:rsidRDefault="00000000">
      <w:pPr>
        <w:pStyle w:val="BodyText"/>
      </w:pPr>
      <w:r>
        <w:t xml:space="preserve">- </w:t>
      </w:r>
      <w:r>
        <w:rPr>
          <w:b/>
          <w:bCs/>
        </w:rPr>
        <w:t>Quality assurance:</w:t>
      </w:r>
      <w:r>
        <w:t xml:space="preserve"> Vendor pre-qualification and performance guarantees</w:t>
      </w:r>
    </w:p>
    <w:p w14:paraId="0519D7A3" w14:textId="77777777" w:rsidR="00B40F8B" w:rsidRDefault="00000000">
      <w:r>
        <w:pict w14:anchorId="0200BC39">
          <v:rect id="_x0000_i1026" style="width:0;height:1.5pt" o:hralign="center" o:hrstd="t" o:hr="t"/>
        </w:pict>
      </w:r>
    </w:p>
    <w:p w14:paraId="4B723EC3" w14:textId="77777777" w:rsidR="00B40F8B" w:rsidRDefault="00000000">
      <w:pPr>
        <w:pStyle w:val="Heading2"/>
      </w:pPr>
      <w:bookmarkStart w:id="4" w:name="project-delivery-method"/>
      <w:bookmarkEnd w:id="3"/>
      <w:r>
        <w:t>0.01 PROJECT DELIVERY METHOD</w:t>
      </w:r>
    </w:p>
    <w:p w14:paraId="78DEA1AB" w14:textId="77777777" w:rsidR="00B40F8B" w:rsidRDefault="00000000">
      <w:pPr>
        <w:pStyle w:val="Heading3"/>
      </w:pPr>
      <w:bookmarkStart w:id="5" w:name="X9cf76b94b69764ec8861700bcd093d6b6f79375"/>
      <w:r>
        <w:t xml:space="preserve">Recommended Delivery Method: </w:t>
      </w:r>
      <w:r>
        <w:rPr>
          <w:b/>
          <w:bCs/>
        </w:rPr>
        <w:t>Design-Build (DB)</w:t>
      </w:r>
    </w:p>
    <w:p w14:paraId="0FED0D5E" w14:textId="77777777" w:rsidR="00B40F8B" w:rsidRDefault="00000000">
      <w:pPr>
        <w:pStyle w:val="FirstParagraph"/>
      </w:pPr>
      <w:r>
        <w:rPr>
          <w:b/>
          <w:bCs/>
        </w:rPr>
        <w:t>Rationale:</w:t>
      </w:r>
      <w:r>
        <w:t xml:space="preserve"> - </w:t>
      </w:r>
      <w:r>
        <w:rPr>
          <w:b/>
          <w:bCs/>
        </w:rPr>
        <w:t>Single-point responsibility:</w:t>
      </w:r>
      <w:r>
        <w:t xml:space="preserve"> One contract for design and construction reduces owner risk - </w:t>
      </w:r>
      <w:r>
        <w:rPr>
          <w:b/>
          <w:bCs/>
        </w:rPr>
        <w:t>Schedule compression:</w:t>
      </w:r>
      <w:r>
        <w:t xml:space="preserve"> Overlap design, procurement, and construction (fast-track) - </w:t>
      </w:r>
      <w:r>
        <w:rPr>
          <w:b/>
          <w:bCs/>
        </w:rPr>
        <w:t>Integrated team:</w:t>
      </w:r>
      <w:r>
        <w:t xml:space="preserve"> Design-builder coordinates architect, MEP engineer, and trades - </w:t>
      </w:r>
      <w:r>
        <w:rPr>
          <w:b/>
          <w:bCs/>
        </w:rPr>
        <w:t>Performance guarantees:</w:t>
      </w:r>
      <w:r>
        <w:t xml:space="preserve"> PUE, uptime, capacity targets contractually enforceable - </w:t>
      </w:r>
      <w:r>
        <w:rPr>
          <w:b/>
          <w:bCs/>
        </w:rPr>
        <w:t>Cost certainty:</w:t>
      </w:r>
      <w:r>
        <w:t xml:space="preserve"> Guaranteed Maximum Price (GMP) locked after design development</w:t>
      </w:r>
    </w:p>
    <w:p w14:paraId="14268686" w14:textId="77777777" w:rsidR="00B40F8B" w:rsidRDefault="00000000">
      <w:pPr>
        <w:pStyle w:val="BodyText"/>
      </w:pPr>
      <w:r>
        <w:rPr>
          <w:b/>
          <w:bCs/>
        </w:rPr>
        <w:t>Alternative Delivery Methods Considered:</w:t>
      </w:r>
    </w:p>
    <w:tbl>
      <w:tblPr>
        <w:tblStyle w:val="Table"/>
        <w:tblW w:w="5000" w:type="pct"/>
        <w:tblLayout w:type="fixed"/>
        <w:tblLook w:val="0020" w:firstRow="1" w:lastRow="0" w:firstColumn="0" w:lastColumn="0" w:noHBand="0" w:noVBand="0"/>
      </w:tblPr>
      <w:tblGrid>
        <w:gridCol w:w="2128"/>
        <w:gridCol w:w="1596"/>
        <w:gridCol w:w="1596"/>
        <w:gridCol w:w="4256"/>
      </w:tblGrid>
      <w:tr w:rsidR="00B40F8B" w14:paraId="6A75FA43" w14:textId="77777777" w:rsidTr="00B40F8B">
        <w:trPr>
          <w:cnfStyle w:val="100000000000" w:firstRow="1" w:lastRow="0" w:firstColumn="0" w:lastColumn="0" w:oddVBand="0" w:evenVBand="0" w:oddHBand="0" w:evenHBand="0" w:firstRowFirstColumn="0" w:firstRowLastColumn="0" w:lastRowFirstColumn="0" w:lastRowLastColumn="0"/>
          <w:tblHeader/>
        </w:trPr>
        <w:tc>
          <w:tcPr>
            <w:tcW w:w="1760" w:type="dxa"/>
          </w:tcPr>
          <w:p w14:paraId="25037F13" w14:textId="77777777" w:rsidR="00B40F8B" w:rsidRDefault="00000000">
            <w:pPr>
              <w:pStyle w:val="Compact"/>
            </w:pPr>
            <w:r>
              <w:lastRenderedPageBreak/>
              <w:t>Method</w:t>
            </w:r>
          </w:p>
        </w:tc>
        <w:tc>
          <w:tcPr>
            <w:tcW w:w="1320" w:type="dxa"/>
          </w:tcPr>
          <w:p w14:paraId="122EBED1" w14:textId="77777777" w:rsidR="00B40F8B" w:rsidRDefault="00000000">
            <w:pPr>
              <w:pStyle w:val="Compact"/>
            </w:pPr>
            <w:r>
              <w:t>Pros</w:t>
            </w:r>
          </w:p>
        </w:tc>
        <w:tc>
          <w:tcPr>
            <w:tcW w:w="1320" w:type="dxa"/>
          </w:tcPr>
          <w:p w14:paraId="265B1345" w14:textId="77777777" w:rsidR="00B40F8B" w:rsidRDefault="00000000">
            <w:pPr>
              <w:pStyle w:val="Compact"/>
            </w:pPr>
            <w:r>
              <w:t>Cons</w:t>
            </w:r>
          </w:p>
        </w:tc>
        <w:tc>
          <w:tcPr>
            <w:tcW w:w="3520" w:type="dxa"/>
          </w:tcPr>
          <w:p w14:paraId="0EFF1284" w14:textId="77777777" w:rsidR="00B40F8B" w:rsidRDefault="00000000">
            <w:pPr>
              <w:pStyle w:val="Compact"/>
            </w:pPr>
            <w:r>
              <w:t>Recommendation</w:t>
            </w:r>
          </w:p>
        </w:tc>
      </w:tr>
      <w:tr w:rsidR="00B40F8B" w14:paraId="13DAD2C9" w14:textId="77777777">
        <w:tc>
          <w:tcPr>
            <w:tcW w:w="1760" w:type="dxa"/>
          </w:tcPr>
          <w:p w14:paraId="4B0ED1E7" w14:textId="77777777" w:rsidR="00B40F8B" w:rsidRDefault="00000000">
            <w:pPr>
              <w:pStyle w:val="Compact"/>
            </w:pPr>
            <w:r>
              <w:rPr>
                <w:b/>
                <w:bCs/>
              </w:rPr>
              <w:t>Design-Bid-Build (DBB)</w:t>
            </w:r>
          </w:p>
        </w:tc>
        <w:tc>
          <w:tcPr>
            <w:tcW w:w="1320" w:type="dxa"/>
          </w:tcPr>
          <w:p w14:paraId="12976489" w14:textId="77777777" w:rsidR="00B40F8B" w:rsidRDefault="00000000">
            <w:pPr>
              <w:pStyle w:val="Compact"/>
            </w:pPr>
            <w:r>
              <w:t>Competitive bidding; clear design-construction separation</w:t>
            </w:r>
          </w:p>
        </w:tc>
        <w:tc>
          <w:tcPr>
            <w:tcW w:w="1320" w:type="dxa"/>
          </w:tcPr>
          <w:p w14:paraId="54F89889" w14:textId="77777777" w:rsidR="00B40F8B" w:rsidRDefault="00000000">
            <w:pPr>
              <w:pStyle w:val="Compact"/>
            </w:pPr>
            <w:r>
              <w:t>Sequential (slower); design-construction conflicts; no early input from trades</w:t>
            </w:r>
          </w:p>
        </w:tc>
        <w:tc>
          <w:tcPr>
            <w:tcW w:w="3520" w:type="dxa"/>
          </w:tcPr>
          <w:p w14:paraId="6000A585" w14:textId="77777777" w:rsidR="00B40F8B" w:rsidRDefault="00000000">
            <w:pPr>
              <w:pStyle w:val="Compact"/>
            </w:pPr>
            <w:r>
              <w:t>❌ Not recommended (schedule risk)</w:t>
            </w:r>
          </w:p>
        </w:tc>
      </w:tr>
      <w:tr w:rsidR="00B40F8B" w14:paraId="18A0211E" w14:textId="77777777">
        <w:tc>
          <w:tcPr>
            <w:tcW w:w="1760" w:type="dxa"/>
          </w:tcPr>
          <w:p w14:paraId="4CD518F9" w14:textId="77777777" w:rsidR="00B40F8B" w:rsidRDefault="00000000">
            <w:pPr>
              <w:pStyle w:val="Compact"/>
            </w:pPr>
            <w:r>
              <w:rPr>
                <w:b/>
                <w:bCs/>
              </w:rPr>
              <w:t>Construction Manager at Risk (CMAR)</w:t>
            </w:r>
          </w:p>
        </w:tc>
        <w:tc>
          <w:tcPr>
            <w:tcW w:w="1320" w:type="dxa"/>
          </w:tcPr>
          <w:p w14:paraId="262BEBE4" w14:textId="77777777" w:rsidR="00B40F8B" w:rsidRDefault="00000000">
            <w:pPr>
              <w:pStyle w:val="Compact"/>
            </w:pPr>
            <w:r>
              <w:t>Early GC involvement; pre-construction services; GMP option</w:t>
            </w:r>
          </w:p>
        </w:tc>
        <w:tc>
          <w:tcPr>
            <w:tcW w:w="1320" w:type="dxa"/>
          </w:tcPr>
          <w:p w14:paraId="7E053EB9" w14:textId="77777777" w:rsidR="00B40F8B" w:rsidRDefault="00000000">
            <w:pPr>
              <w:pStyle w:val="Compact"/>
            </w:pPr>
            <w:r>
              <w:t>Two contracts (architect + CMAR); coordination burden on owner</w:t>
            </w:r>
          </w:p>
        </w:tc>
        <w:tc>
          <w:tcPr>
            <w:tcW w:w="3520" w:type="dxa"/>
          </w:tcPr>
          <w:p w14:paraId="2A44488D" w14:textId="77777777" w:rsidR="00B40F8B" w:rsidRDefault="00000000">
            <w:pPr>
              <w:pStyle w:val="Compact"/>
            </w:pPr>
            <w:r>
              <w:t>⚠️ Acceptable alternative if owner prefers more control</w:t>
            </w:r>
          </w:p>
        </w:tc>
      </w:tr>
      <w:tr w:rsidR="00B40F8B" w14:paraId="4DD95F40" w14:textId="77777777">
        <w:tc>
          <w:tcPr>
            <w:tcW w:w="1760" w:type="dxa"/>
          </w:tcPr>
          <w:p w14:paraId="522331D9" w14:textId="77777777" w:rsidR="00B40F8B" w:rsidRDefault="00000000">
            <w:pPr>
              <w:pStyle w:val="Compact"/>
            </w:pPr>
            <w:r>
              <w:rPr>
                <w:b/>
                <w:bCs/>
              </w:rPr>
              <w:t>Integrated Project Delivery (IPD)</w:t>
            </w:r>
          </w:p>
        </w:tc>
        <w:tc>
          <w:tcPr>
            <w:tcW w:w="1320" w:type="dxa"/>
          </w:tcPr>
          <w:p w14:paraId="2B3C2348" w14:textId="77777777" w:rsidR="00B40F8B" w:rsidRDefault="00000000">
            <w:pPr>
              <w:pStyle w:val="Compact"/>
            </w:pPr>
            <w:r>
              <w:t>Shared risk/reward; high collaboration</w:t>
            </w:r>
          </w:p>
        </w:tc>
        <w:tc>
          <w:tcPr>
            <w:tcW w:w="1320" w:type="dxa"/>
          </w:tcPr>
          <w:p w14:paraId="3D2245A4" w14:textId="77777777" w:rsidR="00B40F8B" w:rsidRDefault="00000000">
            <w:pPr>
              <w:pStyle w:val="Compact"/>
            </w:pPr>
            <w:r>
              <w:t>Complex legal structure; limited availability of IPD-experienced teams</w:t>
            </w:r>
          </w:p>
        </w:tc>
        <w:tc>
          <w:tcPr>
            <w:tcW w:w="3520" w:type="dxa"/>
          </w:tcPr>
          <w:p w14:paraId="66D67F2A" w14:textId="77777777" w:rsidR="00B40F8B" w:rsidRDefault="00000000">
            <w:pPr>
              <w:pStyle w:val="Compact"/>
            </w:pPr>
            <w:r>
              <w:t>❌ Not practical for this project</w:t>
            </w:r>
          </w:p>
        </w:tc>
      </w:tr>
      <w:tr w:rsidR="00B40F8B" w14:paraId="3DE2D23D" w14:textId="77777777">
        <w:tc>
          <w:tcPr>
            <w:tcW w:w="1760" w:type="dxa"/>
          </w:tcPr>
          <w:p w14:paraId="2727F0CB" w14:textId="77777777" w:rsidR="00B40F8B" w:rsidRDefault="00000000">
            <w:pPr>
              <w:pStyle w:val="Compact"/>
            </w:pPr>
            <w:r>
              <w:rPr>
                <w:b/>
                <w:bCs/>
              </w:rPr>
              <w:t>Design-Build (DB)</w:t>
            </w:r>
          </w:p>
        </w:tc>
        <w:tc>
          <w:tcPr>
            <w:tcW w:w="1320" w:type="dxa"/>
          </w:tcPr>
          <w:p w14:paraId="424D6DB8" w14:textId="77777777" w:rsidR="00B40F8B" w:rsidRDefault="00000000">
            <w:pPr>
              <w:pStyle w:val="Compact"/>
            </w:pPr>
            <w:r>
              <w:t>Single contract; fast-track; performance guarantees; proven for data centers</w:t>
            </w:r>
          </w:p>
        </w:tc>
        <w:tc>
          <w:tcPr>
            <w:tcW w:w="1320" w:type="dxa"/>
          </w:tcPr>
          <w:p w14:paraId="2F76FABF" w14:textId="77777777" w:rsidR="00B40F8B" w:rsidRDefault="00000000">
            <w:pPr>
              <w:pStyle w:val="Compact"/>
            </w:pPr>
            <w:r>
              <w:t>Less owner control over design details; requires strong RFP and oversight</w:t>
            </w:r>
          </w:p>
        </w:tc>
        <w:tc>
          <w:tcPr>
            <w:tcW w:w="3520" w:type="dxa"/>
          </w:tcPr>
          <w:p w14:paraId="027E2F22" w14:textId="77777777" w:rsidR="00B40F8B" w:rsidRDefault="00000000">
            <w:pPr>
              <w:pStyle w:val="Compact"/>
            </w:pPr>
            <w:r>
              <w:t xml:space="preserve">✅ </w:t>
            </w:r>
            <w:r>
              <w:rPr>
                <w:b/>
                <w:bCs/>
              </w:rPr>
              <w:t>Recommended</w:t>
            </w:r>
          </w:p>
        </w:tc>
      </w:tr>
    </w:tbl>
    <w:p w14:paraId="41A8526B" w14:textId="77777777" w:rsidR="00B40F8B" w:rsidRDefault="00000000">
      <w:pPr>
        <w:pStyle w:val="Heading3"/>
      </w:pPr>
      <w:bookmarkStart w:id="6" w:name="design-build-team-structure"/>
      <w:bookmarkEnd w:id="5"/>
      <w:r>
        <w:t>Design-Build Team Structure</w:t>
      </w:r>
    </w:p>
    <w:p w14:paraId="716E9EB2" w14:textId="77777777" w:rsidR="00B40F8B" w:rsidRDefault="00000000">
      <w:pPr>
        <w:pStyle w:val="SourceCode"/>
      </w:pPr>
      <w:r>
        <w:rPr>
          <w:rStyle w:val="VerbatimChar"/>
        </w:rPr>
        <w:t>Owner (SAGA)</w:t>
      </w:r>
      <w:r>
        <w:br/>
      </w:r>
      <w:r>
        <w:rPr>
          <w:rStyle w:val="VerbatimChar"/>
        </w:rPr>
        <w:t xml:space="preserve">        |</w:t>
      </w:r>
      <w:r>
        <w:br/>
      </w:r>
      <w:r>
        <w:rPr>
          <w:rStyle w:val="VerbatimChar"/>
        </w:rPr>
        <w:t xml:space="preserve">  Design-Builder (Prime Contractor)</w:t>
      </w:r>
      <w:r>
        <w:br/>
      </w:r>
      <w:r>
        <w:rPr>
          <w:rStyle w:val="VerbatimChar"/>
        </w:rPr>
        <w:t xml:space="preserve">        |</w:t>
      </w:r>
      <w:r>
        <w:br/>
      </w:r>
      <w:r>
        <w:rPr>
          <w:rStyle w:val="VerbatimChar"/>
        </w:rPr>
        <w:t xml:space="preserve">    ┌───┴────┬────────────┬────────────┬─────────────┐</w:t>
      </w:r>
      <w:r>
        <w:br/>
      </w:r>
      <w:r>
        <w:rPr>
          <w:rStyle w:val="VerbatimChar"/>
        </w:rPr>
        <w:t>Architect  MEP Eng  Struct Eng  Commissioning  Construction Mgr</w:t>
      </w:r>
      <w:r>
        <w:br/>
      </w:r>
      <w:r>
        <w:rPr>
          <w:rStyle w:val="VerbatimChar"/>
        </w:rPr>
        <w:t xml:space="preserve">                                    (CxA)</w:t>
      </w:r>
      <w:r>
        <w:br/>
      </w:r>
      <w:r>
        <w:rPr>
          <w:rStyle w:val="VerbatimChar"/>
        </w:rPr>
        <w:t xml:space="preserve">                                      |</w:t>
      </w:r>
      <w:r>
        <w:br/>
      </w:r>
      <w:r>
        <w:rPr>
          <w:rStyle w:val="VerbatimChar"/>
        </w:rPr>
        <w:t xml:space="preserve">                            ┌─────────┴──────────┐</w:t>
      </w:r>
      <w:r>
        <w:br/>
      </w:r>
      <w:r>
        <w:rPr>
          <w:rStyle w:val="VerbatimChar"/>
        </w:rPr>
        <w:t xml:space="preserve">                      Subcontractors    Vendors</w:t>
      </w:r>
      <w:r>
        <w:br/>
      </w:r>
      <w:r>
        <w:rPr>
          <w:rStyle w:val="VerbatimChar"/>
        </w:rPr>
        <w:lastRenderedPageBreak/>
        <w:t xml:space="preserve">                    (Electrical, Mech,  (Generators,</w:t>
      </w:r>
      <w:r>
        <w:br/>
      </w:r>
      <w:r>
        <w:rPr>
          <w:rStyle w:val="VerbatimChar"/>
        </w:rPr>
        <w:t xml:space="preserve">                     Precast, Roofing)   UPS, Chillers)</w:t>
      </w:r>
    </w:p>
    <w:p w14:paraId="3BCB0BF9" w14:textId="77777777" w:rsidR="00B40F8B" w:rsidRDefault="00000000">
      <w:pPr>
        <w:pStyle w:val="FirstParagraph"/>
      </w:pPr>
      <w:r>
        <w:rPr>
          <w:b/>
          <w:bCs/>
        </w:rPr>
        <w:t>Design-Builder Responsibilities:</w:t>
      </w:r>
      <w:r>
        <w:t xml:space="preserve"> - Design coordination (architectural, structural, MEP, fire protection) - Permitting and utility coordination - Equipment procurement (long-lead items: switchgear, UPS, generators, chillers) - Construction execution (site work, building shell, MEP installation) - Commissioning coordination (CxA oversight, factory tests, IST) - Performance guarantees (PUE, uptime, capacity) - Warranty and post-occupancy support</w:t>
      </w:r>
    </w:p>
    <w:p w14:paraId="77972C4A" w14:textId="77777777" w:rsidR="00B40F8B" w:rsidRDefault="00000000">
      <w:pPr>
        <w:pStyle w:val="BodyText"/>
      </w:pPr>
      <w:r>
        <w:rPr>
          <w:b/>
          <w:bCs/>
        </w:rPr>
        <w:t>Owner Responsibilities:</w:t>
      </w:r>
      <w:r>
        <w:t xml:space="preserve"> - Define Owner’s Project Requirements (OPR) and success criteria - Site acquisition and financing - Utility coordination (high-voltage service, telecom fiber) - Review and approve design at milestones (30%, 65%, 95%, 100%) - Engage independent commissioning authority (CxA) - Final acceptance and facility operations</w:t>
      </w:r>
    </w:p>
    <w:p w14:paraId="7D8B151B" w14:textId="77777777" w:rsidR="00B40F8B" w:rsidRDefault="00000000">
      <w:r>
        <w:pict w14:anchorId="7141975E">
          <v:rect id="_x0000_i1027" style="width:0;height:1.5pt" o:hralign="center" o:hrstd="t" o:hr="t"/>
        </w:pict>
      </w:r>
    </w:p>
    <w:p w14:paraId="5BB5A152" w14:textId="77777777" w:rsidR="00B40F8B" w:rsidRDefault="00000000">
      <w:pPr>
        <w:pStyle w:val="Heading2"/>
      </w:pPr>
      <w:bookmarkStart w:id="7" w:name="procurement-strategy"/>
      <w:bookmarkEnd w:id="4"/>
      <w:bookmarkEnd w:id="6"/>
      <w:r>
        <w:t>0.02 PROCUREMENT STRATEGY</w:t>
      </w:r>
    </w:p>
    <w:p w14:paraId="61FAB202" w14:textId="77777777" w:rsidR="00B40F8B" w:rsidRDefault="00000000">
      <w:pPr>
        <w:pStyle w:val="Heading3"/>
      </w:pPr>
      <w:bookmarkStart w:id="8" w:name="phased-procurement-approach"/>
      <w:r>
        <w:t>Phased Procurement Approach</w:t>
      </w:r>
    </w:p>
    <w:p w14:paraId="698BF428" w14:textId="77777777" w:rsidR="00B40F8B" w:rsidRDefault="00000000">
      <w:pPr>
        <w:pStyle w:val="FirstParagraph"/>
      </w:pPr>
      <w:r>
        <w:rPr>
          <w:b/>
          <w:bCs/>
        </w:rPr>
        <w:t>Phase 1: Design-Builder Selection (RFP Process)</w:t>
      </w:r>
      <w:r>
        <w:t xml:space="preserve"> - </w:t>
      </w:r>
      <w:r>
        <w:rPr>
          <w:b/>
          <w:bCs/>
        </w:rPr>
        <w:t>RFQ (Request for Qualifications):</w:t>
      </w:r>
      <w:r>
        <w:t xml:space="preserve"> Pre-qualify 3-5 design-build teams based on: - Data center experience (Tier III or higher) - Project portfolio (5+ data centers &gt;5 MW in last 5 years) - Financial capacity (bonding, insurance) - Key personnel (project manager, MEP lead, commissioning experience)</w:t>
      </w:r>
    </w:p>
    <w:p w14:paraId="39227EEB" w14:textId="77777777" w:rsidR="00B40F8B" w:rsidRDefault="00000000">
      <w:pPr>
        <w:pStyle w:val="Compact"/>
        <w:numPr>
          <w:ilvl w:val="0"/>
          <w:numId w:val="2"/>
        </w:numPr>
      </w:pPr>
      <w:r>
        <w:rPr>
          <w:b/>
          <w:bCs/>
        </w:rPr>
        <w:t>RFP (Request for Proposal):</w:t>
      </w:r>
      <w:r>
        <w:t xml:space="preserve"> Issue to pre-qualified teams</w:t>
      </w:r>
    </w:p>
    <w:p w14:paraId="7B6BD5C8" w14:textId="77777777" w:rsidR="00B40F8B" w:rsidRDefault="00000000">
      <w:pPr>
        <w:pStyle w:val="Compact"/>
        <w:numPr>
          <w:ilvl w:val="1"/>
          <w:numId w:val="3"/>
        </w:numPr>
      </w:pPr>
      <w:r>
        <w:t>Scope: Conceptual design, cost estimate, schedule, risk plan</w:t>
      </w:r>
    </w:p>
    <w:p w14:paraId="72F566BE" w14:textId="77777777" w:rsidR="00B40F8B" w:rsidRDefault="00000000">
      <w:pPr>
        <w:pStyle w:val="Compact"/>
        <w:numPr>
          <w:ilvl w:val="1"/>
          <w:numId w:val="3"/>
        </w:numPr>
      </w:pPr>
      <w:r>
        <w:t>Evaluation criteria (weighted):</w:t>
      </w:r>
    </w:p>
    <w:p w14:paraId="4B73886D" w14:textId="77777777" w:rsidR="00B40F8B" w:rsidRDefault="00000000">
      <w:pPr>
        <w:pStyle w:val="Compact"/>
        <w:numPr>
          <w:ilvl w:val="2"/>
          <w:numId w:val="4"/>
        </w:numPr>
      </w:pPr>
      <w:r>
        <w:rPr>
          <w:b/>
          <w:bCs/>
        </w:rPr>
        <w:t>40%</w:t>
      </w:r>
      <w:r>
        <w:t xml:space="preserve"> - Price (GMP proposal)</w:t>
      </w:r>
    </w:p>
    <w:p w14:paraId="2A458BC0" w14:textId="77777777" w:rsidR="00B40F8B" w:rsidRDefault="00000000">
      <w:pPr>
        <w:pStyle w:val="Compact"/>
        <w:numPr>
          <w:ilvl w:val="2"/>
          <w:numId w:val="4"/>
        </w:numPr>
      </w:pPr>
      <w:r>
        <w:rPr>
          <w:b/>
          <w:bCs/>
        </w:rPr>
        <w:t>30%</w:t>
      </w:r>
      <w:r>
        <w:t xml:space="preserve"> - Technical approach (design, systems, redundancy)</w:t>
      </w:r>
    </w:p>
    <w:p w14:paraId="490F0989" w14:textId="77777777" w:rsidR="00B40F8B" w:rsidRDefault="00000000">
      <w:pPr>
        <w:pStyle w:val="Compact"/>
        <w:numPr>
          <w:ilvl w:val="2"/>
          <w:numId w:val="4"/>
        </w:numPr>
      </w:pPr>
      <w:r>
        <w:rPr>
          <w:b/>
          <w:bCs/>
        </w:rPr>
        <w:t>20%</w:t>
      </w:r>
      <w:r>
        <w:t xml:space="preserve"> - Schedule and risk mitigation</w:t>
      </w:r>
    </w:p>
    <w:p w14:paraId="60ED9CDE" w14:textId="77777777" w:rsidR="00B40F8B" w:rsidRDefault="00000000">
      <w:pPr>
        <w:pStyle w:val="Compact"/>
        <w:numPr>
          <w:ilvl w:val="2"/>
          <w:numId w:val="4"/>
        </w:numPr>
      </w:pPr>
      <w:r>
        <w:rPr>
          <w:b/>
          <w:bCs/>
        </w:rPr>
        <w:t>10%</w:t>
      </w:r>
      <w:r>
        <w:t xml:space="preserve"> - Team qualifications and references</w:t>
      </w:r>
    </w:p>
    <w:p w14:paraId="16A7D129" w14:textId="77777777" w:rsidR="00B40F8B" w:rsidRDefault="00000000">
      <w:pPr>
        <w:pStyle w:val="Compact"/>
        <w:numPr>
          <w:ilvl w:val="0"/>
          <w:numId w:val="2"/>
        </w:numPr>
      </w:pPr>
      <w:r>
        <w:rPr>
          <w:b/>
          <w:bCs/>
        </w:rPr>
        <w:t>Selection:</w:t>
      </w:r>
      <w:r>
        <w:t xml:space="preserve"> Best-value award (not lowest price)</w:t>
      </w:r>
    </w:p>
    <w:p w14:paraId="3F0FC393" w14:textId="77777777" w:rsidR="00B40F8B" w:rsidRDefault="00000000">
      <w:pPr>
        <w:pStyle w:val="Compact"/>
        <w:numPr>
          <w:ilvl w:val="1"/>
          <w:numId w:val="5"/>
        </w:numPr>
      </w:pPr>
      <w:r>
        <w:t>Negotiate GMP after design development (65% design)</w:t>
      </w:r>
    </w:p>
    <w:p w14:paraId="5ACEA249" w14:textId="77777777" w:rsidR="00B40F8B" w:rsidRDefault="00000000">
      <w:pPr>
        <w:pStyle w:val="Compact"/>
        <w:numPr>
          <w:ilvl w:val="1"/>
          <w:numId w:val="5"/>
        </w:numPr>
      </w:pPr>
      <w:r>
        <w:t>Contract structure: Cost-plus-fee with GMP, or lump-sum turnkey</w:t>
      </w:r>
    </w:p>
    <w:p w14:paraId="4434BA16" w14:textId="77777777" w:rsidR="00B40F8B" w:rsidRDefault="00000000">
      <w:pPr>
        <w:pStyle w:val="FirstParagraph"/>
      </w:pPr>
      <w:r>
        <w:rPr>
          <w:b/>
          <w:bCs/>
        </w:rPr>
        <w:t>Phase 2: Long-Lead Equipment Procurement</w:t>
      </w:r>
      <w:r>
        <w:t xml:space="preserve"> - </w:t>
      </w:r>
      <w:r>
        <w:rPr>
          <w:b/>
          <w:bCs/>
        </w:rPr>
        <w:t>Critical path items</w:t>
      </w:r>
      <w:r>
        <w:t xml:space="preserve"> (order during design development, 4-6 months into project): - Medium-voltage switchgear (20-32 weeks lead time) - UPS systems (16-24 weeks) - Generators (16-20 weeks) - Chillers (12-16 weeks) - Transformers (12-16 weeks)</w:t>
      </w:r>
    </w:p>
    <w:p w14:paraId="35D3C997" w14:textId="77777777" w:rsidR="00B40F8B" w:rsidRDefault="00000000">
      <w:pPr>
        <w:pStyle w:val="Compact"/>
        <w:numPr>
          <w:ilvl w:val="0"/>
          <w:numId w:val="6"/>
        </w:numPr>
      </w:pPr>
      <w:r>
        <w:rPr>
          <w:b/>
          <w:bCs/>
        </w:rPr>
        <w:t>Procurement approach:</w:t>
      </w:r>
    </w:p>
    <w:p w14:paraId="18E97967" w14:textId="77777777" w:rsidR="00B40F8B" w:rsidRDefault="00000000">
      <w:pPr>
        <w:pStyle w:val="Compact"/>
        <w:numPr>
          <w:ilvl w:val="1"/>
          <w:numId w:val="7"/>
        </w:numPr>
      </w:pPr>
      <w:r>
        <w:rPr>
          <w:b/>
          <w:bCs/>
        </w:rPr>
        <w:t>Design-assist:</w:t>
      </w:r>
      <w:r>
        <w:t xml:space="preserve"> Major vendors (e.g., Schneider, Caterpillar, Carrier) provide input during design</w:t>
      </w:r>
    </w:p>
    <w:p w14:paraId="4FE32C33" w14:textId="77777777" w:rsidR="00B40F8B" w:rsidRDefault="00000000">
      <w:pPr>
        <w:pStyle w:val="Compact"/>
        <w:numPr>
          <w:ilvl w:val="1"/>
          <w:numId w:val="7"/>
        </w:numPr>
      </w:pPr>
      <w:r>
        <w:rPr>
          <w:b/>
          <w:bCs/>
        </w:rPr>
        <w:lastRenderedPageBreak/>
        <w:t>Performance specifications:</w:t>
      </w:r>
      <w:r>
        <w:t xml:space="preserve"> Define output requirements (kW, efficiency, redundancy) vs. prescriptive specs</w:t>
      </w:r>
    </w:p>
    <w:p w14:paraId="59237AD1" w14:textId="77777777" w:rsidR="00B40F8B" w:rsidRDefault="00000000">
      <w:pPr>
        <w:pStyle w:val="Compact"/>
        <w:numPr>
          <w:ilvl w:val="1"/>
          <w:numId w:val="7"/>
        </w:numPr>
      </w:pPr>
      <w:r>
        <w:rPr>
          <w:b/>
          <w:bCs/>
        </w:rPr>
        <w:t>Sole-source justification:</w:t>
      </w:r>
      <w:r>
        <w:t xml:space="preserve"> For standardized equipment or proven integrations (e.g., UPS + EPMS from same vendor)</w:t>
      </w:r>
    </w:p>
    <w:p w14:paraId="412B790B" w14:textId="77777777" w:rsidR="00B40F8B" w:rsidRDefault="00000000">
      <w:pPr>
        <w:pStyle w:val="Compact"/>
        <w:numPr>
          <w:ilvl w:val="1"/>
          <w:numId w:val="7"/>
        </w:numPr>
      </w:pPr>
      <w:r>
        <w:rPr>
          <w:b/>
          <w:bCs/>
        </w:rPr>
        <w:t>Competitive bidding:</w:t>
      </w:r>
      <w:r>
        <w:t xml:space="preserve"> Where multiple vendors meet Tier III requirements (e.g., chillers, cooling towers)</w:t>
      </w:r>
    </w:p>
    <w:p w14:paraId="3BCF8206" w14:textId="77777777" w:rsidR="00B40F8B" w:rsidRDefault="00000000">
      <w:pPr>
        <w:pStyle w:val="FirstParagraph"/>
      </w:pPr>
      <w:r>
        <w:rPr>
          <w:b/>
          <w:bCs/>
        </w:rPr>
        <w:t>Phase 3: Subcontractor Procurement</w:t>
      </w:r>
      <w:r>
        <w:t xml:space="preserve"> - </w:t>
      </w:r>
      <w:r>
        <w:rPr>
          <w:b/>
          <w:bCs/>
        </w:rPr>
        <w:t>Bid packages</w:t>
      </w:r>
      <w:r>
        <w:t xml:space="preserve"> issued after 95% design: - Site work (grading, utilities, paving) - Precast tilt-up panels (fabrication + erection) - Roofing (FM 1-150 system) - Electrical (conduit, wire, terminations, testing) - Mechanical (piping, ductwork, TAB) - Fire protection (sprinkler, pre-action, fire alarm) - Low-voltage (BMS, access control, CCTV)</w:t>
      </w:r>
    </w:p>
    <w:p w14:paraId="22BBF0A8" w14:textId="77777777" w:rsidR="00B40F8B" w:rsidRDefault="00000000">
      <w:pPr>
        <w:pStyle w:val="Compact"/>
        <w:numPr>
          <w:ilvl w:val="0"/>
          <w:numId w:val="8"/>
        </w:numPr>
      </w:pPr>
      <w:r>
        <w:rPr>
          <w:b/>
          <w:bCs/>
        </w:rPr>
        <w:t>Subcontractor pre-qualification:</w:t>
      </w:r>
    </w:p>
    <w:p w14:paraId="1F0C13A8" w14:textId="77777777" w:rsidR="00B40F8B" w:rsidRDefault="00000000">
      <w:pPr>
        <w:pStyle w:val="Compact"/>
        <w:numPr>
          <w:ilvl w:val="1"/>
          <w:numId w:val="9"/>
        </w:numPr>
      </w:pPr>
      <w:r>
        <w:t>Prior data center or mission-critical experience</w:t>
      </w:r>
    </w:p>
    <w:p w14:paraId="2D5AD778" w14:textId="77777777" w:rsidR="00B40F8B" w:rsidRDefault="00000000">
      <w:pPr>
        <w:pStyle w:val="Compact"/>
        <w:numPr>
          <w:ilvl w:val="1"/>
          <w:numId w:val="9"/>
        </w:numPr>
      </w:pPr>
      <w:r>
        <w:t>NETA certification (electrical testing)</w:t>
      </w:r>
    </w:p>
    <w:p w14:paraId="1108DC5B" w14:textId="77777777" w:rsidR="00B40F8B" w:rsidRDefault="00000000">
      <w:pPr>
        <w:pStyle w:val="Compact"/>
        <w:numPr>
          <w:ilvl w:val="1"/>
          <w:numId w:val="9"/>
        </w:numPr>
      </w:pPr>
      <w:r>
        <w:t>AABC/NEBB certification (test &amp; balance)</w:t>
      </w:r>
    </w:p>
    <w:p w14:paraId="1BFA46A8" w14:textId="77777777" w:rsidR="00B40F8B" w:rsidRDefault="00000000">
      <w:pPr>
        <w:pStyle w:val="Compact"/>
        <w:numPr>
          <w:ilvl w:val="1"/>
          <w:numId w:val="9"/>
        </w:numPr>
      </w:pPr>
      <w:r>
        <w:t>Financial stability and bonding capacity</w:t>
      </w:r>
    </w:p>
    <w:p w14:paraId="6B756C53" w14:textId="77777777" w:rsidR="00B40F8B" w:rsidRDefault="00000000">
      <w:r>
        <w:pict w14:anchorId="7C58E7FC">
          <v:rect id="_x0000_i1028" style="width:0;height:1.5pt" o:hralign="center" o:hrstd="t" o:hr="t"/>
        </w:pict>
      </w:r>
    </w:p>
    <w:p w14:paraId="12C9AF6E" w14:textId="77777777" w:rsidR="00B40F8B" w:rsidRDefault="00000000">
      <w:pPr>
        <w:pStyle w:val="Heading2"/>
      </w:pPr>
      <w:bookmarkStart w:id="9" w:name="contract-types-structure"/>
      <w:bookmarkEnd w:id="7"/>
      <w:bookmarkEnd w:id="8"/>
      <w:r>
        <w:t>0.03 CONTRACT TYPES &amp; STRUCTURE</w:t>
      </w:r>
    </w:p>
    <w:p w14:paraId="5E5BCB6D" w14:textId="77777777" w:rsidR="00B40F8B" w:rsidRDefault="00000000">
      <w:pPr>
        <w:pStyle w:val="Heading3"/>
      </w:pPr>
      <w:bookmarkStart w:id="10" w:name="design-build-prime-contract"/>
      <w:r>
        <w:t>Design-Build Prime Contract</w:t>
      </w:r>
    </w:p>
    <w:p w14:paraId="029804D8" w14:textId="77777777" w:rsidR="00B40F8B" w:rsidRDefault="00000000">
      <w:pPr>
        <w:pStyle w:val="FirstParagraph"/>
      </w:pPr>
      <w:r>
        <w:rPr>
          <w:b/>
          <w:bCs/>
        </w:rPr>
        <w:t>Contract Type: Guaranteed Maximum Price (GMP)</w:t>
      </w:r>
    </w:p>
    <w:p w14:paraId="1CFE89B2" w14:textId="77777777" w:rsidR="00B40F8B" w:rsidRDefault="00000000">
      <w:pPr>
        <w:pStyle w:val="BodyText"/>
      </w:pPr>
      <w:r>
        <w:rPr>
          <w:b/>
          <w:bCs/>
        </w:rPr>
        <w:t>Structure:</w:t>
      </w:r>
      <w:r>
        <w:t xml:space="preserve"> - </w:t>
      </w:r>
      <w:r>
        <w:rPr>
          <w:b/>
          <w:bCs/>
        </w:rPr>
        <w:t>Preconstruction phase:</w:t>
      </w:r>
      <w:r>
        <w:t xml:space="preserve"> Cost-plus-fee (design development, value engineering, GMP negotiation) - </w:t>
      </w:r>
      <w:r>
        <w:rPr>
          <w:b/>
          <w:bCs/>
        </w:rPr>
        <w:t>Construction phase:</w:t>
      </w:r>
      <w:r>
        <w:t xml:space="preserve"> GMP with shared savings - Owner: 50% of savings below GMP - Design-builder: 50% of savings below GMP - </w:t>
      </w:r>
      <w:r>
        <w:rPr>
          <w:b/>
          <w:bCs/>
        </w:rPr>
        <w:t>Schedule incentive:</w:t>
      </w:r>
      <w:r>
        <w:t xml:space="preserve"> $10K/day bonus for early Substantial Completion (max 30 days) - </w:t>
      </w:r>
      <w:r>
        <w:rPr>
          <w:b/>
          <w:bCs/>
        </w:rPr>
        <w:t>Schedule penalty:</w:t>
      </w:r>
      <w:r>
        <w:t xml:space="preserve"> $10K/day liquidated damages for late Substantial Completion (after float exhausted)</w:t>
      </w:r>
    </w:p>
    <w:p w14:paraId="6BF5201F" w14:textId="77777777" w:rsidR="00B40F8B" w:rsidRDefault="00000000">
      <w:pPr>
        <w:pStyle w:val="BodyText"/>
      </w:pPr>
      <w:r>
        <w:rPr>
          <w:b/>
          <w:bCs/>
        </w:rPr>
        <w:t>Payment Structure:</w:t>
      </w:r>
      <w:r>
        <w:t xml:space="preserve"> - </w:t>
      </w:r>
      <w:r>
        <w:rPr>
          <w:b/>
          <w:bCs/>
        </w:rPr>
        <w:t>Monthly pay applications:</w:t>
      </w:r>
      <w:r>
        <w:t xml:space="preserve"> AIA G702/G703 format - </w:t>
      </w:r>
      <w:r>
        <w:rPr>
          <w:b/>
          <w:bCs/>
        </w:rPr>
        <w:t>Retainage:</w:t>
      </w:r>
      <w:r>
        <w:t xml:space="preserve"> 10% until Substantial Completion; 5% until Final Completion - </w:t>
      </w:r>
      <w:r>
        <w:rPr>
          <w:b/>
          <w:bCs/>
        </w:rPr>
        <w:t>Milestone payments:</w:t>
      </w:r>
      <w:r>
        <w:t xml:space="preserve"> - 5% - Design completion (100% CD) - 15% - Foundation and precast erection - 30% - Building shell and roof watertight - 30% - MEP rough-in and equipment installation - 15% - Commissioning and Substantial Completion - 5% - Final Completion and closeout</w:t>
      </w:r>
    </w:p>
    <w:p w14:paraId="35DE276B" w14:textId="77777777" w:rsidR="00B40F8B" w:rsidRDefault="00000000">
      <w:pPr>
        <w:pStyle w:val="BodyText"/>
      </w:pPr>
      <w:r>
        <w:rPr>
          <w:b/>
          <w:bCs/>
        </w:rPr>
        <w:t>Performance Guarantees:</w:t>
      </w:r>
      <w:r>
        <w:t xml:space="preserve"> - </w:t>
      </w:r>
      <w:r>
        <w:rPr>
          <w:b/>
          <w:bCs/>
        </w:rPr>
        <w:t>PUE:</w:t>
      </w:r>
      <w:r>
        <w:t xml:space="preserve"> ≤ 1.4 at 50% IT load; ≤ 1.3 at 80% IT load (measured per Uptime Institute methodology) - </w:t>
      </w:r>
      <w:r>
        <w:rPr>
          <w:b/>
          <w:bCs/>
        </w:rPr>
        <w:t>Uptime:</w:t>
      </w:r>
      <w:r>
        <w:t xml:space="preserve"> Tier III concurrently maintainable (no single point of failure) - </w:t>
      </w:r>
      <w:r>
        <w:rPr>
          <w:b/>
          <w:bCs/>
        </w:rPr>
        <w:t>Capacity:</w:t>
      </w:r>
      <w:r>
        <w:t xml:space="preserve"> 3 MW Phase 1 IT load; 12 MW total infrastructure capacity - </w:t>
      </w:r>
      <w:r>
        <w:rPr>
          <w:b/>
          <w:bCs/>
        </w:rPr>
        <w:t>Schedule:</w:t>
      </w:r>
      <w:r>
        <w:t xml:space="preserve"> Substantial Completion within 20 months of NTP (excluding force majeure)</w:t>
      </w:r>
    </w:p>
    <w:p w14:paraId="269B0BEA" w14:textId="77777777" w:rsidR="00B40F8B" w:rsidRDefault="00000000">
      <w:pPr>
        <w:pStyle w:val="BodyText"/>
      </w:pPr>
      <w:r>
        <w:rPr>
          <w:b/>
          <w:bCs/>
        </w:rPr>
        <w:t>Penalties for Non-Performance:</w:t>
      </w:r>
      <w:r>
        <w:t xml:space="preserve"> - </w:t>
      </w:r>
      <w:r>
        <w:rPr>
          <w:b/>
          <w:bCs/>
        </w:rPr>
        <w:t>PUE miss:</w:t>
      </w:r>
      <w:r>
        <w:t xml:space="preserve"> $50K penalty for every 0.1 PUE above target (measured over 3 months post-occupancy) - </w:t>
      </w:r>
      <w:r>
        <w:rPr>
          <w:b/>
          <w:bCs/>
        </w:rPr>
        <w:t>Capacity shortfall:</w:t>
      </w:r>
      <w:r>
        <w:t xml:space="preserve"> $100K penalty if system </w:t>
      </w:r>
      <w:r>
        <w:lastRenderedPageBreak/>
        <w:t xml:space="preserve">cannot support guaranteed IT load - </w:t>
      </w:r>
      <w:r>
        <w:rPr>
          <w:b/>
          <w:bCs/>
        </w:rPr>
        <w:t>Uptime failure:</w:t>
      </w:r>
      <w:r>
        <w:t xml:space="preserve"> $500K penalty if Tier III certification cannot be achieved</w:t>
      </w:r>
    </w:p>
    <w:p w14:paraId="2524D3E5" w14:textId="77777777" w:rsidR="00B40F8B" w:rsidRDefault="00000000">
      <w:r>
        <w:pict w14:anchorId="79C8A29C">
          <v:rect id="_x0000_i1029" style="width:0;height:1.5pt" o:hralign="center" o:hrstd="t" o:hr="t"/>
        </w:pict>
      </w:r>
    </w:p>
    <w:p w14:paraId="10E1C166" w14:textId="77777777" w:rsidR="00B40F8B" w:rsidRDefault="00000000">
      <w:pPr>
        <w:pStyle w:val="Heading2"/>
      </w:pPr>
      <w:bookmarkStart w:id="11" w:name="vendor-selection-criteria"/>
      <w:bookmarkEnd w:id="9"/>
      <w:bookmarkEnd w:id="10"/>
      <w:r>
        <w:t>0.04 VENDOR SELECTION CRITERIA</w:t>
      </w:r>
    </w:p>
    <w:p w14:paraId="3FC52B4A" w14:textId="77777777" w:rsidR="00B40F8B" w:rsidRDefault="00000000">
      <w:pPr>
        <w:pStyle w:val="Heading3"/>
      </w:pPr>
      <w:bookmarkStart w:id="12" w:name="tier-1-vendor-requirements"/>
      <w:r>
        <w:t>Tier 1 Vendor Requirements</w:t>
      </w:r>
    </w:p>
    <w:p w14:paraId="0A1A896E" w14:textId="77777777" w:rsidR="00B40F8B" w:rsidRDefault="00000000">
      <w:pPr>
        <w:pStyle w:val="FirstParagraph"/>
      </w:pPr>
      <w:r>
        <w:t xml:space="preserve">To minimize risk and ensure long-term supportability, all critical systems must be sourced from </w:t>
      </w:r>
      <w:r>
        <w:rPr>
          <w:b/>
          <w:bCs/>
        </w:rPr>
        <w:t>Tier 1 vendors</w:t>
      </w:r>
      <w:r>
        <w:t xml:space="preserve"> meeting the following criteria:</w:t>
      </w:r>
    </w:p>
    <w:tbl>
      <w:tblPr>
        <w:tblStyle w:val="Table"/>
        <w:tblW w:w="5000" w:type="pct"/>
        <w:tblLayout w:type="fixed"/>
        <w:tblLook w:val="0020" w:firstRow="1" w:lastRow="0" w:firstColumn="0" w:lastColumn="0" w:noHBand="0" w:noVBand="0"/>
      </w:tblPr>
      <w:tblGrid>
        <w:gridCol w:w="4389"/>
        <w:gridCol w:w="5187"/>
      </w:tblGrid>
      <w:tr w:rsidR="00B40F8B" w14:paraId="556B412E" w14:textId="77777777" w:rsidTr="00B40F8B">
        <w:trPr>
          <w:cnfStyle w:val="100000000000" w:firstRow="1" w:lastRow="0" w:firstColumn="0" w:lastColumn="0" w:oddVBand="0" w:evenVBand="0" w:oddHBand="0" w:evenHBand="0" w:firstRowFirstColumn="0" w:firstRowLastColumn="0" w:lastRowFirstColumn="0" w:lastRowLastColumn="0"/>
          <w:tblHeader/>
        </w:trPr>
        <w:tc>
          <w:tcPr>
            <w:tcW w:w="3630" w:type="dxa"/>
          </w:tcPr>
          <w:p w14:paraId="371708BE" w14:textId="77777777" w:rsidR="00B40F8B" w:rsidRDefault="00000000">
            <w:pPr>
              <w:pStyle w:val="Compact"/>
            </w:pPr>
            <w:r>
              <w:t>Criterion</w:t>
            </w:r>
          </w:p>
        </w:tc>
        <w:tc>
          <w:tcPr>
            <w:tcW w:w="4290" w:type="dxa"/>
          </w:tcPr>
          <w:p w14:paraId="09B73B51" w14:textId="77777777" w:rsidR="00B40F8B" w:rsidRDefault="00000000">
            <w:pPr>
              <w:pStyle w:val="Compact"/>
            </w:pPr>
            <w:r>
              <w:t>Requirement</w:t>
            </w:r>
          </w:p>
        </w:tc>
      </w:tr>
      <w:tr w:rsidR="00B40F8B" w14:paraId="717F5456" w14:textId="77777777">
        <w:tc>
          <w:tcPr>
            <w:tcW w:w="3630" w:type="dxa"/>
          </w:tcPr>
          <w:p w14:paraId="0EB068BE" w14:textId="77777777" w:rsidR="00B40F8B" w:rsidRDefault="00000000">
            <w:pPr>
              <w:pStyle w:val="Compact"/>
            </w:pPr>
            <w:r>
              <w:rPr>
                <w:b/>
                <w:bCs/>
              </w:rPr>
              <w:t>Market presence</w:t>
            </w:r>
          </w:p>
        </w:tc>
        <w:tc>
          <w:tcPr>
            <w:tcW w:w="4290" w:type="dxa"/>
          </w:tcPr>
          <w:p w14:paraId="20AEEB23" w14:textId="77777777" w:rsidR="00B40F8B" w:rsidRDefault="00000000">
            <w:pPr>
              <w:pStyle w:val="Compact"/>
            </w:pPr>
            <w:r>
              <w:t>10+ years in data center industry</w:t>
            </w:r>
          </w:p>
        </w:tc>
      </w:tr>
      <w:tr w:rsidR="00B40F8B" w14:paraId="47004213" w14:textId="77777777">
        <w:tc>
          <w:tcPr>
            <w:tcW w:w="3630" w:type="dxa"/>
          </w:tcPr>
          <w:p w14:paraId="3CD3510B" w14:textId="77777777" w:rsidR="00B40F8B" w:rsidRDefault="00000000">
            <w:pPr>
              <w:pStyle w:val="Compact"/>
            </w:pPr>
            <w:r>
              <w:rPr>
                <w:b/>
                <w:bCs/>
              </w:rPr>
              <w:t>Installed base</w:t>
            </w:r>
          </w:p>
        </w:tc>
        <w:tc>
          <w:tcPr>
            <w:tcW w:w="4290" w:type="dxa"/>
          </w:tcPr>
          <w:p w14:paraId="11D8D8C2" w14:textId="77777777" w:rsidR="00B40F8B" w:rsidRDefault="00000000">
            <w:pPr>
              <w:pStyle w:val="Compact"/>
            </w:pPr>
            <w:r>
              <w:t>50+ Tier III or higher facilities</w:t>
            </w:r>
          </w:p>
        </w:tc>
      </w:tr>
      <w:tr w:rsidR="00B40F8B" w14:paraId="1F164C85" w14:textId="77777777">
        <w:tc>
          <w:tcPr>
            <w:tcW w:w="3630" w:type="dxa"/>
          </w:tcPr>
          <w:p w14:paraId="6FF3A432" w14:textId="77777777" w:rsidR="00B40F8B" w:rsidRDefault="00000000">
            <w:pPr>
              <w:pStyle w:val="Compact"/>
            </w:pPr>
            <w:r>
              <w:rPr>
                <w:b/>
                <w:bCs/>
              </w:rPr>
              <w:t>Financial stability</w:t>
            </w:r>
          </w:p>
        </w:tc>
        <w:tc>
          <w:tcPr>
            <w:tcW w:w="4290" w:type="dxa"/>
          </w:tcPr>
          <w:p w14:paraId="70EF1570" w14:textId="77777777" w:rsidR="00B40F8B" w:rsidRDefault="00000000">
            <w:pPr>
              <w:pStyle w:val="Compact"/>
            </w:pPr>
            <w:r>
              <w:t>Investment-grade credit rating or private equity backing</w:t>
            </w:r>
          </w:p>
        </w:tc>
      </w:tr>
      <w:tr w:rsidR="00B40F8B" w14:paraId="4CAF0776" w14:textId="77777777">
        <w:tc>
          <w:tcPr>
            <w:tcW w:w="3630" w:type="dxa"/>
          </w:tcPr>
          <w:p w14:paraId="35825446" w14:textId="77777777" w:rsidR="00B40F8B" w:rsidRDefault="00000000">
            <w:pPr>
              <w:pStyle w:val="Compact"/>
            </w:pPr>
            <w:r>
              <w:rPr>
                <w:b/>
                <w:bCs/>
              </w:rPr>
              <w:t>Service network</w:t>
            </w:r>
          </w:p>
        </w:tc>
        <w:tc>
          <w:tcPr>
            <w:tcW w:w="4290" w:type="dxa"/>
          </w:tcPr>
          <w:p w14:paraId="63E7BF9E" w14:textId="77777777" w:rsidR="00B40F8B" w:rsidRDefault="00000000">
            <w:pPr>
              <w:pStyle w:val="Compact"/>
            </w:pPr>
            <w:r>
              <w:t>24/7 support with &lt;4 hour response time in U.S.</w:t>
            </w:r>
          </w:p>
        </w:tc>
      </w:tr>
      <w:tr w:rsidR="00B40F8B" w14:paraId="6F20A5F1" w14:textId="77777777">
        <w:tc>
          <w:tcPr>
            <w:tcW w:w="3630" w:type="dxa"/>
          </w:tcPr>
          <w:p w14:paraId="71BE0564" w14:textId="77777777" w:rsidR="00B40F8B" w:rsidRDefault="00000000">
            <w:pPr>
              <w:pStyle w:val="Compact"/>
            </w:pPr>
            <w:r>
              <w:rPr>
                <w:b/>
                <w:bCs/>
              </w:rPr>
              <w:t>Parts availability</w:t>
            </w:r>
          </w:p>
        </w:tc>
        <w:tc>
          <w:tcPr>
            <w:tcW w:w="4290" w:type="dxa"/>
          </w:tcPr>
          <w:p w14:paraId="21E1D121" w14:textId="77777777" w:rsidR="00B40F8B" w:rsidRDefault="00000000">
            <w:pPr>
              <w:pStyle w:val="Compact"/>
            </w:pPr>
            <w:r>
              <w:t>Guaranteed spare parts for 15+ years</w:t>
            </w:r>
          </w:p>
        </w:tc>
      </w:tr>
      <w:tr w:rsidR="00B40F8B" w14:paraId="19D94463" w14:textId="77777777">
        <w:tc>
          <w:tcPr>
            <w:tcW w:w="3630" w:type="dxa"/>
          </w:tcPr>
          <w:p w14:paraId="528B0F47" w14:textId="77777777" w:rsidR="00B40F8B" w:rsidRDefault="00000000">
            <w:pPr>
              <w:pStyle w:val="Compact"/>
            </w:pPr>
            <w:r>
              <w:rPr>
                <w:b/>
                <w:bCs/>
              </w:rPr>
              <w:t>Warranty</w:t>
            </w:r>
          </w:p>
        </w:tc>
        <w:tc>
          <w:tcPr>
            <w:tcW w:w="4290" w:type="dxa"/>
          </w:tcPr>
          <w:p w14:paraId="3BD5F308" w14:textId="77777777" w:rsidR="00B40F8B" w:rsidRDefault="00000000">
            <w:pPr>
              <w:pStyle w:val="Compact"/>
            </w:pPr>
            <w:r>
              <w:t>Minimum 2 years parts and labor (standard); extended options available</w:t>
            </w:r>
          </w:p>
        </w:tc>
      </w:tr>
      <w:tr w:rsidR="00B40F8B" w14:paraId="7729DCC3" w14:textId="77777777">
        <w:tc>
          <w:tcPr>
            <w:tcW w:w="3630" w:type="dxa"/>
          </w:tcPr>
          <w:p w14:paraId="3F215292" w14:textId="77777777" w:rsidR="00B40F8B" w:rsidRDefault="00000000">
            <w:pPr>
              <w:pStyle w:val="Compact"/>
            </w:pPr>
            <w:r>
              <w:rPr>
                <w:b/>
                <w:bCs/>
              </w:rPr>
              <w:t>Interoperability</w:t>
            </w:r>
          </w:p>
        </w:tc>
        <w:tc>
          <w:tcPr>
            <w:tcW w:w="4290" w:type="dxa"/>
          </w:tcPr>
          <w:p w14:paraId="7C698540" w14:textId="77777777" w:rsidR="00B40F8B" w:rsidRDefault="00000000">
            <w:pPr>
              <w:pStyle w:val="Compact"/>
            </w:pPr>
            <w:r>
              <w:t>Open protocols (Modbus, BACnet, SNMP) for BMS/DCIM integration</w:t>
            </w:r>
          </w:p>
        </w:tc>
      </w:tr>
    </w:tbl>
    <w:p w14:paraId="1C071011" w14:textId="77777777" w:rsidR="00B40F8B" w:rsidRDefault="00000000">
      <w:pPr>
        <w:pStyle w:val="Heading3"/>
      </w:pPr>
      <w:bookmarkStart w:id="13" w:name="pre-qualified-vendor-list-examples"/>
      <w:bookmarkEnd w:id="12"/>
      <w:r>
        <w:t>Pre-Qualified Vendor List (Examples)</w:t>
      </w:r>
    </w:p>
    <w:p w14:paraId="56000CF4" w14:textId="77777777" w:rsidR="00B40F8B" w:rsidRDefault="00000000">
      <w:pPr>
        <w:pStyle w:val="FirstParagraph"/>
      </w:pPr>
      <w:r>
        <w:rPr>
          <w:b/>
          <w:bCs/>
        </w:rPr>
        <w:t>Electrical:</w:t>
      </w:r>
      <w:r>
        <w:t xml:space="preserve"> - </w:t>
      </w:r>
      <w:r>
        <w:rPr>
          <w:b/>
          <w:bCs/>
        </w:rPr>
        <w:t>Medium-voltage switchgear:</w:t>
      </w:r>
      <w:r>
        <w:t xml:space="preserve"> ABB, Siemens, Schneider Electric, Eaton - </w:t>
      </w:r>
      <w:r>
        <w:rPr>
          <w:b/>
          <w:bCs/>
        </w:rPr>
        <w:t>Transformers:</w:t>
      </w:r>
      <w:r>
        <w:t xml:space="preserve"> ABB, Siemens, Prolec GE, Hammond - </w:t>
      </w:r>
      <w:r>
        <w:rPr>
          <w:b/>
          <w:bCs/>
        </w:rPr>
        <w:t>Generators:</w:t>
      </w:r>
      <w:r>
        <w:t xml:space="preserve"> Caterpillar, Cummins, Kohler, MTU - </w:t>
      </w:r>
      <w:r>
        <w:rPr>
          <w:b/>
          <w:bCs/>
        </w:rPr>
        <w:t>UPS systems:</w:t>
      </w:r>
      <w:r>
        <w:t xml:space="preserve"> Schneider Electric (Galaxy VS, Trinergy), Vertiv (Liebert EXL), Eaton (93PM) - </w:t>
      </w:r>
      <w:r>
        <w:rPr>
          <w:b/>
          <w:bCs/>
        </w:rPr>
        <w:t>EPMS:</w:t>
      </w:r>
      <w:r>
        <w:t xml:space="preserve"> Schneider Electric (Struxureware, EcoStruxure), Vertiv (Trellis)</w:t>
      </w:r>
    </w:p>
    <w:p w14:paraId="5AFDCFFF" w14:textId="77777777" w:rsidR="00B40F8B" w:rsidRDefault="00000000">
      <w:pPr>
        <w:pStyle w:val="BodyText"/>
      </w:pPr>
      <w:r>
        <w:rPr>
          <w:b/>
          <w:bCs/>
        </w:rPr>
        <w:t>Mechanical:</w:t>
      </w:r>
      <w:r>
        <w:t xml:space="preserve"> - </w:t>
      </w:r>
      <w:r>
        <w:rPr>
          <w:b/>
          <w:bCs/>
        </w:rPr>
        <w:t>Chillers:</w:t>
      </w:r>
      <w:r>
        <w:t xml:space="preserve"> Carrier, Trane, Daikin, Johnson Controls (York) - </w:t>
      </w:r>
      <w:r>
        <w:rPr>
          <w:b/>
          <w:bCs/>
        </w:rPr>
        <w:t>CRAC/CRAH units:</w:t>
      </w:r>
      <w:r>
        <w:t xml:space="preserve"> Vertiv (Liebert), Schneider Electric (APC), Stulz, Munters - </w:t>
      </w:r>
      <w:r>
        <w:rPr>
          <w:b/>
          <w:bCs/>
        </w:rPr>
        <w:t>Cooling towers:</w:t>
      </w:r>
      <w:r>
        <w:t xml:space="preserve"> Baltimore Aircoil, Evapco, SPX Cooling - </w:t>
      </w:r>
      <w:r>
        <w:rPr>
          <w:b/>
          <w:bCs/>
        </w:rPr>
        <w:t>Pumps:</w:t>
      </w:r>
      <w:r>
        <w:t xml:space="preserve"> Grundfos, Armstrong, Bell &amp; Gossett - </w:t>
      </w:r>
      <w:r>
        <w:rPr>
          <w:b/>
          <w:bCs/>
        </w:rPr>
        <w:t>BMS:</w:t>
      </w:r>
      <w:r>
        <w:t xml:space="preserve"> Johnson Controls (Metasys), Siemens (Desigo), Schneider Electric (EcoStruxure)</w:t>
      </w:r>
    </w:p>
    <w:p w14:paraId="56213DEE" w14:textId="77777777" w:rsidR="00B40F8B" w:rsidRDefault="00000000">
      <w:pPr>
        <w:pStyle w:val="BodyText"/>
      </w:pPr>
      <w:r>
        <w:rPr>
          <w:b/>
          <w:bCs/>
        </w:rPr>
        <w:t>Fire Protection:</w:t>
      </w:r>
      <w:r>
        <w:t xml:space="preserve"> - </w:t>
      </w:r>
      <w:r>
        <w:rPr>
          <w:b/>
          <w:bCs/>
        </w:rPr>
        <w:t>Pre-action systems:</w:t>
      </w:r>
      <w:r>
        <w:t xml:space="preserve"> Victaulic, Tyco, Viking - </w:t>
      </w:r>
      <w:r>
        <w:rPr>
          <w:b/>
          <w:bCs/>
        </w:rPr>
        <w:t>Fire alarm:</w:t>
      </w:r>
      <w:r>
        <w:t xml:space="preserve"> Notifier, Simplex, Edwards</w:t>
      </w:r>
    </w:p>
    <w:p w14:paraId="5451BA90" w14:textId="77777777" w:rsidR="00B40F8B" w:rsidRDefault="00000000">
      <w:pPr>
        <w:pStyle w:val="BodyText"/>
      </w:pPr>
      <w:r>
        <w:rPr>
          <w:b/>
          <w:bCs/>
        </w:rPr>
        <w:t>Low-Voltage:</w:t>
      </w:r>
      <w:r>
        <w:t xml:space="preserve"> - </w:t>
      </w:r>
      <w:r>
        <w:rPr>
          <w:b/>
          <w:bCs/>
        </w:rPr>
        <w:t>Access control:</w:t>
      </w:r>
      <w:r>
        <w:t xml:space="preserve"> HID Global, Lenel (S2), Genetec - </w:t>
      </w:r>
      <w:r>
        <w:rPr>
          <w:b/>
          <w:bCs/>
        </w:rPr>
        <w:t>CCTV:</w:t>
      </w:r>
      <w:r>
        <w:t xml:space="preserve"> Axis, Hanwha, Genetec (VMS)</w:t>
      </w:r>
    </w:p>
    <w:p w14:paraId="5E6EFDC1" w14:textId="77777777" w:rsidR="00B40F8B" w:rsidRDefault="00000000">
      <w:pPr>
        <w:pStyle w:val="Heading3"/>
      </w:pPr>
      <w:bookmarkStart w:id="14" w:name="vendor-evaluation-process"/>
      <w:bookmarkEnd w:id="13"/>
      <w:r>
        <w:lastRenderedPageBreak/>
        <w:t>Vendor Evaluation Process</w:t>
      </w:r>
    </w:p>
    <w:p w14:paraId="6309ADFA" w14:textId="77777777" w:rsidR="00B40F8B" w:rsidRDefault="00000000">
      <w:pPr>
        <w:pStyle w:val="FirstParagraph"/>
      </w:pPr>
      <w:r>
        <w:rPr>
          <w:b/>
          <w:bCs/>
        </w:rPr>
        <w:t>Step 1: Technical Compliance</w:t>
      </w:r>
      <w:r>
        <w:t xml:space="preserve"> - Review submittals against performance specifications - Verify redundancy, efficiency, and integration requirements - Confirm seismic and environmental ratings (Oklahoma wind/tornado loads)</w:t>
      </w:r>
    </w:p>
    <w:p w14:paraId="056439FF" w14:textId="77777777" w:rsidR="00B40F8B" w:rsidRDefault="00000000">
      <w:pPr>
        <w:pStyle w:val="BodyText"/>
      </w:pPr>
      <w:r>
        <w:rPr>
          <w:b/>
          <w:bCs/>
        </w:rPr>
        <w:t>Step 2: Reference Checks</w:t>
      </w:r>
      <w:r>
        <w:t xml:space="preserve"> - Contact 3 references for similar Tier III projects - Assess reliability, support responsiveness, and warranty fulfillment</w:t>
      </w:r>
    </w:p>
    <w:p w14:paraId="7111ADDF" w14:textId="77777777" w:rsidR="00B40F8B" w:rsidRDefault="00000000">
      <w:pPr>
        <w:pStyle w:val="BodyText"/>
      </w:pPr>
      <w:r>
        <w:rPr>
          <w:b/>
          <w:bCs/>
        </w:rPr>
        <w:t>Step 3: Total Cost of Ownership (TCO)</w:t>
      </w:r>
      <w:r>
        <w:t xml:space="preserve"> - </w:t>
      </w:r>
      <w:r>
        <w:rPr>
          <w:b/>
          <w:bCs/>
        </w:rPr>
        <w:t>Capital cost:</w:t>
      </w:r>
      <w:r>
        <w:t xml:space="preserve"> Equipment purchase price + installation - </w:t>
      </w:r>
      <w:r>
        <w:rPr>
          <w:b/>
          <w:bCs/>
        </w:rPr>
        <w:t>Operating cost:</w:t>
      </w:r>
      <w:r>
        <w:t xml:space="preserve"> Energy consumption (15-year NPV at $0.08/kWh) - </w:t>
      </w:r>
      <w:r>
        <w:rPr>
          <w:b/>
          <w:bCs/>
        </w:rPr>
        <w:t>Maintenance cost:</w:t>
      </w:r>
      <w:r>
        <w:t xml:space="preserve"> Annual service contracts + parts replacement - </w:t>
      </w:r>
      <w:r>
        <w:rPr>
          <w:b/>
          <w:bCs/>
        </w:rPr>
        <w:t>Downtime risk cost:</w:t>
      </w:r>
      <w:r>
        <w:t xml:space="preserve"> Probability of failure × revenue impact</w:t>
      </w:r>
    </w:p>
    <w:p w14:paraId="4E4833BB" w14:textId="77777777" w:rsidR="00B40F8B" w:rsidRDefault="00000000">
      <w:pPr>
        <w:pStyle w:val="BodyText"/>
      </w:pPr>
      <w:r>
        <w:rPr>
          <w:b/>
          <w:bCs/>
        </w:rPr>
        <w:t>Step 4: Factory Acceptance Test (FAT)</w:t>
      </w:r>
      <w:r>
        <w:t xml:space="preserve"> - Witness testing at manufacturer facility (for UPS, generators, switchgear, chillers) - Verify performance, redundancy failover, and control integration - Document test results for commissioning phase</w:t>
      </w:r>
    </w:p>
    <w:p w14:paraId="42F5602E" w14:textId="77777777" w:rsidR="00B40F8B" w:rsidRDefault="00000000">
      <w:r>
        <w:pict w14:anchorId="21132273">
          <v:rect id="_x0000_i1030" style="width:0;height:1.5pt" o:hralign="center" o:hrstd="t" o:hr="t"/>
        </w:pict>
      </w:r>
    </w:p>
    <w:p w14:paraId="5A7796FB" w14:textId="77777777" w:rsidR="00B40F8B" w:rsidRDefault="00000000">
      <w:pPr>
        <w:pStyle w:val="Heading2"/>
      </w:pPr>
      <w:bookmarkStart w:id="15" w:name="contract-documents"/>
      <w:bookmarkEnd w:id="11"/>
      <w:bookmarkEnd w:id="14"/>
      <w:r>
        <w:t>0.05 CONTRACT DOCUMENTS</w:t>
      </w:r>
    </w:p>
    <w:p w14:paraId="38E805F5" w14:textId="77777777" w:rsidR="00B40F8B" w:rsidRDefault="00000000">
      <w:pPr>
        <w:pStyle w:val="Heading3"/>
      </w:pPr>
      <w:bookmarkStart w:id="16" w:name="design-build-agreement"/>
      <w:r>
        <w:t>Design-Build Agreement</w:t>
      </w:r>
    </w:p>
    <w:p w14:paraId="38395BA0" w14:textId="77777777" w:rsidR="00B40F8B" w:rsidRDefault="00000000">
      <w:pPr>
        <w:pStyle w:val="FirstParagraph"/>
      </w:pPr>
      <w:r>
        <w:rPr>
          <w:b/>
          <w:bCs/>
        </w:rPr>
        <w:t>Base contract:</w:t>
      </w:r>
      <w:r>
        <w:t xml:space="preserve"> - AIA A141 (Standard Form of Agreement Between Owner and Design-Builder) with modifications for: - Performance guarantees (PUE, uptime, capacity) - Liquidated damages and schedule incentives - Commissioning requirements (independent CxA, IST)</w:t>
      </w:r>
    </w:p>
    <w:p w14:paraId="0B7CD7E1" w14:textId="77777777" w:rsidR="00B40F8B" w:rsidRDefault="00000000">
      <w:pPr>
        <w:pStyle w:val="BodyText"/>
      </w:pPr>
      <w:r>
        <w:rPr>
          <w:b/>
          <w:bCs/>
        </w:rPr>
        <w:t>Exhibits:</w:t>
      </w:r>
      <w:r>
        <w:t xml:space="preserve"> - </w:t>
      </w:r>
      <w:r>
        <w:rPr>
          <w:b/>
          <w:bCs/>
        </w:rPr>
        <w:t>Exhibit A:</w:t>
      </w:r>
      <w:r>
        <w:t xml:space="preserve"> Owner’s Project Requirements (OPR) - </w:t>
      </w:r>
      <w:r>
        <w:rPr>
          <w:b/>
          <w:bCs/>
        </w:rPr>
        <w:t>Exhibit B:</w:t>
      </w:r>
      <w:r>
        <w:t xml:space="preserve"> Basis of Design (this document) - </w:t>
      </w:r>
      <w:r>
        <w:rPr>
          <w:b/>
          <w:bCs/>
        </w:rPr>
        <w:t>Exhibit C:</w:t>
      </w:r>
      <w:r>
        <w:t xml:space="preserve"> Site survey and geotechnical report - </w:t>
      </w:r>
      <w:r>
        <w:rPr>
          <w:b/>
          <w:bCs/>
        </w:rPr>
        <w:t>Exhibit D:</w:t>
      </w:r>
      <w:r>
        <w:t xml:space="preserve"> Utility coordination letters - </w:t>
      </w:r>
      <w:r>
        <w:rPr>
          <w:b/>
          <w:bCs/>
        </w:rPr>
        <w:t>Exhibit E:</w:t>
      </w:r>
      <w:r>
        <w:t xml:space="preserve"> Design milestones and deliverables schedule</w:t>
      </w:r>
    </w:p>
    <w:p w14:paraId="4F72828B" w14:textId="77777777" w:rsidR="00B40F8B" w:rsidRDefault="00000000">
      <w:pPr>
        <w:pStyle w:val="Heading3"/>
      </w:pPr>
      <w:bookmarkStart w:id="17" w:name="general-conditions"/>
      <w:bookmarkEnd w:id="16"/>
      <w:r>
        <w:t>General Conditions</w:t>
      </w:r>
    </w:p>
    <w:p w14:paraId="7706E3FC" w14:textId="77777777" w:rsidR="00B40F8B" w:rsidRDefault="00000000">
      <w:pPr>
        <w:pStyle w:val="FirstParagraph"/>
      </w:pPr>
      <w:r>
        <w:rPr>
          <w:b/>
          <w:bCs/>
        </w:rPr>
        <w:t>AIA A201 (General Conditions of the Contract for Construction)</w:t>
      </w:r>
      <w:r>
        <w:t xml:space="preserve"> with supplements: - </w:t>
      </w:r>
      <w:r>
        <w:rPr>
          <w:b/>
          <w:bCs/>
        </w:rPr>
        <w:t>Insurance requirements:</w:t>
      </w:r>
      <w:r>
        <w:t xml:space="preserve"> - General liability: $2M per occurrence / $5M aggregate - Builder’s risk: All-risk coverage for full project value - Professional liability (design team): $2M minimum - Workers’ compensation: Statutory limits - Delay in startup (DSU): Optional coverage for revenue loss</w:t>
      </w:r>
    </w:p>
    <w:p w14:paraId="5E65446A" w14:textId="77777777" w:rsidR="00B40F8B" w:rsidRDefault="00000000">
      <w:pPr>
        <w:pStyle w:val="Compact"/>
        <w:numPr>
          <w:ilvl w:val="0"/>
          <w:numId w:val="10"/>
        </w:numPr>
      </w:pPr>
      <w:r>
        <w:rPr>
          <w:b/>
          <w:bCs/>
        </w:rPr>
        <w:t>Bonds:</w:t>
      </w:r>
    </w:p>
    <w:p w14:paraId="6DFE78BC" w14:textId="77777777" w:rsidR="00B40F8B" w:rsidRDefault="00000000">
      <w:pPr>
        <w:pStyle w:val="Compact"/>
        <w:numPr>
          <w:ilvl w:val="1"/>
          <w:numId w:val="11"/>
        </w:numPr>
      </w:pPr>
      <w:r>
        <w:t>Bid bond: 10% of bid price</w:t>
      </w:r>
    </w:p>
    <w:p w14:paraId="566AC985" w14:textId="77777777" w:rsidR="00B40F8B" w:rsidRDefault="00000000">
      <w:pPr>
        <w:pStyle w:val="Compact"/>
        <w:numPr>
          <w:ilvl w:val="1"/>
          <w:numId w:val="11"/>
        </w:numPr>
      </w:pPr>
      <w:r>
        <w:t>Performance bond: 100% of contract value</w:t>
      </w:r>
    </w:p>
    <w:p w14:paraId="59C1CBA8" w14:textId="77777777" w:rsidR="00B40F8B" w:rsidRDefault="00000000">
      <w:pPr>
        <w:pStyle w:val="Compact"/>
        <w:numPr>
          <w:ilvl w:val="1"/>
          <w:numId w:val="11"/>
        </w:numPr>
      </w:pPr>
      <w:r>
        <w:t>Payment bond: 100% of contract value</w:t>
      </w:r>
    </w:p>
    <w:p w14:paraId="7AAECBC9" w14:textId="77777777" w:rsidR="00B40F8B" w:rsidRDefault="00000000">
      <w:pPr>
        <w:pStyle w:val="Compact"/>
        <w:numPr>
          <w:ilvl w:val="0"/>
          <w:numId w:val="10"/>
        </w:numPr>
      </w:pPr>
      <w:r>
        <w:rPr>
          <w:b/>
          <w:bCs/>
        </w:rPr>
        <w:t>Warranty period:</w:t>
      </w:r>
    </w:p>
    <w:p w14:paraId="1ECCE378" w14:textId="77777777" w:rsidR="00B40F8B" w:rsidRDefault="00000000">
      <w:pPr>
        <w:pStyle w:val="Compact"/>
        <w:numPr>
          <w:ilvl w:val="1"/>
          <w:numId w:val="12"/>
        </w:numPr>
      </w:pPr>
      <w:r>
        <w:t>Standard: 1 year from Substantial Completion</w:t>
      </w:r>
    </w:p>
    <w:p w14:paraId="353F3967" w14:textId="77777777" w:rsidR="00B40F8B" w:rsidRDefault="00000000">
      <w:pPr>
        <w:pStyle w:val="Compact"/>
        <w:numPr>
          <w:ilvl w:val="1"/>
          <w:numId w:val="12"/>
        </w:numPr>
      </w:pPr>
      <w:r>
        <w:lastRenderedPageBreak/>
        <w:t>Extended warranties: Per equipment manufacturer (UPS, generators, chillers, roof)</w:t>
      </w:r>
    </w:p>
    <w:p w14:paraId="5589F0D8" w14:textId="77777777" w:rsidR="00B40F8B" w:rsidRDefault="00000000">
      <w:pPr>
        <w:pStyle w:val="Heading3"/>
      </w:pPr>
      <w:bookmarkStart w:id="18" w:name="technical-specifications"/>
      <w:bookmarkEnd w:id="17"/>
      <w:r>
        <w:t>Technical Specifications</w:t>
      </w:r>
    </w:p>
    <w:p w14:paraId="27E972CD" w14:textId="77777777" w:rsidR="00B40F8B" w:rsidRDefault="00000000">
      <w:pPr>
        <w:pStyle w:val="FirstParagraph"/>
      </w:pPr>
      <w:r>
        <w:rPr>
          <w:b/>
          <w:bCs/>
        </w:rPr>
        <w:t>CSI MasterFormat organization:</w:t>
      </w:r>
      <w:r>
        <w:t xml:space="preserve"> - Division 00: Procurement and Contracting (this document) - Division 01: General Requirements (submittals, commissioning, closeout) - Divisions 02-14: Facility Construction (site, building, finishes) - Divisions 21-28: MEP Systems (fire protection, plumbing, HVAC, electrical, controls) - Divisions 31-32: Site &amp; Infrastructure (earthwork, utilities) - Division 33: Communications (fiber, telecom pathways)</w:t>
      </w:r>
    </w:p>
    <w:p w14:paraId="41E5DE44" w14:textId="77777777" w:rsidR="00B40F8B" w:rsidRDefault="00000000">
      <w:pPr>
        <w:pStyle w:val="BodyText"/>
      </w:pPr>
      <w:r>
        <w:rPr>
          <w:b/>
          <w:bCs/>
        </w:rPr>
        <w:t>Specification format:</w:t>
      </w:r>
      <w:r>
        <w:t xml:space="preserve"> - </w:t>
      </w:r>
      <w:r>
        <w:rPr>
          <w:b/>
          <w:bCs/>
        </w:rPr>
        <w:t>Part 1:</w:t>
      </w:r>
      <w:r>
        <w:t xml:space="preserve"> General (scope, references, submittals, quality assurance) - </w:t>
      </w:r>
      <w:r>
        <w:rPr>
          <w:b/>
          <w:bCs/>
        </w:rPr>
        <w:t>Part 2:</w:t>
      </w:r>
      <w:r>
        <w:t xml:space="preserve"> Products (manufacturers, materials, equipment, performance criteria) - </w:t>
      </w:r>
      <w:r>
        <w:rPr>
          <w:b/>
          <w:bCs/>
        </w:rPr>
        <w:t>Part 3:</w:t>
      </w:r>
      <w:r>
        <w:t xml:space="preserve"> Execution (installation, testing, commissioning, closeout)</w:t>
      </w:r>
    </w:p>
    <w:p w14:paraId="2A8CAE98" w14:textId="77777777" w:rsidR="00B40F8B" w:rsidRDefault="00000000">
      <w:r>
        <w:pict w14:anchorId="761D5F47">
          <v:rect id="_x0000_i1031" style="width:0;height:1.5pt" o:hralign="center" o:hrstd="t" o:hr="t"/>
        </w:pict>
      </w:r>
    </w:p>
    <w:p w14:paraId="7212D987" w14:textId="77777777" w:rsidR="00B40F8B" w:rsidRDefault="00000000">
      <w:pPr>
        <w:pStyle w:val="Heading2"/>
      </w:pPr>
      <w:bookmarkStart w:id="19" w:name="risk-allocation"/>
      <w:bookmarkEnd w:id="15"/>
      <w:bookmarkEnd w:id="18"/>
      <w:r>
        <w:t>0.06 RISK ALLOCATION</w:t>
      </w:r>
    </w:p>
    <w:p w14:paraId="583007DA" w14:textId="77777777" w:rsidR="00B40F8B" w:rsidRDefault="00000000">
      <w:pPr>
        <w:pStyle w:val="Heading3"/>
      </w:pPr>
      <w:bookmarkStart w:id="20" w:name="design-build-risk-matrix"/>
      <w:r>
        <w:t>Design-Build Risk Matrix</w:t>
      </w:r>
    </w:p>
    <w:tbl>
      <w:tblPr>
        <w:tblStyle w:val="Table"/>
        <w:tblW w:w="5000" w:type="pct"/>
        <w:tblLayout w:type="fixed"/>
        <w:tblLook w:val="0020" w:firstRow="1" w:lastRow="0" w:firstColumn="0" w:lastColumn="0" w:noHBand="0" w:noVBand="0"/>
      </w:tblPr>
      <w:tblGrid>
        <w:gridCol w:w="2873"/>
        <w:gridCol w:w="1340"/>
        <w:gridCol w:w="3065"/>
        <w:gridCol w:w="2298"/>
      </w:tblGrid>
      <w:tr w:rsidR="00B40F8B" w14:paraId="317ED52D" w14:textId="77777777" w:rsidTr="00B40F8B">
        <w:trPr>
          <w:cnfStyle w:val="100000000000" w:firstRow="1" w:lastRow="0" w:firstColumn="0" w:lastColumn="0" w:oddVBand="0" w:evenVBand="0" w:oddHBand="0" w:evenHBand="0" w:firstRowFirstColumn="0" w:firstRowLastColumn="0" w:lastRowFirstColumn="0" w:lastRowLastColumn="0"/>
          <w:tblHeader/>
        </w:trPr>
        <w:tc>
          <w:tcPr>
            <w:tcW w:w="2376" w:type="dxa"/>
          </w:tcPr>
          <w:p w14:paraId="45AA211E" w14:textId="77777777" w:rsidR="00B40F8B" w:rsidRDefault="00000000">
            <w:pPr>
              <w:pStyle w:val="Compact"/>
            </w:pPr>
            <w:r>
              <w:t>Risk Category</w:t>
            </w:r>
          </w:p>
        </w:tc>
        <w:tc>
          <w:tcPr>
            <w:tcW w:w="1108" w:type="dxa"/>
          </w:tcPr>
          <w:p w14:paraId="2AC55D75" w14:textId="77777777" w:rsidR="00B40F8B" w:rsidRDefault="00000000">
            <w:pPr>
              <w:pStyle w:val="Compact"/>
            </w:pPr>
            <w:r>
              <w:t>Owner</w:t>
            </w:r>
          </w:p>
        </w:tc>
        <w:tc>
          <w:tcPr>
            <w:tcW w:w="2534" w:type="dxa"/>
          </w:tcPr>
          <w:p w14:paraId="709F1802" w14:textId="77777777" w:rsidR="00B40F8B" w:rsidRDefault="00000000">
            <w:pPr>
              <w:pStyle w:val="Compact"/>
            </w:pPr>
            <w:r>
              <w:t>Design-Builder</w:t>
            </w:r>
          </w:p>
        </w:tc>
        <w:tc>
          <w:tcPr>
            <w:tcW w:w="1900" w:type="dxa"/>
          </w:tcPr>
          <w:p w14:paraId="22690202" w14:textId="77777777" w:rsidR="00B40F8B" w:rsidRDefault="00000000">
            <w:pPr>
              <w:pStyle w:val="Compact"/>
            </w:pPr>
            <w:r>
              <w:t>Mitigation</w:t>
            </w:r>
          </w:p>
        </w:tc>
      </w:tr>
      <w:tr w:rsidR="00B40F8B" w14:paraId="53929D77" w14:textId="77777777">
        <w:tc>
          <w:tcPr>
            <w:tcW w:w="2376" w:type="dxa"/>
          </w:tcPr>
          <w:p w14:paraId="69C50001" w14:textId="77777777" w:rsidR="00B40F8B" w:rsidRDefault="00000000">
            <w:pPr>
              <w:pStyle w:val="Compact"/>
            </w:pPr>
            <w:r>
              <w:rPr>
                <w:b/>
                <w:bCs/>
              </w:rPr>
              <w:t>Site conditions (geotech)</w:t>
            </w:r>
          </w:p>
        </w:tc>
        <w:tc>
          <w:tcPr>
            <w:tcW w:w="1108" w:type="dxa"/>
          </w:tcPr>
          <w:p w14:paraId="459E0C57" w14:textId="77777777" w:rsidR="00B40F8B" w:rsidRDefault="00000000">
            <w:pPr>
              <w:pStyle w:val="Compact"/>
            </w:pPr>
            <w:r>
              <w:t>Owner</w:t>
            </w:r>
          </w:p>
        </w:tc>
        <w:tc>
          <w:tcPr>
            <w:tcW w:w="2534" w:type="dxa"/>
          </w:tcPr>
          <w:p w14:paraId="5B4C479C" w14:textId="77777777" w:rsidR="00B40F8B" w:rsidRDefault="00000000">
            <w:pPr>
              <w:pStyle w:val="Compact"/>
            </w:pPr>
            <w:r>
              <w:t>—</w:t>
            </w:r>
          </w:p>
        </w:tc>
        <w:tc>
          <w:tcPr>
            <w:tcW w:w="1900" w:type="dxa"/>
          </w:tcPr>
          <w:p w14:paraId="18641BFE" w14:textId="77777777" w:rsidR="00B40F8B" w:rsidRDefault="00000000">
            <w:pPr>
              <w:pStyle w:val="Compact"/>
            </w:pPr>
            <w:r>
              <w:t>Geotech report provided; differing site conditions clause allows cost/schedule adjustment</w:t>
            </w:r>
          </w:p>
        </w:tc>
      </w:tr>
      <w:tr w:rsidR="00B40F8B" w14:paraId="4F723BD7" w14:textId="77777777">
        <w:tc>
          <w:tcPr>
            <w:tcW w:w="2376" w:type="dxa"/>
          </w:tcPr>
          <w:p w14:paraId="3AAFAEEE" w14:textId="77777777" w:rsidR="00B40F8B" w:rsidRDefault="00000000">
            <w:pPr>
              <w:pStyle w:val="Compact"/>
            </w:pPr>
            <w:r>
              <w:rPr>
                <w:b/>
                <w:bCs/>
              </w:rPr>
              <w:t>Design errors</w:t>
            </w:r>
          </w:p>
        </w:tc>
        <w:tc>
          <w:tcPr>
            <w:tcW w:w="1108" w:type="dxa"/>
          </w:tcPr>
          <w:p w14:paraId="00D6ABFE" w14:textId="77777777" w:rsidR="00B40F8B" w:rsidRDefault="00000000">
            <w:pPr>
              <w:pStyle w:val="Compact"/>
            </w:pPr>
            <w:r>
              <w:t>—</w:t>
            </w:r>
          </w:p>
        </w:tc>
        <w:tc>
          <w:tcPr>
            <w:tcW w:w="2534" w:type="dxa"/>
          </w:tcPr>
          <w:p w14:paraId="4690E658" w14:textId="77777777" w:rsidR="00B40F8B" w:rsidRDefault="00000000">
            <w:pPr>
              <w:pStyle w:val="Compact"/>
            </w:pPr>
            <w:r>
              <w:t>Design-Builder</w:t>
            </w:r>
          </w:p>
        </w:tc>
        <w:tc>
          <w:tcPr>
            <w:tcW w:w="1900" w:type="dxa"/>
          </w:tcPr>
          <w:p w14:paraId="3FE1AB37" w14:textId="77777777" w:rsidR="00B40F8B" w:rsidRDefault="00000000">
            <w:pPr>
              <w:pStyle w:val="Compact"/>
            </w:pPr>
            <w:r>
              <w:t>Professional liability insurance; design review at milestones</w:t>
            </w:r>
          </w:p>
        </w:tc>
      </w:tr>
      <w:tr w:rsidR="00B40F8B" w14:paraId="51DA7027" w14:textId="77777777">
        <w:tc>
          <w:tcPr>
            <w:tcW w:w="2376" w:type="dxa"/>
          </w:tcPr>
          <w:p w14:paraId="6C6E7F4B" w14:textId="77777777" w:rsidR="00B40F8B" w:rsidRDefault="00000000">
            <w:pPr>
              <w:pStyle w:val="Compact"/>
            </w:pPr>
            <w:r>
              <w:rPr>
                <w:b/>
                <w:bCs/>
              </w:rPr>
              <w:t>Construction defects</w:t>
            </w:r>
          </w:p>
        </w:tc>
        <w:tc>
          <w:tcPr>
            <w:tcW w:w="1108" w:type="dxa"/>
          </w:tcPr>
          <w:p w14:paraId="6616586E" w14:textId="77777777" w:rsidR="00B40F8B" w:rsidRDefault="00000000">
            <w:pPr>
              <w:pStyle w:val="Compact"/>
            </w:pPr>
            <w:r>
              <w:t>—</w:t>
            </w:r>
          </w:p>
        </w:tc>
        <w:tc>
          <w:tcPr>
            <w:tcW w:w="2534" w:type="dxa"/>
          </w:tcPr>
          <w:p w14:paraId="024B5B4B" w14:textId="77777777" w:rsidR="00B40F8B" w:rsidRDefault="00000000">
            <w:pPr>
              <w:pStyle w:val="Compact"/>
            </w:pPr>
            <w:r>
              <w:t>Design-Builder</w:t>
            </w:r>
          </w:p>
        </w:tc>
        <w:tc>
          <w:tcPr>
            <w:tcW w:w="1900" w:type="dxa"/>
          </w:tcPr>
          <w:p w14:paraId="1FF9EBDE" w14:textId="77777777" w:rsidR="00B40F8B" w:rsidRDefault="00000000">
            <w:pPr>
              <w:pStyle w:val="Compact"/>
            </w:pPr>
            <w:r>
              <w:t>Performance bond; 1-year warranty; commissioning verification</w:t>
            </w:r>
          </w:p>
        </w:tc>
      </w:tr>
      <w:tr w:rsidR="00B40F8B" w14:paraId="3C87AEAA" w14:textId="77777777">
        <w:tc>
          <w:tcPr>
            <w:tcW w:w="2376" w:type="dxa"/>
          </w:tcPr>
          <w:p w14:paraId="440D641B" w14:textId="77777777" w:rsidR="00B40F8B" w:rsidRDefault="00000000">
            <w:pPr>
              <w:pStyle w:val="Compact"/>
            </w:pPr>
            <w:r>
              <w:rPr>
                <w:b/>
                <w:bCs/>
              </w:rPr>
              <w:t>Equipment performance</w:t>
            </w:r>
          </w:p>
        </w:tc>
        <w:tc>
          <w:tcPr>
            <w:tcW w:w="1108" w:type="dxa"/>
          </w:tcPr>
          <w:p w14:paraId="50C634C7" w14:textId="77777777" w:rsidR="00B40F8B" w:rsidRDefault="00000000">
            <w:pPr>
              <w:pStyle w:val="Compact"/>
            </w:pPr>
            <w:r>
              <w:t>—</w:t>
            </w:r>
          </w:p>
        </w:tc>
        <w:tc>
          <w:tcPr>
            <w:tcW w:w="2534" w:type="dxa"/>
          </w:tcPr>
          <w:p w14:paraId="5EE38F62" w14:textId="77777777" w:rsidR="00B40F8B" w:rsidRDefault="00000000">
            <w:pPr>
              <w:pStyle w:val="Compact"/>
            </w:pPr>
            <w:r>
              <w:t>Design-Builder</w:t>
            </w:r>
          </w:p>
        </w:tc>
        <w:tc>
          <w:tcPr>
            <w:tcW w:w="1900" w:type="dxa"/>
          </w:tcPr>
          <w:p w14:paraId="5B007B51" w14:textId="77777777" w:rsidR="00B40F8B" w:rsidRDefault="00000000">
            <w:pPr>
              <w:pStyle w:val="Compact"/>
            </w:pPr>
            <w:r>
              <w:t>Performance guarantees (PUE, capacity); factory acceptance tests</w:t>
            </w:r>
          </w:p>
        </w:tc>
      </w:tr>
      <w:tr w:rsidR="00B40F8B" w14:paraId="7078BCF6" w14:textId="77777777">
        <w:tc>
          <w:tcPr>
            <w:tcW w:w="2376" w:type="dxa"/>
          </w:tcPr>
          <w:p w14:paraId="3C447A3D" w14:textId="77777777" w:rsidR="00B40F8B" w:rsidRDefault="00000000">
            <w:pPr>
              <w:pStyle w:val="Compact"/>
            </w:pPr>
            <w:r>
              <w:rPr>
                <w:b/>
                <w:bCs/>
              </w:rPr>
              <w:t>Schedule delays (contractor)</w:t>
            </w:r>
          </w:p>
        </w:tc>
        <w:tc>
          <w:tcPr>
            <w:tcW w:w="1108" w:type="dxa"/>
          </w:tcPr>
          <w:p w14:paraId="2A123EC4" w14:textId="77777777" w:rsidR="00B40F8B" w:rsidRDefault="00000000">
            <w:pPr>
              <w:pStyle w:val="Compact"/>
            </w:pPr>
            <w:r>
              <w:t>—</w:t>
            </w:r>
          </w:p>
        </w:tc>
        <w:tc>
          <w:tcPr>
            <w:tcW w:w="2534" w:type="dxa"/>
          </w:tcPr>
          <w:p w14:paraId="18FEBF6B" w14:textId="77777777" w:rsidR="00B40F8B" w:rsidRDefault="00000000">
            <w:pPr>
              <w:pStyle w:val="Compact"/>
            </w:pPr>
            <w:r>
              <w:t>Design-Builder</w:t>
            </w:r>
          </w:p>
        </w:tc>
        <w:tc>
          <w:tcPr>
            <w:tcW w:w="1900" w:type="dxa"/>
          </w:tcPr>
          <w:p w14:paraId="00023A07" w14:textId="77777777" w:rsidR="00B40F8B" w:rsidRDefault="00000000">
            <w:pPr>
              <w:pStyle w:val="Compact"/>
            </w:pPr>
            <w:r>
              <w:t>Liquidated damages; critical path management</w:t>
            </w:r>
          </w:p>
        </w:tc>
      </w:tr>
      <w:tr w:rsidR="00B40F8B" w14:paraId="25BE9470" w14:textId="77777777">
        <w:tc>
          <w:tcPr>
            <w:tcW w:w="2376" w:type="dxa"/>
          </w:tcPr>
          <w:p w14:paraId="62F61FD4" w14:textId="77777777" w:rsidR="00B40F8B" w:rsidRDefault="00000000">
            <w:pPr>
              <w:pStyle w:val="Compact"/>
            </w:pPr>
            <w:r>
              <w:rPr>
                <w:b/>
                <w:bCs/>
              </w:rPr>
              <w:lastRenderedPageBreak/>
              <w:t>Schedule delays (owner decisions)</w:t>
            </w:r>
          </w:p>
        </w:tc>
        <w:tc>
          <w:tcPr>
            <w:tcW w:w="1108" w:type="dxa"/>
          </w:tcPr>
          <w:p w14:paraId="172FF663" w14:textId="77777777" w:rsidR="00B40F8B" w:rsidRDefault="00000000">
            <w:pPr>
              <w:pStyle w:val="Compact"/>
            </w:pPr>
            <w:r>
              <w:t>Owner</w:t>
            </w:r>
          </w:p>
        </w:tc>
        <w:tc>
          <w:tcPr>
            <w:tcW w:w="2534" w:type="dxa"/>
          </w:tcPr>
          <w:p w14:paraId="260BFCCC" w14:textId="77777777" w:rsidR="00B40F8B" w:rsidRDefault="00000000">
            <w:pPr>
              <w:pStyle w:val="Compact"/>
            </w:pPr>
            <w:r>
              <w:t>—</w:t>
            </w:r>
          </w:p>
        </w:tc>
        <w:tc>
          <w:tcPr>
            <w:tcW w:w="1900" w:type="dxa"/>
          </w:tcPr>
          <w:p w14:paraId="34EDE6DE" w14:textId="77777777" w:rsidR="00B40F8B" w:rsidRDefault="00000000">
            <w:pPr>
              <w:pStyle w:val="Compact"/>
            </w:pPr>
            <w:r>
              <w:t>Timely review of submittals/RFIs; change order process</w:t>
            </w:r>
          </w:p>
        </w:tc>
      </w:tr>
      <w:tr w:rsidR="00B40F8B" w14:paraId="07498BEA" w14:textId="77777777">
        <w:tc>
          <w:tcPr>
            <w:tcW w:w="2376" w:type="dxa"/>
          </w:tcPr>
          <w:p w14:paraId="1B515299" w14:textId="77777777" w:rsidR="00B40F8B" w:rsidRDefault="00000000">
            <w:pPr>
              <w:pStyle w:val="Compact"/>
            </w:pPr>
            <w:r>
              <w:rPr>
                <w:b/>
                <w:bCs/>
              </w:rPr>
              <w:t>Utility coordination</w:t>
            </w:r>
          </w:p>
        </w:tc>
        <w:tc>
          <w:tcPr>
            <w:tcW w:w="1108" w:type="dxa"/>
          </w:tcPr>
          <w:p w14:paraId="19DA7D1E" w14:textId="77777777" w:rsidR="00B40F8B" w:rsidRDefault="00000000">
            <w:pPr>
              <w:pStyle w:val="Compact"/>
            </w:pPr>
            <w:r>
              <w:t>Shared</w:t>
            </w:r>
          </w:p>
        </w:tc>
        <w:tc>
          <w:tcPr>
            <w:tcW w:w="2534" w:type="dxa"/>
          </w:tcPr>
          <w:p w14:paraId="6DFEB0F3" w14:textId="77777777" w:rsidR="00B40F8B" w:rsidRDefault="00000000">
            <w:pPr>
              <w:pStyle w:val="Compact"/>
            </w:pPr>
            <w:r>
              <w:t>Shared</w:t>
            </w:r>
          </w:p>
        </w:tc>
        <w:tc>
          <w:tcPr>
            <w:tcW w:w="1900" w:type="dxa"/>
          </w:tcPr>
          <w:p w14:paraId="5ED75E4D" w14:textId="77777777" w:rsidR="00B40F8B" w:rsidRDefault="00000000">
            <w:pPr>
              <w:pStyle w:val="Compact"/>
            </w:pPr>
            <w:r>
              <w:t>Owner coordinates utility service; design-builder designs interconnect</w:t>
            </w:r>
          </w:p>
        </w:tc>
      </w:tr>
      <w:tr w:rsidR="00B40F8B" w14:paraId="04349BF4" w14:textId="77777777">
        <w:tc>
          <w:tcPr>
            <w:tcW w:w="2376" w:type="dxa"/>
          </w:tcPr>
          <w:p w14:paraId="2B893E9D" w14:textId="77777777" w:rsidR="00B40F8B" w:rsidRDefault="00000000">
            <w:pPr>
              <w:pStyle w:val="Compact"/>
            </w:pPr>
            <w:r>
              <w:rPr>
                <w:b/>
                <w:bCs/>
              </w:rPr>
              <w:t>Permit delays (AHJ)</w:t>
            </w:r>
          </w:p>
        </w:tc>
        <w:tc>
          <w:tcPr>
            <w:tcW w:w="1108" w:type="dxa"/>
          </w:tcPr>
          <w:p w14:paraId="4B33E620" w14:textId="77777777" w:rsidR="00B40F8B" w:rsidRDefault="00000000">
            <w:pPr>
              <w:pStyle w:val="Compact"/>
            </w:pPr>
            <w:r>
              <w:t>Shared</w:t>
            </w:r>
          </w:p>
        </w:tc>
        <w:tc>
          <w:tcPr>
            <w:tcW w:w="2534" w:type="dxa"/>
          </w:tcPr>
          <w:p w14:paraId="21103258" w14:textId="77777777" w:rsidR="00B40F8B" w:rsidRDefault="00000000">
            <w:pPr>
              <w:pStyle w:val="Compact"/>
            </w:pPr>
            <w:r>
              <w:t>Shared</w:t>
            </w:r>
          </w:p>
        </w:tc>
        <w:tc>
          <w:tcPr>
            <w:tcW w:w="1900" w:type="dxa"/>
          </w:tcPr>
          <w:p w14:paraId="05680FD9" w14:textId="77777777" w:rsidR="00B40F8B" w:rsidRDefault="00000000">
            <w:pPr>
              <w:pStyle w:val="Compact"/>
            </w:pPr>
            <w:r>
              <w:t>Early engagement with AHJ; design-builder manages permit applications</w:t>
            </w:r>
          </w:p>
        </w:tc>
      </w:tr>
      <w:tr w:rsidR="00B40F8B" w14:paraId="74BAFD51" w14:textId="77777777">
        <w:tc>
          <w:tcPr>
            <w:tcW w:w="2376" w:type="dxa"/>
          </w:tcPr>
          <w:p w14:paraId="714F81E1" w14:textId="77777777" w:rsidR="00B40F8B" w:rsidRDefault="00000000">
            <w:pPr>
              <w:pStyle w:val="Compact"/>
            </w:pPr>
            <w:r>
              <w:rPr>
                <w:b/>
                <w:bCs/>
              </w:rPr>
              <w:t>Force majeure</w:t>
            </w:r>
          </w:p>
        </w:tc>
        <w:tc>
          <w:tcPr>
            <w:tcW w:w="1108" w:type="dxa"/>
          </w:tcPr>
          <w:p w14:paraId="12369551" w14:textId="77777777" w:rsidR="00B40F8B" w:rsidRDefault="00000000">
            <w:pPr>
              <w:pStyle w:val="Compact"/>
            </w:pPr>
            <w:r>
              <w:t>Shared</w:t>
            </w:r>
          </w:p>
        </w:tc>
        <w:tc>
          <w:tcPr>
            <w:tcW w:w="2534" w:type="dxa"/>
          </w:tcPr>
          <w:p w14:paraId="530B1293" w14:textId="77777777" w:rsidR="00B40F8B" w:rsidRDefault="00000000">
            <w:pPr>
              <w:pStyle w:val="Compact"/>
            </w:pPr>
            <w:r>
              <w:t>Shared</w:t>
            </w:r>
          </w:p>
        </w:tc>
        <w:tc>
          <w:tcPr>
            <w:tcW w:w="1900" w:type="dxa"/>
          </w:tcPr>
          <w:p w14:paraId="6AD47C8C" w14:textId="77777777" w:rsidR="00B40F8B" w:rsidRDefault="00000000">
            <w:pPr>
              <w:pStyle w:val="Compact"/>
            </w:pPr>
            <w:r>
              <w:t>Schedule extension (no damages); insurance (builder’s risk)</w:t>
            </w:r>
          </w:p>
        </w:tc>
      </w:tr>
      <w:tr w:rsidR="00B40F8B" w14:paraId="6A906C8D" w14:textId="77777777">
        <w:tc>
          <w:tcPr>
            <w:tcW w:w="2376" w:type="dxa"/>
          </w:tcPr>
          <w:p w14:paraId="4495135F" w14:textId="77777777" w:rsidR="00B40F8B" w:rsidRDefault="00000000">
            <w:pPr>
              <w:pStyle w:val="Compact"/>
            </w:pPr>
            <w:r>
              <w:rPr>
                <w:b/>
                <w:bCs/>
              </w:rPr>
              <w:t>Commissioning failures</w:t>
            </w:r>
          </w:p>
        </w:tc>
        <w:tc>
          <w:tcPr>
            <w:tcW w:w="1108" w:type="dxa"/>
          </w:tcPr>
          <w:p w14:paraId="26150299" w14:textId="77777777" w:rsidR="00B40F8B" w:rsidRDefault="00000000">
            <w:pPr>
              <w:pStyle w:val="Compact"/>
            </w:pPr>
            <w:r>
              <w:t>—</w:t>
            </w:r>
          </w:p>
        </w:tc>
        <w:tc>
          <w:tcPr>
            <w:tcW w:w="2534" w:type="dxa"/>
          </w:tcPr>
          <w:p w14:paraId="0F116E51" w14:textId="77777777" w:rsidR="00B40F8B" w:rsidRDefault="00000000">
            <w:pPr>
              <w:pStyle w:val="Compact"/>
            </w:pPr>
            <w:r>
              <w:t>Design-Builder</w:t>
            </w:r>
          </w:p>
        </w:tc>
        <w:tc>
          <w:tcPr>
            <w:tcW w:w="1900" w:type="dxa"/>
          </w:tcPr>
          <w:p w14:paraId="2AC1DEE3" w14:textId="77777777" w:rsidR="00B40F8B" w:rsidRDefault="00000000">
            <w:pPr>
              <w:pStyle w:val="Compact"/>
            </w:pPr>
            <w:r>
              <w:t>Re-test at contractor expense; IST must pass before Substantial Completion</w:t>
            </w:r>
          </w:p>
        </w:tc>
      </w:tr>
    </w:tbl>
    <w:p w14:paraId="41A13F01" w14:textId="77777777" w:rsidR="00B40F8B" w:rsidRDefault="00000000">
      <w:r>
        <w:pict w14:anchorId="5FDD2E43">
          <v:rect id="_x0000_i1032" style="width:0;height:1.5pt" o:hralign="center" o:hrstd="t" o:hr="t"/>
        </w:pict>
      </w:r>
    </w:p>
    <w:p w14:paraId="61FAE4C6" w14:textId="77777777" w:rsidR="00B40F8B" w:rsidRDefault="00000000">
      <w:pPr>
        <w:pStyle w:val="Heading2"/>
      </w:pPr>
      <w:bookmarkStart w:id="21" w:name="schedule-milestones"/>
      <w:bookmarkEnd w:id="19"/>
      <w:bookmarkEnd w:id="20"/>
      <w:r>
        <w:t>0.07 SCHEDULE &amp; MILESTONES</w:t>
      </w:r>
    </w:p>
    <w:p w14:paraId="712770D8" w14:textId="77777777" w:rsidR="00B40F8B" w:rsidRDefault="00000000">
      <w:pPr>
        <w:pStyle w:val="Heading3"/>
      </w:pPr>
      <w:bookmarkStart w:id="22" w:name="project-timeline-24-month-fast-track"/>
      <w:r>
        <w:t>Project Timeline (24-Month Fast-Track)</w:t>
      </w:r>
    </w:p>
    <w:tbl>
      <w:tblPr>
        <w:tblStyle w:val="Table"/>
        <w:tblW w:w="5000" w:type="pct"/>
        <w:tblLayout w:type="fixed"/>
        <w:tblLook w:val="0020" w:firstRow="1" w:lastRow="0" w:firstColumn="0" w:lastColumn="0" w:noHBand="0" w:noVBand="0"/>
      </w:tblPr>
      <w:tblGrid>
        <w:gridCol w:w="1197"/>
        <w:gridCol w:w="1710"/>
        <w:gridCol w:w="3078"/>
        <w:gridCol w:w="3591"/>
      </w:tblGrid>
      <w:tr w:rsidR="00B40F8B" w14:paraId="2F3DDC0D" w14:textId="77777777" w:rsidTr="00B40F8B">
        <w:trPr>
          <w:cnfStyle w:val="100000000000" w:firstRow="1" w:lastRow="0" w:firstColumn="0" w:lastColumn="0" w:oddVBand="0" w:evenVBand="0" w:oddHBand="0" w:evenHBand="0" w:firstRowFirstColumn="0" w:firstRowLastColumn="0" w:lastRowFirstColumn="0" w:lastRowLastColumn="0"/>
          <w:tblHeader/>
        </w:trPr>
        <w:tc>
          <w:tcPr>
            <w:tcW w:w="990" w:type="dxa"/>
          </w:tcPr>
          <w:p w14:paraId="11210469" w14:textId="77777777" w:rsidR="00B40F8B" w:rsidRDefault="00000000">
            <w:pPr>
              <w:pStyle w:val="Compact"/>
            </w:pPr>
            <w:r>
              <w:t>Phase</w:t>
            </w:r>
          </w:p>
        </w:tc>
        <w:tc>
          <w:tcPr>
            <w:tcW w:w="1414" w:type="dxa"/>
          </w:tcPr>
          <w:p w14:paraId="3AB2E006" w14:textId="77777777" w:rsidR="00B40F8B" w:rsidRDefault="00000000">
            <w:pPr>
              <w:pStyle w:val="Compact"/>
            </w:pPr>
            <w:r>
              <w:t>Duration</w:t>
            </w:r>
          </w:p>
        </w:tc>
        <w:tc>
          <w:tcPr>
            <w:tcW w:w="2545" w:type="dxa"/>
          </w:tcPr>
          <w:p w14:paraId="7B4922A3" w14:textId="77777777" w:rsidR="00B40F8B" w:rsidRDefault="00000000">
            <w:pPr>
              <w:pStyle w:val="Compact"/>
            </w:pPr>
            <w:r>
              <w:t>Key Deliverables</w:t>
            </w:r>
          </w:p>
        </w:tc>
        <w:tc>
          <w:tcPr>
            <w:tcW w:w="2970" w:type="dxa"/>
          </w:tcPr>
          <w:p w14:paraId="3FC2CCF6" w14:textId="77777777" w:rsidR="00B40F8B" w:rsidRDefault="00000000">
            <w:pPr>
              <w:pStyle w:val="Compact"/>
            </w:pPr>
            <w:r>
              <w:t>Procurement Actions</w:t>
            </w:r>
          </w:p>
        </w:tc>
      </w:tr>
      <w:tr w:rsidR="00B40F8B" w14:paraId="5122A9EC" w14:textId="77777777">
        <w:tc>
          <w:tcPr>
            <w:tcW w:w="990" w:type="dxa"/>
          </w:tcPr>
          <w:p w14:paraId="732F9AAA" w14:textId="77777777" w:rsidR="00B40F8B" w:rsidRDefault="00000000">
            <w:pPr>
              <w:pStyle w:val="Compact"/>
            </w:pPr>
            <w:r>
              <w:rPr>
                <w:b/>
                <w:bCs/>
              </w:rPr>
              <w:t>Design-Builder Selection</w:t>
            </w:r>
          </w:p>
        </w:tc>
        <w:tc>
          <w:tcPr>
            <w:tcW w:w="1414" w:type="dxa"/>
          </w:tcPr>
          <w:p w14:paraId="044D5197" w14:textId="77777777" w:rsidR="00B40F8B" w:rsidRDefault="00000000">
            <w:pPr>
              <w:pStyle w:val="Compact"/>
            </w:pPr>
            <w:r>
              <w:t>2 months</w:t>
            </w:r>
          </w:p>
        </w:tc>
        <w:tc>
          <w:tcPr>
            <w:tcW w:w="2545" w:type="dxa"/>
          </w:tcPr>
          <w:p w14:paraId="253FBBA3" w14:textId="77777777" w:rsidR="00B40F8B" w:rsidRDefault="00000000">
            <w:pPr>
              <w:pStyle w:val="Compact"/>
            </w:pPr>
            <w:r>
              <w:t>Award DB contract</w:t>
            </w:r>
          </w:p>
        </w:tc>
        <w:tc>
          <w:tcPr>
            <w:tcW w:w="2970" w:type="dxa"/>
          </w:tcPr>
          <w:p w14:paraId="190E3562" w14:textId="77777777" w:rsidR="00B40F8B" w:rsidRDefault="00000000">
            <w:pPr>
              <w:pStyle w:val="Compact"/>
            </w:pPr>
            <w:r>
              <w:t>Issue RFQ/RFP; evaluate proposals</w:t>
            </w:r>
          </w:p>
        </w:tc>
      </w:tr>
      <w:tr w:rsidR="00B40F8B" w14:paraId="13ACEE3A" w14:textId="77777777">
        <w:tc>
          <w:tcPr>
            <w:tcW w:w="990" w:type="dxa"/>
          </w:tcPr>
          <w:p w14:paraId="39DD9ADA" w14:textId="77777777" w:rsidR="00B40F8B" w:rsidRDefault="00000000">
            <w:pPr>
              <w:pStyle w:val="Compact"/>
            </w:pPr>
            <w:r>
              <w:rPr>
                <w:b/>
                <w:bCs/>
              </w:rPr>
              <w:t>Schematic Design (SD)</w:t>
            </w:r>
          </w:p>
        </w:tc>
        <w:tc>
          <w:tcPr>
            <w:tcW w:w="1414" w:type="dxa"/>
          </w:tcPr>
          <w:p w14:paraId="058A680D" w14:textId="77777777" w:rsidR="00B40F8B" w:rsidRDefault="00000000">
            <w:pPr>
              <w:pStyle w:val="Compact"/>
            </w:pPr>
            <w:r>
              <w:t>1 month</w:t>
            </w:r>
          </w:p>
        </w:tc>
        <w:tc>
          <w:tcPr>
            <w:tcW w:w="2545" w:type="dxa"/>
          </w:tcPr>
          <w:p w14:paraId="29C67FCF" w14:textId="77777777" w:rsidR="00B40F8B" w:rsidRDefault="00000000">
            <w:pPr>
              <w:pStyle w:val="Compact"/>
            </w:pPr>
            <w:r>
              <w:t>30% design review</w:t>
            </w:r>
          </w:p>
        </w:tc>
        <w:tc>
          <w:tcPr>
            <w:tcW w:w="2970" w:type="dxa"/>
          </w:tcPr>
          <w:p w14:paraId="3F21EDCF" w14:textId="77777777" w:rsidR="00B40F8B" w:rsidRDefault="00000000">
            <w:pPr>
              <w:pStyle w:val="Compact"/>
            </w:pPr>
            <w:r>
              <w:t>Engage long-lead vendors for design-assist</w:t>
            </w:r>
          </w:p>
        </w:tc>
      </w:tr>
      <w:tr w:rsidR="00B40F8B" w14:paraId="0BA9854E" w14:textId="77777777">
        <w:tc>
          <w:tcPr>
            <w:tcW w:w="990" w:type="dxa"/>
          </w:tcPr>
          <w:p w14:paraId="6C3BDA3E" w14:textId="77777777" w:rsidR="00B40F8B" w:rsidRDefault="00000000">
            <w:pPr>
              <w:pStyle w:val="Compact"/>
            </w:pPr>
            <w:r>
              <w:rPr>
                <w:b/>
                <w:bCs/>
              </w:rPr>
              <w:t>Design Development (DD)</w:t>
            </w:r>
          </w:p>
        </w:tc>
        <w:tc>
          <w:tcPr>
            <w:tcW w:w="1414" w:type="dxa"/>
          </w:tcPr>
          <w:p w14:paraId="4F307F0C" w14:textId="77777777" w:rsidR="00B40F8B" w:rsidRDefault="00000000">
            <w:pPr>
              <w:pStyle w:val="Compact"/>
            </w:pPr>
            <w:r>
              <w:t>2 months</w:t>
            </w:r>
          </w:p>
        </w:tc>
        <w:tc>
          <w:tcPr>
            <w:tcW w:w="2545" w:type="dxa"/>
          </w:tcPr>
          <w:p w14:paraId="1286D963" w14:textId="77777777" w:rsidR="00B40F8B" w:rsidRDefault="00000000">
            <w:pPr>
              <w:pStyle w:val="Compact"/>
            </w:pPr>
            <w:r>
              <w:t>65% design; GMP negotiation</w:t>
            </w:r>
          </w:p>
        </w:tc>
        <w:tc>
          <w:tcPr>
            <w:tcW w:w="2970" w:type="dxa"/>
          </w:tcPr>
          <w:p w14:paraId="5A4E5F43" w14:textId="77777777" w:rsidR="00B40F8B" w:rsidRDefault="00000000">
            <w:pPr>
              <w:pStyle w:val="Compact"/>
            </w:pPr>
            <w:r>
              <w:t>Order switchgear, UPS, generators, chillers</w:t>
            </w:r>
          </w:p>
        </w:tc>
      </w:tr>
      <w:tr w:rsidR="00B40F8B" w14:paraId="12888F2B" w14:textId="77777777">
        <w:tc>
          <w:tcPr>
            <w:tcW w:w="990" w:type="dxa"/>
          </w:tcPr>
          <w:p w14:paraId="016BAD66" w14:textId="77777777" w:rsidR="00B40F8B" w:rsidRDefault="00000000">
            <w:pPr>
              <w:pStyle w:val="Compact"/>
            </w:pPr>
            <w:r>
              <w:rPr>
                <w:b/>
                <w:bCs/>
              </w:rPr>
              <w:lastRenderedPageBreak/>
              <w:t>Construction Documents (CD)</w:t>
            </w:r>
          </w:p>
        </w:tc>
        <w:tc>
          <w:tcPr>
            <w:tcW w:w="1414" w:type="dxa"/>
          </w:tcPr>
          <w:p w14:paraId="1AE7CE0A" w14:textId="77777777" w:rsidR="00B40F8B" w:rsidRDefault="00000000">
            <w:pPr>
              <w:pStyle w:val="Compact"/>
            </w:pPr>
            <w:r>
              <w:t>2 months</w:t>
            </w:r>
          </w:p>
        </w:tc>
        <w:tc>
          <w:tcPr>
            <w:tcW w:w="2545" w:type="dxa"/>
          </w:tcPr>
          <w:p w14:paraId="49D82103" w14:textId="77777777" w:rsidR="00B40F8B" w:rsidRDefault="00000000">
            <w:pPr>
              <w:pStyle w:val="Compact"/>
            </w:pPr>
            <w:r>
              <w:t>100% permit drawings</w:t>
            </w:r>
          </w:p>
        </w:tc>
        <w:tc>
          <w:tcPr>
            <w:tcW w:w="2970" w:type="dxa"/>
          </w:tcPr>
          <w:p w14:paraId="03774B18" w14:textId="77777777" w:rsidR="00B40F8B" w:rsidRDefault="00000000">
            <w:pPr>
              <w:pStyle w:val="Compact"/>
            </w:pPr>
            <w:r>
              <w:t>Issue subcontractor bid packages</w:t>
            </w:r>
          </w:p>
        </w:tc>
      </w:tr>
      <w:tr w:rsidR="00B40F8B" w14:paraId="17256456" w14:textId="77777777">
        <w:tc>
          <w:tcPr>
            <w:tcW w:w="990" w:type="dxa"/>
          </w:tcPr>
          <w:p w14:paraId="1BE927FC" w14:textId="77777777" w:rsidR="00B40F8B" w:rsidRDefault="00000000">
            <w:pPr>
              <w:pStyle w:val="Compact"/>
            </w:pPr>
            <w:r>
              <w:rPr>
                <w:b/>
                <w:bCs/>
              </w:rPr>
              <w:t>Permitting</w:t>
            </w:r>
          </w:p>
        </w:tc>
        <w:tc>
          <w:tcPr>
            <w:tcW w:w="1414" w:type="dxa"/>
          </w:tcPr>
          <w:p w14:paraId="5AAFAD56" w14:textId="77777777" w:rsidR="00B40F8B" w:rsidRDefault="00000000">
            <w:pPr>
              <w:pStyle w:val="Compact"/>
            </w:pPr>
            <w:r>
              <w:t>2 months</w:t>
            </w:r>
          </w:p>
        </w:tc>
        <w:tc>
          <w:tcPr>
            <w:tcW w:w="2545" w:type="dxa"/>
          </w:tcPr>
          <w:p w14:paraId="20999E53" w14:textId="77777777" w:rsidR="00B40F8B" w:rsidRDefault="00000000">
            <w:pPr>
              <w:pStyle w:val="Compact"/>
            </w:pPr>
            <w:r>
              <w:t>Building permit, utility approvals</w:t>
            </w:r>
          </w:p>
        </w:tc>
        <w:tc>
          <w:tcPr>
            <w:tcW w:w="2970" w:type="dxa"/>
          </w:tcPr>
          <w:p w14:paraId="405BA713" w14:textId="77777777" w:rsidR="00B40F8B" w:rsidRDefault="00000000">
            <w:pPr>
              <w:pStyle w:val="Compact"/>
            </w:pPr>
            <w:r>
              <w:t>Continue equipment fabrication</w:t>
            </w:r>
          </w:p>
        </w:tc>
      </w:tr>
      <w:tr w:rsidR="00B40F8B" w14:paraId="141645AC" w14:textId="77777777">
        <w:tc>
          <w:tcPr>
            <w:tcW w:w="990" w:type="dxa"/>
          </w:tcPr>
          <w:p w14:paraId="10870851" w14:textId="77777777" w:rsidR="00B40F8B" w:rsidRDefault="00000000">
            <w:pPr>
              <w:pStyle w:val="Compact"/>
            </w:pPr>
            <w:r>
              <w:rPr>
                <w:b/>
                <w:bCs/>
              </w:rPr>
              <w:t>Site Work</w:t>
            </w:r>
          </w:p>
        </w:tc>
        <w:tc>
          <w:tcPr>
            <w:tcW w:w="1414" w:type="dxa"/>
          </w:tcPr>
          <w:p w14:paraId="2756D36F" w14:textId="77777777" w:rsidR="00B40F8B" w:rsidRDefault="00000000">
            <w:pPr>
              <w:pStyle w:val="Compact"/>
            </w:pPr>
            <w:r>
              <w:t>3 months</w:t>
            </w:r>
          </w:p>
        </w:tc>
        <w:tc>
          <w:tcPr>
            <w:tcW w:w="2545" w:type="dxa"/>
          </w:tcPr>
          <w:p w14:paraId="48FA1228" w14:textId="77777777" w:rsidR="00B40F8B" w:rsidRDefault="00000000">
            <w:pPr>
              <w:pStyle w:val="Compact"/>
            </w:pPr>
            <w:r>
              <w:t>Grading, utilities, foundations</w:t>
            </w:r>
          </w:p>
        </w:tc>
        <w:tc>
          <w:tcPr>
            <w:tcW w:w="2970" w:type="dxa"/>
          </w:tcPr>
          <w:p w14:paraId="3C97514A" w14:textId="77777777" w:rsidR="00B40F8B" w:rsidRDefault="00000000">
            <w:pPr>
              <w:pStyle w:val="Compact"/>
            </w:pPr>
            <w:r>
              <w:t>Mobilize site contractor</w:t>
            </w:r>
          </w:p>
        </w:tc>
      </w:tr>
      <w:tr w:rsidR="00B40F8B" w14:paraId="4768B075" w14:textId="77777777">
        <w:tc>
          <w:tcPr>
            <w:tcW w:w="990" w:type="dxa"/>
          </w:tcPr>
          <w:p w14:paraId="357B9D65" w14:textId="77777777" w:rsidR="00B40F8B" w:rsidRDefault="00000000">
            <w:pPr>
              <w:pStyle w:val="Compact"/>
            </w:pPr>
            <w:r>
              <w:rPr>
                <w:b/>
                <w:bCs/>
              </w:rPr>
              <w:t>Building Shell</w:t>
            </w:r>
          </w:p>
        </w:tc>
        <w:tc>
          <w:tcPr>
            <w:tcW w:w="1414" w:type="dxa"/>
          </w:tcPr>
          <w:p w14:paraId="6251F139" w14:textId="77777777" w:rsidR="00B40F8B" w:rsidRDefault="00000000">
            <w:pPr>
              <w:pStyle w:val="Compact"/>
            </w:pPr>
            <w:r>
              <w:t>4 months</w:t>
            </w:r>
          </w:p>
        </w:tc>
        <w:tc>
          <w:tcPr>
            <w:tcW w:w="2545" w:type="dxa"/>
          </w:tcPr>
          <w:p w14:paraId="7CA0071F" w14:textId="77777777" w:rsidR="00B40F8B" w:rsidRDefault="00000000">
            <w:pPr>
              <w:pStyle w:val="Compact"/>
            </w:pPr>
            <w:r>
              <w:t>Precast erection, roof, watertight</w:t>
            </w:r>
          </w:p>
        </w:tc>
        <w:tc>
          <w:tcPr>
            <w:tcW w:w="2970" w:type="dxa"/>
          </w:tcPr>
          <w:p w14:paraId="223E344A" w14:textId="77777777" w:rsidR="00B40F8B" w:rsidRDefault="00000000">
            <w:pPr>
              <w:pStyle w:val="Compact"/>
            </w:pPr>
            <w:r>
              <w:t>Fabricate precast panels (overlaps with CD)</w:t>
            </w:r>
          </w:p>
        </w:tc>
      </w:tr>
      <w:tr w:rsidR="00B40F8B" w14:paraId="2308418F" w14:textId="77777777">
        <w:tc>
          <w:tcPr>
            <w:tcW w:w="990" w:type="dxa"/>
          </w:tcPr>
          <w:p w14:paraId="16464D7A" w14:textId="77777777" w:rsidR="00B40F8B" w:rsidRDefault="00000000">
            <w:pPr>
              <w:pStyle w:val="Compact"/>
            </w:pPr>
            <w:r>
              <w:rPr>
                <w:b/>
                <w:bCs/>
              </w:rPr>
              <w:t>MEP Rough-In</w:t>
            </w:r>
          </w:p>
        </w:tc>
        <w:tc>
          <w:tcPr>
            <w:tcW w:w="1414" w:type="dxa"/>
          </w:tcPr>
          <w:p w14:paraId="2216F40D" w14:textId="77777777" w:rsidR="00B40F8B" w:rsidRDefault="00000000">
            <w:pPr>
              <w:pStyle w:val="Compact"/>
            </w:pPr>
            <w:r>
              <w:t>5 months</w:t>
            </w:r>
          </w:p>
        </w:tc>
        <w:tc>
          <w:tcPr>
            <w:tcW w:w="2545" w:type="dxa"/>
          </w:tcPr>
          <w:p w14:paraId="659D4913" w14:textId="77777777" w:rsidR="00B40F8B" w:rsidRDefault="00000000">
            <w:pPr>
              <w:pStyle w:val="Compact"/>
            </w:pPr>
            <w:r>
              <w:t>Electrical/mechanical infrastructure</w:t>
            </w:r>
          </w:p>
        </w:tc>
        <w:tc>
          <w:tcPr>
            <w:tcW w:w="2970" w:type="dxa"/>
          </w:tcPr>
          <w:p w14:paraId="5E093A23" w14:textId="77777777" w:rsidR="00B40F8B" w:rsidRDefault="00000000">
            <w:pPr>
              <w:pStyle w:val="Compact"/>
            </w:pPr>
            <w:r>
              <w:t>Deliver switchgear, UPS, generators, chillers</w:t>
            </w:r>
          </w:p>
        </w:tc>
      </w:tr>
      <w:tr w:rsidR="00B40F8B" w14:paraId="1851DEBF" w14:textId="77777777">
        <w:tc>
          <w:tcPr>
            <w:tcW w:w="990" w:type="dxa"/>
          </w:tcPr>
          <w:p w14:paraId="0EC7D38F" w14:textId="77777777" w:rsidR="00B40F8B" w:rsidRDefault="00000000">
            <w:pPr>
              <w:pStyle w:val="Compact"/>
            </w:pPr>
            <w:r>
              <w:rPr>
                <w:b/>
                <w:bCs/>
              </w:rPr>
              <w:t>MEP Final &amp; Startup</w:t>
            </w:r>
          </w:p>
        </w:tc>
        <w:tc>
          <w:tcPr>
            <w:tcW w:w="1414" w:type="dxa"/>
          </w:tcPr>
          <w:p w14:paraId="230BC8CD" w14:textId="77777777" w:rsidR="00B40F8B" w:rsidRDefault="00000000">
            <w:pPr>
              <w:pStyle w:val="Compact"/>
            </w:pPr>
            <w:r>
              <w:t>3 months</w:t>
            </w:r>
          </w:p>
        </w:tc>
        <w:tc>
          <w:tcPr>
            <w:tcW w:w="2545" w:type="dxa"/>
          </w:tcPr>
          <w:p w14:paraId="16232EA0" w14:textId="77777777" w:rsidR="00B40F8B" w:rsidRDefault="00000000">
            <w:pPr>
              <w:pStyle w:val="Compact"/>
            </w:pPr>
            <w:r>
              <w:t>Equipment installation, startup</w:t>
            </w:r>
          </w:p>
        </w:tc>
        <w:tc>
          <w:tcPr>
            <w:tcW w:w="2970" w:type="dxa"/>
          </w:tcPr>
          <w:p w14:paraId="5EC074E8" w14:textId="77777777" w:rsidR="00B40F8B" w:rsidRDefault="00000000">
            <w:pPr>
              <w:pStyle w:val="Compact"/>
            </w:pPr>
            <w:r>
              <w:t>Factory technicians on-site</w:t>
            </w:r>
          </w:p>
        </w:tc>
      </w:tr>
      <w:tr w:rsidR="00B40F8B" w14:paraId="444545F7" w14:textId="77777777">
        <w:tc>
          <w:tcPr>
            <w:tcW w:w="990" w:type="dxa"/>
          </w:tcPr>
          <w:p w14:paraId="17DAFF89" w14:textId="77777777" w:rsidR="00B40F8B" w:rsidRDefault="00000000">
            <w:pPr>
              <w:pStyle w:val="Compact"/>
            </w:pPr>
            <w:r>
              <w:rPr>
                <w:b/>
                <w:bCs/>
              </w:rPr>
              <w:t>Commissioning</w:t>
            </w:r>
          </w:p>
        </w:tc>
        <w:tc>
          <w:tcPr>
            <w:tcW w:w="1414" w:type="dxa"/>
          </w:tcPr>
          <w:p w14:paraId="4789DC72" w14:textId="77777777" w:rsidR="00B40F8B" w:rsidRDefault="00000000">
            <w:pPr>
              <w:pStyle w:val="Compact"/>
            </w:pPr>
            <w:r>
              <w:t>3 months</w:t>
            </w:r>
          </w:p>
        </w:tc>
        <w:tc>
          <w:tcPr>
            <w:tcW w:w="2545" w:type="dxa"/>
          </w:tcPr>
          <w:p w14:paraId="0EDAEBAA" w14:textId="77777777" w:rsidR="00B40F8B" w:rsidRDefault="00000000">
            <w:pPr>
              <w:pStyle w:val="Compact"/>
            </w:pPr>
            <w:r>
              <w:t>Functional tests, IST, load bank tests</w:t>
            </w:r>
          </w:p>
        </w:tc>
        <w:tc>
          <w:tcPr>
            <w:tcW w:w="2970" w:type="dxa"/>
          </w:tcPr>
          <w:p w14:paraId="7F8FA1F6" w14:textId="77777777" w:rsidR="00B40F8B" w:rsidRDefault="00000000">
            <w:pPr>
              <w:pStyle w:val="Compact"/>
            </w:pPr>
            <w:r>
              <w:t>Independent CxA oversight</w:t>
            </w:r>
          </w:p>
        </w:tc>
      </w:tr>
      <w:tr w:rsidR="00B40F8B" w14:paraId="5B7626E5" w14:textId="77777777">
        <w:tc>
          <w:tcPr>
            <w:tcW w:w="990" w:type="dxa"/>
          </w:tcPr>
          <w:p w14:paraId="3099E847" w14:textId="77777777" w:rsidR="00B40F8B" w:rsidRDefault="00000000">
            <w:pPr>
              <w:pStyle w:val="Compact"/>
            </w:pPr>
            <w:r>
              <w:rPr>
                <w:b/>
                <w:bCs/>
              </w:rPr>
              <w:t>Substantial Completion</w:t>
            </w:r>
          </w:p>
        </w:tc>
        <w:tc>
          <w:tcPr>
            <w:tcW w:w="1414" w:type="dxa"/>
          </w:tcPr>
          <w:p w14:paraId="1B70B394" w14:textId="77777777" w:rsidR="00B40F8B" w:rsidRDefault="00000000">
            <w:pPr>
              <w:pStyle w:val="Compact"/>
            </w:pPr>
            <w:r>
              <w:t>Month 20</w:t>
            </w:r>
          </w:p>
        </w:tc>
        <w:tc>
          <w:tcPr>
            <w:tcW w:w="2545" w:type="dxa"/>
          </w:tcPr>
          <w:p w14:paraId="4DA5E8B1" w14:textId="77777777" w:rsidR="00B40F8B" w:rsidRDefault="00000000">
            <w:pPr>
              <w:pStyle w:val="Compact"/>
            </w:pPr>
            <w:r>
              <w:t>CO issued, owner occupancy</w:t>
            </w:r>
          </w:p>
        </w:tc>
        <w:tc>
          <w:tcPr>
            <w:tcW w:w="2970" w:type="dxa"/>
          </w:tcPr>
          <w:p w14:paraId="70DCA36B" w14:textId="77777777" w:rsidR="00B40F8B" w:rsidRDefault="00000000">
            <w:pPr>
              <w:pStyle w:val="Compact"/>
            </w:pPr>
            <w:r>
              <w:t>Punchlist &lt;50 items</w:t>
            </w:r>
          </w:p>
        </w:tc>
      </w:tr>
      <w:tr w:rsidR="00B40F8B" w14:paraId="41364166" w14:textId="77777777">
        <w:tc>
          <w:tcPr>
            <w:tcW w:w="990" w:type="dxa"/>
          </w:tcPr>
          <w:p w14:paraId="5EBF161A" w14:textId="77777777" w:rsidR="00B40F8B" w:rsidRDefault="00000000">
            <w:pPr>
              <w:pStyle w:val="Compact"/>
            </w:pPr>
            <w:r>
              <w:rPr>
                <w:b/>
                <w:bCs/>
              </w:rPr>
              <w:t>Final Completion</w:t>
            </w:r>
          </w:p>
        </w:tc>
        <w:tc>
          <w:tcPr>
            <w:tcW w:w="1414" w:type="dxa"/>
          </w:tcPr>
          <w:p w14:paraId="63BFC766" w14:textId="77777777" w:rsidR="00B40F8B" w:rsidRDefault="00000000">
            <w:pPr>
              <w:pStyle w:val="Compact"/>
            </w:pPr>
            <w:r>
              <w:t>Month 22</w:t>
            </w:r>
          </w:p>
        </w:tc>
        <w:tc>
          <w:tcPr>
            <w:tcW w:w="2545" w:type="dxa"/>
          </w:tcPr>
          <w:p w14:paraId="4F5179BB" w14:textId="77777777" w:rsidR="00B40F8B" w:rsidRDefault="00000000">
            <w:pPr>
              <w:pStyle w:val="Compact"/>
            </w:pPr>
            <w:r>
              <w:t>Punchlist closed, as-builts delivered</w:t>
            </w:r>
          </w:p>
        </w:tc>
        <w:tc>
          <w:tcPr>
            <w:tcW w:w="2970" w:type="dxa"/>
          </w:tcPr>
          <w:p w14:paraId="03B7E76F" w14:textId="77777777" w:rsidR="00B40F8B" w:rsidRDefault="00000000">
            <w:pPr>
              <w:pStyle w:val="Compact"/>
            </w:pPr>
            <w:r>
              <w:t>Final payment, warranty start</w:t>
            </w:r>
          </w:p>
        </w:tc>
      </w:tr>
    </w:tbl>
    <w:p w14:paraId="5977C91C" w14:textId="77777777" w:rsidR="00B40F8B" w:rsidRDefault="00000000">
      <w:pPr>
        <w:pStyle w:val="BodyText"/>
      </w:pPr>
      <w:r>
        <w:rPr>
          <w:b/>
          <w:bCs/>
        </w:rPr>
        <w:t>Critical Path:</w:t>
      </w:r>
      <w:r>
        <w:t xml:space="preserve"> 1. Utility service installation (12-18 months; must start early) 2. Long-lead equipment (switchgear, UPS, generators, chillers) 3. Building shell watertight (before MEP equipment installation) 4. Commissioning IST (final gate before Substantial Completion)</w:t>
      </w:r>
    </w:p>
    <w:p w14:paraId="636B15F4" w14:textId="77777777" w:rsidR="00B40F8B" w:rsidRDefault="00000000">
      <w:r>
        <w:pict w14:anchorId="4344A9C4">
          <v:rect id="_x0000_i1033" style="width:0;height:1.5pt" o:hralign="center" o:hrstd="t" o:hr="t"/>
        </w:pict>
      </w:r>
    </w:p>
    <w:p w14:paraId="1E36293B" w14:textId="77777777" w:rsidR="00B40F8B" w:rsidRDefault="00000000">
      <w:pPr>
        <w:pStyle w:val="Heading2"/>
      </w:pPr>
      <w:bookmarkStart w:id="23" w:name="budget-cost-management"/>
      <w:bookmarkEnd w:id="21"/>
      <w:bookmarkEnd w:id="22"/>
      <w:r>
        <w:t>0.08 BUDGET &amp; COST MANAGEMENT</w:t>
      </w:r>
    </w:p>
    <w:p w14:paraId="1ED86C04" w14:textId="77777777" w:rsidR="00B40F8B" w:rsidRDefault="00000000">
      <w:pPr>
        <w:pStyle w:val="Heading3"/>
      </w:pPr>
      <w:bookmarkStart w:id="24" w:name="X26d78538c2b6e03fe60ffd386eddad0240bbacc"/>
      <w:r>
        <w:t>Preliminary Cost Estimate (Order of Magnitude)</w:t>
      </w:r>
    </w:p>
    <w:p w14:paraId="6FB4960A" w14:textId="77777777" w:rsidR="00B40F8B" w:rsidRDefault="00000000">
      <w:pPr>
        <w:pStyle w:val="FirstParagraph"/>
      </w:pPr>
      <w:r>
        <w:rPr>
          <w:b/>
          <w:bCs/>
        </w:rPr>
        <w:t>Project Scope:</w:t>
      </w:r>
      <w:r>
        <w:t xml:space="preserve"> 50,000 GSF, 3 MW Phase 1 IT load, Tier III</w:t>
      </w:r>
    </w:p>
    <w:tbl>
      <w:tblPr>
        <w:tblStyle w:val="Table"/>
        <w:tblW w:w="0" w:type="auto"/>
        <w:tblLook w:val="0020" w:firstRow="1" w:lastRow="0" w:firstColumn="0" w:lastColumn="0" w:noHBand="0" w:noVBand="0"/>
      </w:tblPr>
      <w:tblGrid>
        <w:gridCol w:w="3558"/>
        <w:gridCol w:w="1814"/>
        <w:gridCol w:w="729"/>
        <w:gridCol w:w="1232"/>
      </w:tblGrid>
      <w:tr w:rsidR="00B40F8B" w14:paraId="4B4BF810" w14:textId="77777777" w:rsidTr="00B40F8B">
        <w:trPr>
          <w:cnfStyle w:val="100000000000" w:firstRow="1" w:lastRow="0" w:firstColumn="0" w:lastColumn="0" w:oddVBand="0" w:evenVBand="0" w:oddHBand="0" w:evenHBand="0" w:firstRowFirstColumn="0" w:firstRowLastColumn="0" w:lastRowFirstColumn="0" w:lastRowLastColumn="0"/>
          <w:tblHeader/>
        </w:trPr>
        <w:tc>
          <w:tcPr>
            <w:tcW w:w="0" w:type="auto"/>
          </w:tcPr>
          <w:p w14:paraId="7DECED7F" w14:textId="77777777" w:rsidR="00B40F8B" w:rsidRDefault="00000000">
            <w:pPr>
              <w:pStyle w:val="Compact"/>
            </w:pPr>
            <w:r>
              <w:t>Cost Category</w:t>
            </w:r>
          </w:p>
        </w:tc>
        <w:tc>
          <w:tcPr>
            <w:tcW w:w="0" w:type="auto"/>
          </w:tcPr>
          <w:p w14:paraId="056028B0" w14:textId="77777777" w:rsidR="00B40F8B" w:rsidRDefault="00000000">
            <w:pPr>
              <w:pStyle w:val="Compact"/>
            </w:pPr>
            <w:r>
              <w:t>Estimated Cost</w:t>
            </w:r>
          </w:p>
        </w:tc>
        <w:tc>
          <w:tcPr>
            <w:tcW w:w="0" w:type="auto"/>
          </w:tcPr>
          <w:p w14:paraId="55058BAD" w14:textId="77777777" w:rsidR="00B40F8B" w:rsidRDefault="00000000">
            <w:pPr>
              <w:pStyle w:val="Compact"/>
            </w:pPr>
            <w:r>
              <w:t>$/SF</w:t>
            </w:r>
          </w:p>
        </w:tc>
        <w:tc>
          <w:tcPr>
            <w:tcW w:w="0" w:type="auto"/>
          </w:tcPr>
          <w:p w14:paraId="50CC5E56" w14:textId="77777777" w:rsidR="00B40F8B" w:rsidRDefault="00000000">
            <w:pPr>
              <w:pStyle w:val="Compact"/>
            </w:pPr>
            <w:r>
              <w:t>% of Total</w:t>
            </w:r>
          </w:p>
        </w:tc>
      </w:tr>
      <w:tr w:rsidR="00B40F8B" w14:paraId="2A7FC940" w14:textId="77777777">
        <w:tc>
          <w:tcPr>
            <w:tcW w:w="0" w:type="auto"/>
          </w:tcPr>
          <w:p w14:paraId="3C784A17" w14:textId="77777777" w:rsidR="00B40F8B" w:rsidRDefault="00000000">
            <w:pPr>
              <w:pStyle w:val="Compact"/>
            </w:pPr>
            <w:r>
              <w:rPr>
                <w:b/>
                <w:bCs/>
              </w:rPr>
              <w:t>Site Work (Div 31-32)</w:t>
            </w:r>
          </w:p>
        </w:tc>
        <w:tc>
          <w:tcPr>
            <w:tcW w:w="0" w:type="auto"/>
          </w:tcPr>
          <w:p w14:paraId="6DBF2ABF" w14:textId="77777777" w:rsidR="00B40F8B" w:rsidRDefault="00000000">
            <w:pPr>
              <w:pStyle w:val="Compact"/>
            </w:pPr>
            <w:r>
              <w:t>$2,500,000</w:t>
            </w:r>
          </w:p>
        </w:tc>
        <w:tc>
          <w:tcPr>
            <w:tcW w:w="0" w:type="auto"/>
          </w:tcPr>
          <w:p w14:paraId="59D7CBC9" w14:textId="77777777" w:rsidR="00B40F8B" w:rsidRDefault="00000000">
            <w:pPr>
              <w:pStyle w:val="Compact"/>
            </w:pPr>
            <w:r>
              <w:t>$50</w:t>
            </w:r>
          </w:p>
        </w:tc>
        <w:tc>
          <w:tcPr>
            <w:tcW w:w="0" w:type="auto"/>
          </w:tcPr>
          <w:p w14:paraId="46B1B529" w14:textId="77777777" w:rsidR="00B40F8B" w:rsidRDefault="00000000">
            <w:pPr>
              <w:pStyle w:val="Compact"/>
            </w:pPr>
            <w:r>
              <w:t>8%</w:t>
            </w:r>
          </w:p>
        </w:tc>
      </w:tr>
      <w:tr w:rsidR="00B40F8B" w14:paraId="7EF4971D" w14:textId="77777777">
        <w:tc>
          <w:tcPr>
            <w:tcW w:w="0" w:type="auto"/>
          </w:tcPr>
          <w:p w14:paraId="0358708C" w14:textId="77777777" w:rsidR="00B40F8B" w:rsidRDefault="00000000">
            <w:pPr>
              <w:pStyle w:val="Compact"/>
            </w:pPr>
            <w:r>
              <w:rPr>
                <w:b/>
                <w:bCs/>
              </w:rPr>
              <w:t>Building Shell (Div 02-14)</w:t>
            </w:r>
          </w:p>
        </w:tc>
        <w:tc>
          <w:tcPr>
            <w:tcW w:w="0" w:type="auto"/>
          </w:tcPr>
          <w:p w14:paraId="72E26B98" w14:textId="77777777" w:rsidR="00B40F8B" w:rsidRDefault="00000000">
            <w:pPr>
              <w:pStyle w:val="Compact"/>
            </w:pPr>
            <w:r>
              <w:t>$7,500,000</w:t>
            </w:r>
          </w:p>
        </w:tc>
        <w:tc>
          <w:tcPr>
            <w:tcW w:w="0" w:type="auto"/>
          </w:tcPr>
          <w:p w14:paraId="7346A405" w14:textId="77777777" w:rsidR="00B40F8B" w:rsidRDefault="00000000">
            <w:pPr>
              <w:pStyle w:val="Compact"/>
            </w:pPr>
            <w:r>
              <w:t>$150</w:t>
            </w:r>
          </w:p>
        </w:tc>
        <w:tc>
          <w:tcPr>
            <w:tcW w:w="0" w:type="auto"/>
          </w:tcPr>
          <w:p w14:paraId="780F531E" w14:textId="77777777" w:rsidR="00B40F8B" w:rsidRDefault="00000000">
            <w:pPr>
              <w:pStyle w:val="Compact"/>
            </w:pPr>
            <w:r>
              <w:t>23%</w:t>
            </w:r>
          </w:p>
        </w:tc>
      </w:tr>
      <w:tr w:rsidR="00B40F8B" w14:paraId="098F752E" w14:textId="77777777">
        <w:tc>
          <w:tcPr>
            <w:tcW w:w="0" w:type="auto"/>
          </w:tcPr>
          <w:p w14:paraId="08561F10" w14:textId="77777777" w:rsidR="00B40F8B" w:rsidRDefault="00000000">
            <w:pPr>
              <w:pStyle w:val="Compact"/>
            </w:pPr>
            <w:r>
              <w:rPr>
                <w:b/>
                <w:bCs/>
              </w:rPr>
              <w:lastRenderedPageBreak/>
              <w:t>Electrical (Div 26)</w:t>
            </w:r>
          </w:p>
        </w:tc>
        <w:tc>
          <w:tcPr>
            <w:tcW w:w="0" w:type="auto"/>
          </w:tcPr>
          <w:p w14:paraId="6AF24F19" w14:textId="77777777" w:rsidR="00B40F8B" w:rsidRDefault="00000000">
            <w:pPr>
              <w:pStyle w:val="Compact"/>
            </w:pPr>
            <w:r>
              <w:t>$12,000,000</w:t>
            </w:r>
          </w:p>
        </w:tc>
        <w:tc>
          <w:tcPr>
            <w:tcW w:w="0" w:type="auto"/>
          </w:tcPr>
          <w:p w14:paraId="6CD16B50" w14:textId="77777777" w:rsidR="00B40F8B" w:rsidRDefault="00000000">
            <w:pPr>
              <w:pStyle w:val="Compact"/>
            </w:pPr>
            <w:r>
              <w:t>$240</w:t>
            </w:r>
          </w:p>
        </w:tc>
        <w:tc>
          <w:tcPr>
            <w:tcW w:w="0" w:type="auto"/>
          </w:tcPr>
          <w:p w14:paraId="390ED85F" w14:textId="77777777" w:rsidR="00B40F8B" w:rsidRDefault="00000000">
            <w:pPr>
              <w:pStyle w:val="Compact"/>
            </w:pPr>
            <w:r>
              <w:t>37%</w:t>
            </w:r>
          </w:p>
        </w:tc>
      </w:tr>
      <w:tr w:rsidR="00B40F8B" w14:paraId="38C105C3" w14:textId="77777777">
        <w:tc>
          <w:tcPr>
            <w:tcW w:w="0" w:type="auto"/>
          </w:tcPr>
          <w:p w14:paraId="5F8F0FD2" w14:textId="77777777" w:rsidR="00B40F8B" w:rsidRDefault="00000000">
            <w:pPr>
              <w:pStyle w:val="Compact"/>
            </w:pPr>
            <w:r>
              <w:rPr>
                <w:b/>
                <w:bCs/>
              </w:rPr>
              <w:t>Mechanical (Div 23)</w:t>
            </w:r>
          </w:p>
        </w:tc>
        <w:tc>
          <w:tcPr>
            <w:tcW w:w="0" w:type="auto"/>
          </w:tcPr>
          <w:p w14:paraId="0E5EC847" w14:textId="77777777" w:rsidR="00B40F8B" w:rsidRDefault="00000000">
            <w:pPr>
              <w:pStyle w:val="Compact"/>
            </w:pPr>
            <w:r>
              <w:t>$8,000,000</w:t>
            </w:r>
          </w:p>
        </w:tc>
        <w:tc>
          <w:tcPr>
            <w:tcW w:w="0" w:type="auto"/>
          </w:tcPr>
          <w:p w14:paraId="65360F3A" w14:textId="77777777" w:rsidR="00B40F8B" w:rsidRDefault="00000000">
            <w:pPr>
              <w:pStyle w:val="Compact"/>
            </w:pPr>
            <w:r>
              <w:t>$160</w:t>
            </w:r>
          </w:p>
        </w:tc>
        <w:tc>
          <w:tcPr>
            <w:tcW w:w="0" w:type="auto"/>
          </w:tcPr>
          <w:p w14:paraId="65F31031" w14:textId="77777777" w:rsidR="00B40F8B" w:rsidRDefault="00000000">
            <w:pPr>
              <w:pStyle w:val="Compact"/>
            </w:pPr>
            <w:r>
              <w:t>25%</w:t>
            </w:r>
          </w:p>
        </w:tc>
      </w:tr>
      <w:tr w:rsidR="00B40F8B" w14:paraId="74AF60C3" w14:textId="77777777">
        <w:tc>
          <w:tcPr>
            <w:tcW w:w="0" w:type="auto"/>
          </w:tcPr>
          <w:p w14:paraId="6006DB23" w14:textId="77777777" w:rsidR="00B40F8B" w:rsidRDefault="00000000">
            <w:pPr>
              <w:pStyle w:val="Compact"/>
            </w:pPr>
            <w:r>
              <w:rPr>
                <w:b/>
                <w:bCs/>
              </w:rPr>
              <w:t>Fire Protection (Div 21)</w:t>
            </w:r>
          </w:p>
        </w:tc>
        <w:tc>
          <w:tcPr>
            <w:tcW w:w="0" w:type="auto"/>
          </w:tcPr>
          <w:p w14:paraId="0211AAA1" w14:textId="77777777" w:rsidR="00B40F8B" w:rsidRDefault="00000000">
            <w:pPr>
              <w:pStyle w:val="Compact"/>
            </w:pPr>
            <w:r>
              <w:t>$500,000</w:t>
            </w:r>
          </w:p>
        </w:tc>
        <w:tc>
          <w:tcPr>
            <w:tcW w:w="0" w:type="auto"/>
          </w:tcPr>
          <w:p w14:paraId="7ACB9EF4" w14:textId="77777777" w:rsidR="00B40F8B" w:rsidRDefault="00000000">
            <w:pPr>
              <w:pStyle w:val="Compact"/>
            </w:pPr>
            <w:r>
              <w:t>$10</w:t>
            </w:r>
          </w:p>
        </w:tc>
        <w:tc>
          <w:tcPr>
            <w:tcW w:w="0" w:type="auto"/>
          </w:tcPr>
          <w:p w14:paraId="709DE6E2" w14:textId="77777777" w:rsidR="00B40F8B" w:rsidRDefault="00000000">
            <w:pPr>
              <w:pStyle w:val="Compact"/>
            </w:pPr>
            <w:r>
              <w:t>2%</w:t>
            </w:r>
          </w:p>
        </w:tc>
      </w:tr>
      <w:tr w:rsidR="00B40F8B" w14:paraId="1EB96933" w14:textId="77777777">
        <w:tc>
          <w:tcPr>
            <w:tcW w:w="0" w:type="auto"/>
          </w:tcPr>
          <w:p w14:paraId="07201201" w14:textId="77777777" w:rsidR="00B40F8B" w:rsidRDefault="00000000">
            <w:pPr>
              <w:pStyle w:val="Compact"/>
            </w:pPr>
            <w:r>
              <w:rPr>
                <w:b/>
                <w:bCs/>
              </w:rPr>
              <w:t>Controls &amp; Security (Div 25, 28)</w:t>
            </w:r>
          </w:p>
        </w:tc>
        <w:tc>
          <w:tcPr>
            <w:tcW w:w="0" w:type="auto"/>
          </w:tcPr>
          <w:p w14:paraId="745F58E6" w14:textId="77777777" w:rsidR="00B40F8B" w:rsidRDefault="00000000">
            <w:pPr>
              <w:pStyle w:val="Compact"/>
            </w:pPr>
            <w:r>
              <w:t>$1,000,000</w:t>
            </w:r>
          </w:p>
        </w:tc>
        <w:tc>
          <w:tcPr>
            <w:tcW w:w="0" w:type="auto"/>
          </w:tcPr>
          <w:p w14:paraId="08E253AA" w14:textId="77777777" w:rsidR="00B40F8B" w:rsidRDefault="00000000">
            <w:pPr>
              <w:pStyle w:val="Compact"/>
            </w:pPr>
            <w:r>
              <w:t>$20</w:t>
            </w:r>
          </w:p>
        </w:tc>
        <w:tc>
          <w:tcPr>
            <w:tcW w:w="0" w:type="auto"/>
          </w:tcPr>
          <w:p w14:paraId="6DB047A5" w14:textId="77777777" w:rsidR="00B40F8B" w:rsidRDefault="00000000">
            <w:pPr>
              <w:pStyle w:val="Compact"/>
            </w:pPr>
            <w:r>
              <w:t>3%</w:t>
            </w:r>
          </w:p>
        </w:tc>
      </w:tr>
      <w:tr w:rsidR="00B40F8B" w14:paraId="014B96E6" w14:textId="77777777">
        <w:tc>
          <w:tcPr>
            <w:tcW w:w="0" w:type="auto"/>
          </w:tcPr>
          <w:p w14:paraId="4A057E80" w14:textId="77777777" w:rsidR="00B40F8B" w:rsidRDefault="00000000">
            <w:pPr>
              <w:pStyle w:val="Compact"/>
            </w:pPr>
            <w:r>
              <w:rPr>
                <w:b/>
                <w:bCs/>
              </w:rPr>
              <w:t>Commissioning</w:t>
            </w:r>
          </w:p>
        </w:tc>
        <w:tc>
          <w:tcPr>
            <w:tcW w:w="0" w:type="auto"/>
          </w:tcPr>
          <w:p w14:paraId="4FD2DE73" w14:textId="77777777" w:rsidR="00B40F8B" w:rsidRDefault="00000000">
            <w:pPr>
              <w:pStyle w:val="Compact"/>
            </w:pPr>
            <w:r>
              <w:t>$500,000</w:t>
            </w:r>
          </w:p>
        </w:tc>
        <w:tc>
          <w:tcPr>
            <w:tcW w:w="0" w:type="auto"/>
          </w:tcPr>
          <w:p w14:paraId="67ACB578" w14:textId="77777777" w:rsidR="00B40F8B" w:rsidRDefault="00000000">
            <w:pPr>
              <w:pStyle w:val="Compact"/>
            </w:pPr>
            <w:r>
              <w:t>$10</w:t>
            </w:r>
          </w:p>
        </w:tc>
        <w:tc>
          <w:tcPr>
            <w:tcW w:w="0" w:type="auto"/>
          </w:tcPr>
          <w:p w14:paraId="67BAB8AC" w14:textId="77777777" w:rsidR="00B40F8B" w:rsidRDefault="00000000">
            <w:pPr>
              <w:pStyle w:val="Compact"/>
            </w:pPr>
            <w:r>
              <w:t>2%</w:t>
            </w:r>
          </w:p>
        </w:tc>
      </w:tr>
      <w:tr w:rsidR="00B40F8B" w14:paraId="231138F2" w14:textId="77777777">
        <w:tc>
          <w:tcPr>
            <w:tcW w:w="0" w:type="auto"/>
          </w:tcPr>
          <w:p w14:paraId="4BE8A50F" w14:textId="77777777" w:rsidR="00B40F8B" w:rsidRDefault="00000000">
            <w:pPr>
              <w:pStyle w:val="Compact"/>
            </w:pPr>
            <w:r>
              <w:rPr>
                <w:b/>
                <w:bCs/>
              </w:rPr>
              <w:t>Subtotal (Construction)</w:t>
            </w:r>
          </w:p>
        </w:tc>
        <w:tc>
          <w:tcPr>
            <w:tcW w:w="0" w:type="auto"/>
          </w:tcPr>
          <w:p w14:paraId="3711106F" w14:textId="77777777" w:rsidR="00B40F8B" w:rsidRDefault="00000000">
            <w:pPr>
              <w:pStyle w:val="Compact"/>
            </w:pPr>
            <w:r>
              <w:t>$32,000,000</w:t>
            </w:r>
          </w:p>
        </w:tc>
        <w:tc>
          <w:tcPr>
            <w:tcW w:w="0" w:type="auto"/>
          </w:tcPr>
          <w:p w14:paraId="24B04B6A" w14:textId="77777777" w:rsidR="00B40F8B" w:rsidRDefault="00000000">
            <w:pPr>
              <w:pStyle w:val="Compact"/>
            </w:pPr>
            <w:r>
              <w:t>$640</w:t>
            </w:r>
          </w:p>
        </w:tc>
        <w:tc>
          <w:tcPr>
            <w:tcW w:w="0" w:type="auto"/>
          </w:tcPr>
          <w:p w14:paraId="1A49FA3A" w14:textId="77777777" w:rsidR="00B40F8B" w:rsidRDefault="00000000">
            <w:pPr>
              <w:pStyle w:val="Compact"/>
            </w:pPr>
            <w:r>
              <w:t>100%</w:t>
            </w:r>
          </w:p>
        </w:tc>
      </w:tr>
      <w:tr w:rsidR="00B40F8B" w14:paraId="244AA19F" w14:textId="77777777">
        <w:tc>
          <w:tcPr>
            <w:tcW w:w="0" w:type="auto"/>
          </w:tcPr>
          <w:p w14:paraId="66C26664" w14:textId="77777777" w:rsidR="00B40F8B" w:rsidRDefault="00000000">
            <w:pPr>
              <w:pStyle w:val="Compact"/>
            </w:pPr>
            <w:r>
              <w:rPr>
                <w:b/>
                <w:bCs/>
              </w:rPr>
              <w:t>Design fees (8%)</w:t>
            </w:r>
          </w:p>
        </w:tc>
        <w:tc>
          <w:tcPr>
            <w:tcW w:w="0" w:type="auto"/>
          </w:tcPr>
          <w:p w14:paraId="4ADEF94C" w14:textId="77777777" w:rsidR="00B40F8B" w:rsidRDefault="00000000">
            <w:pPr>
              <w:pStyle w:val="Compact"/>
            </w:pPr>
            <w:r>
              <w:t>$2,560,000</w:t>
            </w:r>
          </w:p>
        </w:tc>
        <w:tc>
          <w:tcPr>
            <w:tcW w:w="0" w:type="auto"/>
          </w:tcPr>
          <w:p w14:paraId="670EB2D2" w14:textId="77777777" w:rsidR="00B40F8B" w:rsidRDefault="00000000">
            <w:pPr>
              <w:pStyle w:val="Compact"/>
            </w:pPr>
            <w:r>
              <w:t>$51</w:t>
            </w:r>
          </w:p>
        </w:tc>
        <w:tc>
          <w:tcPr>
            <w:tcW w:w="0" w:type="auto"/>
          </w:tcPr>
          <w:p w14:paraId="39EF16CE" w14:textId="77777777" w:rsidR="00B40F8B" w:rsidRDefault="00000000">
            <w:pPr>
              <w:pStyle w:val="Compact"/>
            </w:pPr>
            <w:r>
              <w:t>—</w:t>
            </w:r>
          </w:p>
        </w:tc>
      </w:tr>
      <w:tr w:rsidR="00B40F8B" w14:paraId="7304AE9A" w14:textId="77777777">
        <w:tc>
          <w:tcPr>
            <w:tcW w:w="0" w:type="auto"/>
          </w:tcPr>
          <w:p w14:paraId="5E2720DC" w14:textId="77777777" w:rsidR="00B40F8B" w:rsidRDefault="00000000">
            <w:pPr>
              <w:pStyle w:val="Compact"/>
            </w:pPr>
            <w:r>
              <w:rPr>
                <w:b/>
                <w:bCs/>
              </w:rPr>
              <w:t>Permitting &amp; fees (1%)</w:t>
            </w:r>
          </w:p>
        </w:tc>
        <w:tc>
          <w:tcPr>
            <w:tcW w:w="0" w:type="auto"/>
          </w:tcPr>
          <w:p w14:paraId="1E24786F" w14:textId="77777777" w:rsidR="00B40F8B" w:rsidRDefault="00000000">
            <w:pPr>
              <w:pStyle w:val="Compact"/>
            </w:pPr>
            <w:r>
              <w:t>$320,000</w:t>
            </w:r>
          </w:p>
        </w:tc>
        <w:tc>
          <w:tcPr>
            <w:tcW w:w="0" w:type="auto"/>
          </w:tcPr>
          <w:p w14:paraId="782CEC00" w14:textId="77777777" w:rsidR="00B40F8B" w:rsidRDefault="00000000">
            <w:pPr>
              <w:pStyle w:val="Compact"/>
            </w:pPr>
            <w:r>
              <w:t>$6</w:t>
            </w:r>
          </w:p>
        </w:tc>
        <w:tc>
          <w:tcPr>
            <w:tcW w:w="0" w:type="auto"/>
          </w:tcPr>
          <w:p w14:paraId="6E66A63F" w14:textId="77777777" w:rsidR="00B40F8B" w:rsidRDefault="00000000">
            <w:pPr>
              <w:pStyle w:val="Compact"/>
            </w:pPr>
            <w:r>
              <w:t>—</w:t>
            </w:r>
          </w:p>
        </w:tc>
      </w:tr>
      <w:tr w:rsidR="00B40F8B" w14:paraId="5FC36987" w14:textId="77777777">
        <w:tc>
          <w:tcPr>
            <w:tcW w:w="0" w:type="auto"/>
          </w:tcPr>
          <w:p w14:paraId="15AB438F" w14:textId="77777777" w:rsidR="00B40F8B" w:rsidRDefault="00000000">
            <w:pPr>
              <w:pStyle w:val="Compact"/>
            </w:pPr>
            <w:r>
              <w:rPr>
                <w:b/>
                <w:bCs/>
              </w:rPr>
              <w:t>Owner contingency (10%)</w:t>
            </w:r>
          </w:p>
        </w:tc>
        <w:tc>
          <w:tcPr>
            <w:tcW w:w="0" w:type="auto"/>
          </w:tcPr>
          <w:p w14:paraId="664B70EE" w14:textId="77777777" w:rsidR="00B40F8B" w:rsidRDefault="00000000">
            <w:pPr>
              <w:pStyle w:val="Compact"/>
            </w:pPr>
            <w:r>
              <w:t>$3,200,000</w:t>
            </w:r>
          </w:p>
        </w:tc>
        <w:tc>
          <w:tcPr>
            <w:tcW w:w="0" w:type="auto"/>
          </w:tcPr>
          <w:p w14:paraId="77384C33" w14:textId="77777777" w:rsidR="00B40F8B" w:rsidRDefault="00000000">
            <w:pPr>
              <w:pStyle w:val="Compact"/>
            </w:pPr>
            <w:r>
              <w:t>$64</w:t>
            </w:r>
          </w:p>
        </w:tc>
        <w:tc>
          <w:tcPr>
            <w:tcW w:w="0" w:type="auto"/>
          </w:tcPr>
          <w:p w14:paraId="45D03664" w14:textId="77777777" w:rsidR="00B40F8B" w:rsidRDefault="00000000">
            <w:pPr>
              <w:pStyle w:val="Compact"/>
            </w:pPr>
            <w:r>
              <w:t>—</w:t>
            </w:r>
          </w:p>
        </w:tc>
      </w:tr>
      <w:tr w:rsidR="00B40F8B" w14:paraId="461EF819" w14:textId="77777777">
        <w:tc>
          <w:tcPr>
            <w:tcW w:w="0" w:type="auto"/>
          </w:tcPr>
          <w:p w14:paraId="66B439A8" w14:textId="77777777" w:rsidR="00B40F8B" w:rsidRDefault="00000000">
            <w:pPr>
              <w:pStyle w:val="Compact"/>
            </w:pPr>
            <w:r>
              <w:rPr>
                <w:b/>
                <w:bCs/>
              </w:rPr>
              <w:t>TOTAL PROJECT COST</w:t>
            </w:r>
          </w:p>
        </w:tc>
        <w:tc>
          <w:tcPr>
            <w:tcW w:w="0" w:type="auto"/>
          </w:tcPr>
          <w:p w14:paraId="2B14C52A" w14:textId="77777777" w:rsidR="00B40F8B" w:rsidRDefault="00000000">
            <w:pPr>
              <w:pStyle w:val="Compact"/>
            </w:pPr>
            <w:r>
              <w:rPr>
                <w:b/>
                <w:bCs/>
              </w:rPr>
              <w:t>$38,080,000</w:t>
            </w:r>
          </w:p>
        </w:tc>
        <w:tc>
          <w:tcPr>
            <w:tcW w:w="0" w:type="auto"/>
          </w:tcPr>
          <w:p w14:paraId="56DC9BA5" w14:textId="77777777" w:rsidR="00B40F8B" w:rsidRDefault="00000000">
            <w:pPr>
              <w:pStyle w:val="Compact"/>
            </w:pPr>
            <w:r>
              <w:rPr>
                <w:b/>
                <w:bCs/>
              </w:rPr>
              <w:t>$762</w:t>
            </w:r>
          </w:p>
        </w:tc>
        <w:tc>
          <w:tcPr>
            <w:tcW w:w="0" w:type="auto"/>
          </w:tcPr>
          <w:p w14:paraId="684BFC67" w14:textId="77777777" w:rsidR="00B40F8B" w:rsidRDefault="00000000">
            <w:pPr>
              <w:pStyle w:val="Compact"/>
            </w:pPr>
            <w:r>
              <w:t>—</w:t>
            </w:r>
          </w:p>
        </w:tc>
      </w:tr>
    </w:tbl>
    <w:p w14:paraId="2D20BA83" w14:textId="77777777" w:rsidR="00B40F8B" w:rsidRDefault="00000000">
      <w:pPr>
        <w:pStyle w:val="BodyText"/>
      </w:pPr>
      <w:r>
        <w:rPr>
          <w:b/>
          <w:bCs/>
        </w:rPr>
        <w:t>Cost per MW (IT load):</w:t>
      </w:r>
      <w:r>
        <w:t xml:space="preserve"> ~$12.7M per MW</w:t>
      </w:r>
    </w:p>
    <w:p w14:paraId="5BA00EDA" w14:textId="77777777" w:rsidR="00B40F8B" w:rsidRDefault="00000000">
      <w:pPr>
        <w:pStyle w:val="BodyText"/>
      </w:pPr>
      <w:r>
        <w:rPr>
          <w:b/>
          <w:bCs/>
        </w:rPr>
        <w:t>Notes:</w:t>
      </w:r>
      <w:r>
        <w:t xml:space="preserve"> - Costs assume greenfield site (no demolition or remediation) - Medium-voltage electrical service (11 kV or 35 kV) from utility - Precast tilt-up construction (not PEMB) - FM 1-150 tornado-rated roof - N+1 mechanical, 2N electrical architecture</w:t>
      </w:r>
    </w:p>
    <w:p w14:paraId="2666A42D" w14:textId="77777777" w:rsidR="00B40F8B" w:rsidRDefault="00000000">
      <w:pPr>
        <w:pStyle w:val="Heading3"/>
      </w:pPr>
      <w:bookmarkStart w:id="25" w:name="cost-control-measures"/>
      <w:bookmarkEnd w:id="24"/>
      <w:r>
        <w:t>Cost Control Measures</w:t>
      </w:r>
    </w:p>
    <w:p w14:paraId="4AB52A2A" w14:textId="77777777" w:rsidR="00B40F8B" w:rsidRDefault="00000000">
      <w:pPr>
        <w:pStyle w:val="FirstParagraph"/>
      </w:pPr>
      <w:r>
        <w:rPr>
          <w:b/>
          <w:bCs/>
        </w:rPr>
        <w:t>Value Engineering (VE) Opportunities:</w:t>
      </w:r>
      <w:r>
        <w:t xml:space="preserve"> - </w:t>
      </w:r>
      <w:r>
        <w:rPr>
          <w:b/>
          <w:bCs/>
        </w:rPr>
        <w:t>Building shell:</w:t>
      </w:r>
      <w:r>
        <w:t xml:space="preserve"> PEMB vs. precast (savings: $1-2M; trade-off: insurance costs, tornado risk) - </w:t>
      </w:r>
      <w:r>
        <w:rPr>
          <w:b/>
          <w:bCs/>
        </w:rPr>
        <w:t>Electrical topology:</w:t>
      </w:r>
      <w:r>
        <w:t xml:space="preserve"> 2N vs. N+1 with STS (savings: ~$1M; trade-off: uptime) - </w:t>
      </w:r>
      <w:r>
        <w:rPr>
          <w:b/>
          <w:bCs/>
        </w:rPr>
        <w:t>Cooling efficiency:</w:t>
      </w:r>
      <w:r>
        <w:t xml:space="preserve"> Standard vs. high-efficiency chillers (higher capex, lower opex; payback analysis) - </w:t>
      </w:r>
      <w:r>
        <w:rPr>
          <w:b/>
          <w:bCs/>
        </w:rPr>
        <w:t>Roof:</w:t>
      </w:r>
      <w:r>
        <w:t xml:space="preserve"> FM 1-150 vs. FM 1-90 (savings: $400K; trade-off: insurance, wind rating)</w:t>
      </w:r>
    </w:p>
    <w:p w14:paraId="231F629A" w14:textId="77777777" w:rsidR="00B40F8B" w:rsidRDefault="00000000">
      <w:pPr>
        <w:pStyle w:val="BodyText"/>
      </w:pPr>
      <w:r>
        <w:rPr>
          <w:b/>
          <w:bCs/>
        </w:rPr>
        <w:t>Change Order Management:</w:t>
      </w:r>
      <w:r>
        <w:t xml:space="preserve"> - </w:t>
      </w:r>
      <w:r>
        <w:rPr>
          <w:b/>
          <w:bCs/>
        </w:rPr>
        <w:t>Change order log:</w:t>
      </w:r>
      <w:r>
        <w:t xml:space="preserve"> Track all changes with cost/schedule impact - </w:t>
      </w:r>
      <w:r>
        <w:rPr>
          <w:b/>
          <w:bCs/>
        </w:rPr>
        <w:t>Owner approval thresholds:</w:t>
      </w:r>
      <w:r>
        <w:t xml:space="preserve"> - &lt;$10K and &lt;5 days: Design-builder approval - $10K-$50K or 5-15 days: Owner project manager approval - &gt;$50K or &gt;15 days: Owner executive approval - </w:t>
      </w:r>
      <w:r>
        <w:rPr>
          <w:b/>
          <w:bCs/>
        </w:rPr>
        <w:t>Contingency drawdown:</w:t>
      </w:r>
      <w:r>
        <w:t xml:space="preserve"> Track against 10% owner contingency; report monthly</w:t>
      </w:r>
    </w:p>
    <w:p w14:paraId="06168384" w14:textId="77777777" w:rsidR="00B40F8B" w:rsidRDefault="00000000">
      <w:r>
        <w:pict w14:anchorId="3C318D7C">
          <v:rect id="_x0000_i1034" style="width:0;height:1.5pt" o:hralign="center" o:hrstd="t" o:hr="t"/>
        </w:pict>
      </w:r>
    </w:p>
    <w:p w14:paraId="28C02311" w14:textId="77777777" w:rsidR="00B40F8B" w:rsidRDefault="00000000">
      <w:pPr>
        <w:pStyle w:val="Heading2"/>
      </w:pPr>
      <w:bookmarkStart w:id="26" w:name="quality-assurance-vendor-qualification"/>
      <w:bookmarkEnd w:id="23"/>
      <w:bookmarkEnd w:id="25"/>
      <w:r>
        <w:t>0.09 QUALITY ASSURANCE &amp; VENDOR QUALIFICATION</w:t>
      </w:r>
    </w:p>
    <w:p w14:paraId="6E0DFAEC" w14:textId="77777777" w:rsidR="00B40F8B" w:rsidRDefault="00000000">
      <w:pPr>
        <w:pStyle w:val="Heading3"/>
      </w:pPr>
      <w:bookmarkStart w:id="27" w:name="pre-qualification-requirements"/>
      <w:r>
        <w:t>Pre-Qualification Requirements</w:t>
      </w:r>
    </w:p>
    <w:p w14:paraId="29600EF8" w14:textId="77777777" w:rsidR="00B40F8B" w:rsidRDefault="00000000">
      <w:pPr>
        <w:pStyle w:val="FirstParagraph"/>
      </w:pPr>
      <w:r>
        <w:rPr>
          <w:b/>
          <w:bCs/>
        </w:rPr>
        <w:t>Design-Builder Pre-Qualification:</w:t>
      </w:r>
      <w:r>
        <w:t xml:space="preserve"> - Minimum 5 data centers &gt;5 MW completed in last 5 years - At least 2 Tier III or higher facilities (Uptime Institute certified) - Financial capacity: Bonding for $50M+ projects - Safety record: EMR (Experience Modification Rate) &lt;1.0</w:t>
      </w:r>
    </w:p>
    <w:p w14:paraId="652B14D6" w14:textId="77777777" w:rsidR="00B40F8B" w:rsidRDefault="00000000">
      <w:pPr>
        <w:pStyle w:val="BodyText"/>
      </w:pPr>
      <w:r>
        <w:rPr>
          <w:b/>
          <w:bCs/>
        </w:rPr>
        <w:t>Subcontractor Pre-Qualification:</w:t>
      </w:r>
      <w:r>
        <w:t xml:space="preserve"> - </w:t>
      </w:r>
      <w:r>
        <w:rPr>
          <w:b/>
          <w:bCs/>
        </w:rPr>
        <w:t>Electrical:</w:t>
      </w:r>
      <w:r>
        <w:t xml:space="preserve"> NETA-accredited for testing; prior MV switchgear experience - </w:t>
      </w:r>
      <w:r>
        <w:rPr>
          <w:b/>
          <w:bCs/>
        </w:rPr>
        <w:t>Mechanical:</w:t>
      </w:r>
      <w:r>
        <w:t xml:space="preserve"> AABC or NEBB certified for test &amp; balance - </w:t>
      </w:r>
      <w:r>
        <w:rPr>
          <w:b/>
          <w:bCs/>
        </w:rPr>
        <w:t>Precast:</w:t>
      </w:r>
      <w:r>
        <w:t xml:space="preserve"> </w:t>
      </w:r>
      <w:r>
        <w:lastRenderedPageBreak/>
        <w:t xml:space="preserve">Minimum 10 tilt-up projects; crane capacity for 40-ft panels - </w:t>
      </w:r>
      <w:r>
        <w:rPr>
          <w:b/>
          <w:bCs/>
        </w:rPr>
        <w:t>Roofing:</w:t>
      </w:r>
      <w:r>
        <w:t xml:space="preserve"> FM-approved contractor for FM 1-150 systems</w:t>
      </w:r>
    </w:p>
    <w:p w14:paraId="40CB404A" w14:textId="77777777" w:rsidR="00B40F8B" w:rsidRDefault="00000000">
      <w:pPr>
        <w:pStyle w:val="BodyText"/>
      </w:pPr>
      <w:r>
        <w:rPr>
          <w:b/>
          <w:bCs/>
        </w:rPr>
        <w:t>Equipment Vendor Pre-Qualification:</w:t>
      </w:r>
      <w:r>
        <w:t xml:space="preserve"> - Tier 1 vendor status (see Section 0.04) - Reference projects with similar capacity and redundancy - Factory acceptance test (FAT) capability - Service network with &lt;4 hour response time in Oklahoma</w:t>
      </w:r>
    </w:p>
    <w:p w14:paraId="506E3BF6" w14:textId="77777777" w:rsidR="00B40F8B" w:rsidRDefault="00000000">
      <w:pPr>
        <w:pStyle w:val="Heading3"/>
      </w:pPr>
      <w:bookmarkStart w:id="28" w:name="quality-control-plan"/>
      <w:bookmarkEnd w:id="27"/>
      <w:r>
        <w:t>Quality Control Plan</w:t>
      </w:r>
    </w:p>
    <w:p w14:paraId="2FFF277B" w14:textId="77777777" w:rsidR="00B40F8B" w:rsidRDefault="00000000">
      <w:pPr>
        <w:pStyle w:val="FirstParagraph"/>
      </w:pPr>
      <w:r>
        <w:rPr>
          <w:b/>
          <w:bCs/>
        </w:rPr>
        <w:t>Design-Builder QC/QC Responsibilities:</w:t>
      </w:r>
      <w:r>
        <w:t xml:space="preserve"> - </w:t>
      </w:r>
      <w:r>
        <w:rPr>
          <w:b/>
          <w:bCs/>
        </w:rPr>
        <w:t>Weekly inspections:</w:t>
      </w:r>
      <w:r>
        <w:t xml:space="preserve"> Document progress, deficiencies, and corrective actions - </w:t>
      </w:r>
      <w:r>
        <w:rPr>
          <w:b/>
          <w:bCs/>
        </w:rPr>
        <w:t>Material testing:</w:t>
      </w:r>
      <w:r>
        <w:t xml:space="preserve"> Engage independent testing agency (ITA) for concrete, soil, fireproofing - </w:t>
      </w:r>
      <w:r>
        <w:rPr>
          <w:b/>
          <w:bCs/>
        </w:rPr>
        <w:t>Equipment testing:</w:t>
      </w:r>
      <w:r>
        <w:t xml:space="preserve"> Factory tests (FAT) and field tests (commissioning) - </w:t>
      </w:r>
      <w:r>
        <w:rPr>
          <w:b/>
          <w:bCs/>
        </w:rPr>
        <w:t>Documentation:</w:t>
      </w:r>
      <w:r>
        <w:t xml:space="preserve"> Daily reports, test reports, RFI log, submittal register</w:t>
      </w:r>
    </w:p>
    <w:p w14:paraId="6A9A6EBA" w14:textId="77777777" w:rsidR="00B40F8B" w:rsidRDefault="00000000">
      <w:pPr>
        <w:pStyle w:val="BodyText"/>
      </w:pPr>
      <w:r>
        <w:rPr>
          <w:b/>
          <w:bCs/>
        </w:rPr>
        <w:t>Owner Quality Assurance:</w:t>
      </w:r>
      <w:r>
        <w:t xml:space="preserve"> - </w:t>
      </w:r>
      <w:r>
        <w:rPr>
          <w:b/>
          <w:bCs/>
        </w:rPr>
        <w:t>Independent commissioning authority (CxA):</w:t>
      </w:r>
      <w:r>
        <w:t xml:space="preserve"> 3rd-party verification of systems performance - </w:t>
      </w:r>
      <w:r>
        <w:rPr>
          <w:b/>
          <w:bCs/>
        </w:rPr>
        <w:t>Design reviews:</w:t>
      </w:r>
      <w:r>
        <w:t xml:space="preserve"> 30%, 65%, 95%, 100% milestone reviews - </w:t>
      </w:r>
      <w:r>
        <w:rPr>
          <w:b/>
          <w:bCs/>
        </w:rPr>
        <w:t>Site visits:</w:t>
      </w:r>
      <w:r>
        <w:t xml:space="preserve"> Monthly during construction; weekly during commissioning</w:t>
      </w:r>
    </w:p>
    <w:p w14:paraId="4196B5A1" w14:textId="77777777" w:rsidR="00B40F8B" w:rsidRDefault="00000000">
      <w:r>
        <w:pict w14:anchorId="540D9A40">
          <v:rect id="_x0000_i1035" style="width:0;height:1.5pt" o:hralign="center" o:hrstd="t" o:hr="t"/>
        </w:pict>
      </w:r>
    </w:p>
    <w:p w14:paraId="4DC2B615" w14:textId="77777777" w:rsidR="00B40F8B" w:rsidRDefault="00000000">
      <w:pPr>
        <w:pStyle w:val="Heading2"/>
      </w:pPr>
      <w:bookmarkStart w:id="29" w:name="special-contract-provisions"/>
      <w:bookmarkEnd w:id="26"/>
      <w:bookmarkEnd w:id="28"/>
      <w:r>
        <w:t>0.10 SPECIAL CONTRACT PROVISIONS</w:t>
      </w:r>
    </w:p>
    <w:p w14:paraId="41D0203E" w14:textId="77777777" w:rsidR="00B40F8B" w:rsidRDefault="00000000">
      <w:pPr>
        <w:pStyle w:val="Heading3"/>
      </w:pPr>
      <w:bookmarkStart w:id="30" w:name="performance-guarantees"/>
      <w:r>
        <w:t>Performance Guarantees</w:t>
      </w:r>
    </w:p>
    <w:p w14:paraId="6871B17A" w14:textId="77777777" w:rsidR="00B40F8B" w:rsidRDefault="00000000">
      <w:pPr>
        <w:pStyle w:val="FirstParagraph"/>
      </w:pPr>
      <w:r>
        <w:rPr>
          <w:b/>
          <w:bCs/>
        </w:rPr>
        <w:t>PUE Guarantee:</w:t>
      </w:r>
      <w:r>
        <w:t xml:space="preserve"> - </w:t>
      </w:r>
      <w:r>
        <w:rPr>
          <w:b/>
          <w:bCs/>
        </w:rPr>
        <w:t>Measurement period:</w:t>
      </w:r>
      <w:r>
        <w:t xml:space="preserve"> 3 consecutive months post-occupancy at 50% and 80% IT load - </w:t>
      </w:r>
      <w:r>
        <w:rPr>
          <w:b/>
          <w:bCs/>
        </w:rPr>
        <w:t>Target:</w:t>
      </w:r>
      <w:r>
        <w:t xml:space="preserve"> PUE ≤ 1.4 at 50% load; ≤ 1.3 at 80% load - </w:t>
      </w:r>
      <w:r>
        <w:rPr>
          <w:b/>
          <w:bCs/>
        </w:rPr>
        <w:t>Penalty:</w:t>
      </w:r>
      <w:r>
        <w:t xml:space="preserve"> $50K per 0.1 PUE above target (max $200K) - </w:t>
      </w:r>
      <w:r>
        <w:rPr>
          <w:b/>
          <w:bCs/>
        </w:rPr>
        <w:t>Exclusions:</w:t>
      </w:r>
      <w:r>
        <w:t xml:space="preserve"> PUE adjusted for weather extremes (&gt;99th percentile) and IT equipment inefficiency</w:t>
      </w:r>
    </w:p>
    <w:p w14:paraId="6CB2960B" w14:textId="77777777" w:rsidR="00B40F8B" w:rsidRDefault="00000000">
      <w:pPr>
        <w:pStyle w:val="BodyText"/>
      </w:pPr>
      <w:r>
        <w:rPr>
          <w:b/>
          <w:bCs/>
        </w:rPr>
        <w:t>Uptime Guarantee:</w:t>
      </w:r>
      <w:r>
        <w:t xml:space="preserve"> - </w:t>
      </w:r>
      <w:r>
        <w:rPr>
          <w:b/>
          <w:bCs/>
        </w:rPr>
        <w:t>Tier III certification:</w:t>
      </w:r>
      <w:r>
        <w:t xml:space="preserve"> Design-builder responsible for achieving Uptime Institute Tier III (TCCF + TCOS) - </w:t>
      </w:r>
      <w:r>
        <w:rPr>
          <w:b/>
          <w:bCs/>
        </w:rPr>
        <w:t>Penalty:</w:t>
      </w:r>
      <w:r>
        <w:t xml:space="preserve"> $500K if certification cannot be achieved due to design or construction defects - </w:t>
      </w:r>
      <w:r>
        <w:rPr>
          <w:b/>
          <w:bCs/>
        </w:rPr>
        <w:t>Exclusions:</w:t>
      </w:r>
      <w:r>
        <w:t xml:space="preserve"> Owner-driven scope changes, utility failures beyond design criteria</w:t>
      </w:r>
    </w:p>
    <w:p w14:paraId="1A332673" w14:textId="77777777" w:rsidR="00B40F8B" w:rsidRDefault="00000000">
      <w:pPr>
        <w:pStyle w:val="BodyText"/>
      </w:pPr>
      <w:r>
        <w:rPr>
          <w:b/>
          <w:bCs/>
        </w:rPr>
        <w:t>Capacity Guarantee:</w:t>
      </w:r>
      <w:r>
        <w:t xml:space="preserve"> - </w:t>
      </w:r>
      <w:r>
        <w:rPr>
          <w:b/>
          <w:bCs/>
        </w:rPr>
        <w:t>Phase 1:</w:t>
      </w:r>
      <w:r>
        <w:t xml:space="preserve"> 3 MW IT load with N+1 mechanical, 2N electrical - </w:t>
      </w:r>
      <w:r>
        <w:rPr>
          <w:b/>
          <w:bCs/>
        </w:rPr>
        <w:t>Penalty:</w:t>
      </w:r>
      <w:r>
        <w:t xml:space="preserve"> $100K if system cannot support 3 MW under all failure scenarios - </w:t>
      </w:r>
      <w:r>
        <w:rPr>
          <w:b/>
          <w:bCs/>
        </w:rPr>
        <w:t>Verification:</w:t>
      </w:r>
      <w:r>
        <w:t xml:space="preserve"> Load bank testing during commissioning</w:t>
      </w:r>
    </w:p>
    <w:p w14:paraId="3756C665" w14:textId="77777777" w:rsidR="00B40F8B" w:rsidRDefault="00000000">
      <w:pPr>
        <w:pStyle w:val="Heading3"/>
      </w:pPr>
      <w:bookmarkStart w:id="31" w:name="early-completion-incentive"/>
      <w:bookmarkEnd w:id="30"/>
      <w:r>
        <w:t>Early Completion Incentive</w:t>
      </w:r>
    </w:p>
    <w:p w14:paraId="1705E883" w14:textId="77777777" w:rsidR="00B40F8B" w:rsidRDefault="00000000">
      <w:pPr>
        <w:pStyle w:val="FirstParagraph"/>
      </w:pPr>
      <w:r>
        <w:rPr>
          <w:b/>
          <w:bCs/>
        </w:rPr>
        <w:t>Bonus structure:</w:t>
      </w:r>
      <w:r>
        <w:t xml:space="preserve"> - $10K per calendar day for Substantial Completion ahead of schedule - Maximum 30 days early (max bonus: $300K) - Conditions: - All systems commissioned and passing IST - Punchlist &lt;50 items (no critical items) - CO issued by AHJ</w:t>
      </w:r>
    </w:p>
    <w:p w14:paraId="58B59892" w14:textId="77777777" w:rsidR="00B40F8B" w:rsidRDefault="00000000">
      <w:pPr>
        <w:pStyle w:val="Heading3"/>
      </w:pPr>
      <w:bookmarkStart w:id="32" w:name="liquidated-damages"/>
      <w:bookmarkEnd w:id="31"/>
      <w:r>
        <w:t>Liquidated Damages</w:t>
      </w:r>
    </w:p>
    <w:p w14:paraId="49AAEE9B" w14:textId="77777777" w:rsidR="00B40F8B" w:rsidRDefault="00000000">
      <w:pPr>
        <w:pStyle w:val="FirstParagraph"/>
      </w:pPr>
      <w:r>
        <w:rPr>
          <w:b/>
          <w:bCs/>
        </w:rPr>
        <w:t>Schedule:</w:t>
      </w:r>
      <w:r>
        <w:t xml:space="preserve"> - $10K per calendar day for late Substantial Completion (after schedule float exhausted) - No cap on liquidated damages</w:t>
      </w:r>
    </w:p>
    <w:p w14:paraId="3D909AC8" w14:textId="77777777" w:rsidR="00B40F8B" w:rsidRDefault="00000000">
      <w:pPr>
        <w:pStyle w:val="BodyText"/>
      </w:pPr>
      <w:r>
        <w:rPr>
          <w:b/>
          <w:bCs/>
        </w:rPr>
        <w:lastRenderedPageBreak/>
        <w:t>Performance:</w:t>
      </w:r>
      <w:r>
        <w:t xml:space="preserve"> - PUE: $50K per 0.1 above target (max $200K) - Capacity: $100K if IT load capacity not met - Tier III: $500K if certification cannot be achieved</w:t>
      </w:r>
    </w:p>
    <w:p w14:paraId="6F8EC8C3" w14:textId="77777777" w:rsidR="00B40F8B" w:rsidRDefault="00000000">
      <w:pPr>
        <w:pStyle w:val="BodyText"/>
      </w:pPr>
      <w:r>
        <w:rPr>
          <w:b/>
          <w:bCs/>
        </w:rPr>
        <w:t>Process:</w:t>
      </w:r>
      <w:r>
        <w:t xml:space="preserve"> - Owner deducts liquidated damages from final payment - Design-builder may dispute through contract dispute resolution process</w:t>
      </w:r>
    </w:p>
    <w:p w14:paraId="53B8E670" w14:textId="77777777" w:rsidR="00B40F8B" w:rsidRDefault="00000000">
      <w:r>
        <w:pict w14:anchorId="28E358AD">
          <v:rect id="_x0000_i1036" style="width:0;height:1.5pt" o:hralign="center" o:hrstd="t" o:hr="t"/>
        </w:pict>
      </w:r>
    </w:p>
    <w:p w14:paraId="776D2B6E" w14:textId="77777777" w:rsidR="00B40F8B" w:rsidRDefault="00000000">
      <w:pPr>
        <w:pStyle w:val="Heading2"/>
      </w:pPr>
      <w:bookmarkStart w:id="33" w:name="dispute-resolution"/>
      <w:bookmarkEnd w:id="29"/>
      <w:bookmarkEnd w:id="32"/>
      <w:r>
        <w:t>0.11 DISPUTE RESOLUTION</w:t>
      </w:r>
    </w:p>
    <w:p w14:paraId="32280583" w14:textId="77777777" w:rsidR="00B40F8B" w:rsidRDefault="00000000">
      <w:pPr>
        <w:pStyle w:val="Heading3"/>
      </w:pPr>
      <w:bookmarkStart w:id="34" w:name="tiered-dispute-resolution-process"/>
      <w:r>
        <w:t>Tiered Dispute Resolution Process</w:t>
      </w:r>
    </w:p>
    <w:p w14:paraId="44683174" w14:textId="77777777" w:rsidR="00B40F8B" w:rsidRDefault="00000000">
      <w:pPr>
        <w:pStyle w:val="FirstParagraph"/>
      </w:pPr>
      <w:r>
        <w:rPr>
          <w:b/>
          <w:bCs/>
        </w:rPr>
        <w:t>Level 1: Project Team (0-15 days)</w:t>
      </w:r>
      <w:r>
        <w:t xml:space="preserve"> - Issue raised at weekly OAC meeting - Project managers negotiate resolution</w:t>
      </w:r>
    </w:p>
    <w:p w14:paraId="6C3E1830" w14:textId="77777777" w:rsidR="00B40F8B" w:rsidRDefault="00000000">
      <w:pPr>
        <w:pStyle w:val="BodyText"/>
      </w:pPr>
      <w:r>
        <w:rPr>
          <w:b/>
          <w:bCs/>
        </w:rPr>
        <w:t>Level 2: Senior Management (15-30 days)</w:t>
      </w:r>
      <w:r>
        <w:t xml:space="preserve"> - Escalate to owner VP and design-builder senior VP - Mediation facilitated by CxA or independent party</w:t>
      </w:r>
    </w:p>
    <w:p w14:paraId="2532DC9B" w14:textId="77777777" w:rsidR="00B40F8B" w:rsidRDefault="00000000">
      <w:pPr>
        <w:pStyle w:val="BodyText"/>
      </w:pPr>
      <w:r>
        <w:rPr>
          <w:b/>
          <w:bCs/>
        </w:rPr>
        <w:t>Level 3: Mediation (30-60 days)</w:t>
      </w:r>
      <w:r>
        <w:t xml:space="preserve"> - Engage professional mediator (AAA or JAMS) - Non-binding mediation; costs split 50/50</w:t>
      </w:r>
    </w:p>
    <w:p w14:paraId="2B45E0D4" w14:textId="77777777" w:rsidR="00B40F8B" w:rsidRDefault="00000000">
      <w:pPr>
        <w:pStyle w:val="BodyText"/>
      </w:pPr>
      <w:r>
        <w:rPr>
          <w:b/>
          <w:bCs/>
        </w:rPr>
        <w:t>Level 4: Arbitration (60-90 days)</w:t>
      </w:r>
      <w:r>
        <w:t xml:space="preserve"> - Binding arbitration per AIA A141 - Single arbitrator for disputes &lt;$500K; panel of 3 for &gt;$500K - Arbitration conducted in Tulsa, Oklahoma</w:t>
      </w:r>
    </w:p>
    <w:p w14:paraId="32CEF989" w14:textId="77777777" w:rsidR="00B40F8B" w:rsidRDefault="00000000">
      <w:pPr>
        <w:pStyle w:val="BodyText"/>
      </w:pPr>
      <w:r>
        <w:rPr>
          <w:b/>
          <w:bCs/>
        </w:rPr>
        <w:t>Level 5: Litigation (&gt;90 days)</w:t>
      </w:r>
      <w:r>
        <w:t xml:space="preserve"> - Only if arbitration fails or is declined - Jurisdiction: Rogers County, Oklahoma - Costs: Prevailing party recovers attorney fees</w:t>
      </w:r>
    </w:p>
    <w:p w14:paraId="4947D26A" w14:textId="77777777" w:rsidR="00B40F8B" w:rsidRDefault="00000000">
      <w:r>
        <w:pict w14:anchorId="34CDAD01">
          <v:rect id="_x0000_i1037" style="width:0;height:1.5pt" o:hralign="center" o:hrstd="t" o:hr="t"/>
        </w:pict>
      </w:r>
    </w:p>
    <w:p w14:paraId="635FF796" w14:textId="77777777" w:rsidR="00B40F8B" w:rsidRDefault="00000000">
      <w:pPr>
        <w:pStyle w:val="Heading2"/>
      </w:pPr>
      <w:bookmarkStart w:id="35" w:name="insurance-bonding"/>
      <w:bookmarkEnd w:id="33"/>
      <w:bookmarkEnd w:id="34"/>
      <w:r>
        <w:t>0.12 INSURANCE &amp; BONDING</w:t>
      </w:r>
    </w:p>
    <w:p w14:paraId="73AA0F7A" w14:textId="77777777" w:rsidR="00B40F8B" w:rsidRDefault="00000000">
      <w:pPr>
        <w:pStyle w:val="Heading3"/>
      </w:pPr>
      <w:bookmarkStart w:id="36" w:name="required-insurance"/>
      <w:r>
        <w:t>Required Insurance</w:t>
      </w:r>
    </w:p>
    <w:tbl>
      <w:tblPr>
        <w:tblStyle w:val="Table"/>
        <w:tblW w:w="5000" w:type="pct"/>
        <w:tblLayout w:type="fixed"/>
        <w:tblLook w:val="0020" w:firstRow="1" w:lastRow="0" w:firstColumn="0" w:lastColumn="0" w:noHBand="0" w:noVBand="0"/>
      </w:tblPr>
      <w:tblGrid>
        <w:gridCol w:w="2053"/>
        <w:gridCol w:w="2394"/>
        <w:gridCol w:w="2735"/>
        <w:gridCol w:w="2394"/>
      </w:tblGrid>
      <w:tr w:rsidR="00B40F8B" w14:paraId="66A11882" w14:textId="77777777" w:rsidTr="00B40F8B">
        <w:trPr>
          <w:cnfStyle w:val="100000000000" w:firstRow="1" w:lastRow="0" w:firstColumn="0" w:lastColumn="0" w:oddVBand="0" w:evenVBand="0" w:oddHBand="0" w:evenHBand="0" w:firstRowFirstColumn="0" w:firstRowLastColumn="0" w:lastRowFirstColumn="0" w:lastRowLastColumn="0"/>
          <w:tblHeader/>
        </w:trPr>
        <w:tc>
          <w:tcPr>
            <w:tcW w:w="1697" w:type="dxa"/>
          </w:tcPr>
          <w:p w14:paraId="5E20C14A" w14:textId="77777777" w:rsidR="00B40F8B" w:rsidRDefault="00000000">
            <w:pPr>
              <w:pStyle w:val="Compact"/>
            </w:pPr>
            <w:r>
              <w:t>Type</w:t>
            </w:r>
          </w:p>
        </w:tc>
        <w:tc>
          <w:tcPr>
            <w:tcW w:w="1980" w:type="dxa"/>
          </w:tcPr>
          <w:p w14:paraId="29A42B65" w14:textId="77777777" w:rsidR="00B40F8B" w:rsidRDefault="00000000">
            <w:pPr>
              <w:pStyle w:val="Compact"/>
            </w:pPr>
            <w:r>
              <w:t>Limit</w:t>
            </w:r>
          </w:p>
        </w:tc>
        <w:tc>
          <w:tcPr>
            <w:tcW w:w="2262" w:type="dxa"/>
          </w:tcPr>
          <w:p w14:paraId="1A2190AB" w14:textId="77777777" w:rsidR="00B40F8B" w:rsidRDefault="00000000">
            <w:pPr>
              <w:pStyle w:val="Compact"/>
            </w:pPr>
            <w:r>
              <w:t>Holder</w:t>
            </w:r>
          </w:p>
        </w:tc>
        <w:tc>
          <w:tcPr>
            <w:tcW w:w="1980" w:type="dxa"/>
          </w:tcPr>
          <w:p w14:paraId="14B7B4D5" w14:textId="77777777" w:rsidR="00B40F8B" w:rsidRDefault="00000000">
            <w:pPr>
              <w:pStyle w:val="Compact"/>
            </w:pPr>
            <w:r>
              <w:t>Notes</w:t>
            </w:r>
          </w:p>
        </w:tc>
      </w:tr>
      <w:tr w:rsidR="00B40F8B" w14:paraId="65CFF5B6" w14:textId="77777777">
        <w:tc>
          <w:tcPr>
            <w:tcW w:w="1697" w:type="dxa"/>
          </w:tcPr>
          <w:p w14:paraId="4D3617DB" w14:textId="77777777" w:rsidR="00B40F8B" w:rsidRDefault="00000000">
            <w:pPr>
              <w:pStyle w:val="Compact"/>
            </w:pPr>
            <w:r>
              <w:rPr>
                <w:b/>
                <w:bCs/>
              </w:rPr>
              <w:t>General Liability</w:t>
            </w:r>
          </w:p>
        </w:tc>
        <w:tc>
          <w:tcPr>
            <w:tcW w:w="1980" w:type="dxa"/>
          </w:tcPr>
          <w:p w14:paraId="2F3E043A" w14:textId="77777777" w:rsidR="00B40F8B" w:rsidRDefault="00000000">
            <w:pPr>
              <w:pStyle w:val="Compact"/>
            </w:pPr>
            <w:r>
              <w:t>$2M / $5M</w:t>
            </w:r>
          </w:p>
        </w:tc>
        <w:tc>
          <w:tcPr>
            <w:tcW w:w="2262" w:type="dxa"/>
          </w:tcPr>
          <w:p w14:paraId="7934EC79" w14:textId="77777777" w:rsidR="00B40F8B" w:rsidRDefault="00000000">
            <w:pPr>
              <w:pStyle w:val="Compact"/>
            </w:pPr>
            <w:r>
              <w:t>Design-builder</w:t>
            </w:r>
          </w:p>
        </w:tc>
        <w:tc>
          <w:tcPr>
            <w:tcW w:w="1980" w:type="dxa"/>
          </w:tcPr>
          <w:p w14:paraId="7E60E221" w14:textId="77777777" w:rsidR="00B40F8B" w:rsidRDefault="00000000">
            <w:pPr>
              <w:pStyle w:val="Compact"/>
            </w:pPr>
            <w:r>
              <w:t>Occurrence basis; owner as additional insured</w:t>
            </w:r>
          </w:p>
        </w:tc>
      </w:tr>
      <w:tr w:rsidR="00B40F8B" w14:paraId="2D907D96" w14:textId="77777777">
        <w:tc>
          <w:tcPr>
            <w:tcW w:w="1697" w:type="dxa"/>
          </w:tcPr>
          <w:p w14:paraId="76122C58" w14:textId="77777777" w:rsidR="00B40F8B" w:rsidRDefault="00000000">
            <w:pPr>
              <w:pStyle w:val="Compact"/>
            </w:pPr>
            <w:r>
              <w:rPr>
                <w:b/>
                <w:bCs/>
              </w:rPr>
              <w:t>Builder’s Risk</w:t>
            </w:r>
          </w:p>
        </w:tc>
        <w:tc>
          <w:tcPr>
            <w:tcW w:w="1980" w:type="dxa"/>
          </w:tcPr>
          <w:p w14:paraId="323C1505" w14:textId="77777777" w:rsidR="00B40F8B" w:rsidRDefault="00000000">
            <w:pPr>
              <w:pStyle w:val="Compact"/>
            </w:pPr>
            <w:r>
              <w:t>Full project value</w:t>
            </w:r>
          </w:p>
        </w:tc>
        <w:tc>
          <w:tcPr>
            <w:tcW w:w="2262" w:type="dxa"/>
          </w:tcPr>
          <w:p w14:paraId="45FF2DC5" w14:textId="77777777" w:rsidR="00B40F8B" w:rsidRDefault="00000000">
            <w:pPr>
              <w:pStyle w:val="Compact"/>
            </w:pPr>
            <w:r>
              <w:t>Owner or DB</w:t>
            </w:r>
          </w:p>
        </w:tc>
        <w:tc>
          <w:tcPr>
            <w:tcW w:w="1980" w:type="dxa"/>
          </w:tcPr>
          <w:p w14:paraId="698BA6F2" w14:textId="77777777" w:rsidR="00B40F8B" w:rsidRDefault="00000000">
            <w:pPr>
              <w:pStyle w:val="Compact"/>
            </w:pPr>
            <w:r>
              <w:t>All-risk; includes wind, hail, flood</w:t>
            </w:r>
          </w:p>
        </w:tc>
      </w:tr>
      <w:tr w:rsidR="00B40F8B" w14:paraId="2877663B" w14:textId="77777777">
        <w:tc>
          <w:tcPr>
            <w:tcW w:w="1697" w:type="dxa"/>
          </w:tcPr>
          <w:p w14:paraId="1B2EBE02" w14:textId="77777777" w:rsidR="00B40F8B" w:rsidRDefault="00000000">
            <w:pPr>
              <w:pStyle w:val="Compact"/>
            </w:pPr>
            <w:r>
              <w:rPr>
                <w:b/>
                <w:bCs/>
              </w:rPr>
              <w:t>Professional Liability (E&amp;O)</w:t>
            </w:r>
          </w:p>
        </w:tc>
        <w:tc>
          <w:tcPr>
            <w:tcW w:w="1980" w:type="dxa"/>
          </w:tcPr>
          <w:p w14:paraId="6B3C1662" w14:textId="77777777" w:rsidR="00B40F8B" w:rsidRDefault="00000000">
            <w:pPr>
              <w:pStyle w:val="Compact"/>
            </w:pPr>
            <w:r>
              <w:t>$2M</w:t>
            </w:r>
          </w:p>
        </w:tc>
        <w:tc>
          <w:tcPr>
            <w:tcW w:w="2262" w:type="dxa"/>
          </w:tcPr>
          <w:p w14:paraId="7B33AEA0" w14:textId="77777777" w:rsidR="00B40F8B" w:rsidRDefault="00000000">
            <w:pPr>
              <w:pStyle w:val="Compact"/>
            </w:pPr>
            <w:r>
              <w:t>Design team</w:t>
            </w:r>
          </w:p>
        </w:tc>
        <w:tc>
          <w:tcPr>
            <w:tcW w:w="1980" w:type="dxa"/>
          </w:tcPr>
          <w:p w14:paraId="08BF283D" w14:textId="77777777" w:rsidR="00B40F8B" w:rsidRDefault="00000000">
            <w:pPr>
              <w:pStyle w:val="Compact"/>
            </w:pPr>
            <w:r>
              <w:t>Claims-made; 3-year tail coverage</w:t>
            </w:r>
          </w:p>
        </w:tc>
      </w:tr>
      <w:tr w:rsidR="00B40F8B" w14:paraId="450C32C0" w14:textId="77777777">
        <w:tc>
          <w:tcPr>
            <w:tcW w:w="1697" w:type="dxa"/>
          </w:tcPr>
          <w:p w14:paraId="0799B683" w14:textId="77777777" w:rsidR="00B40F8B" w:rsidRDefault="00000000">
            <w:pPr>
              <w:pStyle w:val="Compact"/>
            </w:pPr>
            <w:r>
              <w:rPr>
                <w:b/>
                <w:bCs/>
              </w:rPr>
              <w:t>Workers’ Compensation</w:t>
            </w:r>
          </w:p>
        </w:tc>
        <w:tc>
          <w:tcPr>
            <w:tcW w:w="1980" w:type="dxa"/>
          </w:tcPr>
          <w:p w14:paraId="2EFB613C" w14:textId="77777777" w:rsidR="00B40F8B" w:rsidRDefault="00000000">
            <w:pPr>
              <w:pStyle w:val="Compact"/>
            </w:pPr>
            <w:r>
              <w:t>Statutory</w:t>
            </w:r>
          </w:p>
        </w:tc>
        <w:tc>
          <w:tcPr>
            <w:tcW w:w="2262" w:type="dxa"/>
          </w:tcPr>
          <w:p w14:paraId="7CCE03A0" w14:textId="77777777" w:rsidR="00B40F8B" w:rsidRDefault="00000000">
            <w:pPr>
              <w:pStyle w:val="Compact"/>
            </w:pPr>
            <w:r>
              <w:t>Design-builder</w:t>
            </w:r>
          </w:p>
        </w:tc>
        <w:tc>
          <w:tcPr>
            <w:tcW w:w="1980" w:type="dxa"/>
          </w:tcPr>
          <w:p w14:paraId="066E003F" w14:textId="77777777" w:rsidR="00B40F8B" w:rsidRDefault="00000000">
            <w:pPr>
              <w:pStyle w:val="Compact"/>
            </w:pPr>
            <w:r>
              <w:t>All trades and subcontractors</w:t>
            </w:r>
          </w:p>
        </w:tc>
      </w:tr>
      <w:tr w:rsidR="00B40F8B" w14:paraId="57487151" w14:textId="77777777">
        <w:tc>
          <w:tcPr>
            <w:tcW w:w="1697" w:type="dxa"/>
          </w:tcPr>
          <w:p w14:paraId="0003BCA1" w14:textId="77777777" w:rsidR="00B40F8B" w:rsidRDefault="00000000">
            <w:pPr>
              <w:pStyle w:val="Compact"/>
            </w:pPr>
            <w:r>
              <w:rPr>
                <w:b/>
                <w:bCs/>
              </w:rPr>
              <w:t>Auto Liability</w:t>
            </w:r>
          </w:p>
        </w:tc>
        <w:tc>
          <w:tcPr>
            <w:tcW w:w="1980" w:type="dxa"/>
          </w:tcPr>
          <w:p w14:paraId="2A682DE7" w14:textId="77777777" w:rsidR="00B40F8B" w:rsidRDefault="00000000">
            <w:pPr>
              <w:pStyle w:val="Compact"/>
            </w:pPr>
            <w:r>
              <w:t>$1M</w:t>
            </w:r>
          </w:p>
        </w:tc>
        <w:tc>
          <w:tcPr>
            <w:tcW w:w="2262" w:type="dxa"/>
          </w:tcPr>
          <w:p w14:paraId="79B5C059" w14:textId="77777777" w:rsidR="00B40F8B" w:rsidRDefault="00000000">
            <w:pPr>
              <w:pStyle w:val="Compact"/>
            </w:pPr>
            <w:r>
              <w:t>Design-builder</w:t>
            </w:r>
          </w:p>
        </w:tc>
        <w:tc>
          <w:tcPr>
            <w:tcW w:w="1980" w:type="dxa"/>
          </w:tcPr>
          <w:p w14:paraId="4CA0FE4B" w14:textId="77777777" w:rsidR="00B40F8B" w:rsidRDefault="00000000">
            <w:pPr>
              <w:pStyle w:val="Compact"/>
            </w:pPr>
            <w:r>
              <w:t>Company vehicles</w:t>
            </w:r>
          </w:p>
        </w:tc>
      </w:tr>
      <w:tr w:rsidR="00B40F8B" w14:paraId="068A9ADB" w14:textId="77777777">
        <w:tc>
          <w:tcPr>
            <w:tcW w:w="1697" w:type="dxa"/>
          </w:tcPr>
          <w:p w14:paraId="113003C0" w14:textId="77777777" w:rsidR="00B40F8B" w:rsidRDefault="00000000">
            <w:pPr>
              <w:pStyle w:val="Compact"/>
            </w:pPr>
            <w:r>
              <w:rPr>
                <w:b/>
                <w:bCs/>
              </w:rPr>
              <w:t>Umbrella/Excess</w:t>
            </w:r>
          </w:p>
        </w:tc>
        <w:tc>
          <w:tcPr>
            <w:tcW w:w="1980" w:type="dxa"/>
          </w:tcPr>
          <w:p w14:paraId="7A0C8FA0" w14:textId="77777777" w:rsidR="00B40F8B" w:rsidRDefault="00000000">
            <w:pPr>
              <w:pStyle w:val="Compact"/>
            </w:pPr>
            <w:r>
              <w:t>$10M</w:t>
            </w:r>
          </w:p>
        </w:tc>
        <w:tc>
          <w:tcPr>
            <w:tcW w:w="2262" w:type="dxa"/>
          </w:tcPr>
          <w:p w14:paraId="4EEED3C7" w14:textId="77777777" w:rsidR="00B40F8B" w:rsidRDefault="00000000">
            <w:pPr>
              <w:pStyle w:val="Compact"/>
            </w:pPr>
            <w:r>
              <w:t>Design-builder</w:t>
            </w:r>
          </w:p>
        </w:tc>
        <w:tc>
          <w:tcPr>
            <w:tcW w:w="1980" w:type="dxa"/>
          </w:tcPr>
          <w:p w14:paraId="3B3F4D70" w14:textId="77777777" w:rsidR="00B40F8B" w:rsidRDefault="00000000">
            <w:pPr>
              <w:pStyle w:val="Compact"/>
            </w:pPr>
            <w:r>
              <w:t>Over general liability</w:t>
            </w:r>
          </w:p>
        </w:tc>
      </w:tr>
      <w:tr w:rsidR="00B40F8B" w14:paraId="270EBAD4" w14:textId="77777777">
        <w:tc>
          <w:tcPr>
            <w:tcW w:w="1697" w:type="dxa"/>
          </w:tcPr>
          <w:p w14:paraId="0E637CE2" w14:textId="77777777" w:rsidR="00B40F8B" w:rsidRDefault="00000000">
            <w:pPr>
              <w:pStyle w:val="Compact"/>
            </w:pPr>
            <w:r>
              <w:rPr>
                <w:b/>
                <w:bCs/>
              </w:rPr>
              <w:lastRenderedPageBreak/>
              <w:t>Delay in Startup (DSU)</w:t>
            </w:r>
          </w:p>
        </w:tc>
        <w:tc>
          <w:tcPr>
            <w:tcW w:w="1980" w:type="dxa"/>
          </w:tcPr>
          <w:p w14:paraId="19BA9BDB" w14:textId="77777777" w:rsidR="00B40F8B" w:rsidRDefault="00000000">
            <w:pPr>
              <w:pStyle w:val="Compact"/>
            </w:pPr>
            <w:r>
              <w:t>$5M (optional)</w:t>
            </w:r>
          </w:p>
        </w:tc>
        <w:tc>
          <w:tcPr>
            <w:tcW w:w="2262" w:type="dxa"/>
          </w:tcPr>
          <w:p w14:paraId="26F9EB6A" w14:textId="77777777" w:rsidR="00B40F8B" w:rsidRDefault="00000000">
            <w:pPr>
              <w:pStyle w:val="Compact"/>
            </w:pPr>
            <w:r>
              <w:t>Owner</w:t>
            </w:r>
          </w:p>
        </w:tc>
        <w:tc>
          <w:tcPr>
            <w:tcW w:w="1980" w:type="dxa"/>
          </w:tcPr>
          <w:p w14:paraId="5CC90697" w14:textId="77777777" w:rsidR="00B40F8B" w:rsidRDefault="00000000">
            <w:pPr>
              <w:pStyle w:val="Compact"/>
            </w:pPr>
            <w:r>
              <w:t>Revenue loss if CO delayed &gt;30 days</w:t>
            </w:r>
          </w:p>
        </w:tc>
      </w:tr>
    </w:tbl>
    <w:p w14:paraId="7B222709" w14:textId="77777777" w:rsidR="00B40F8B" w:rsidRDefault="00000000">
      <w:pPr>
        <w:pStyle w:val="Heading3"/>
      </w:pPr>
      <w:bookmarkStart w:id="37" w:name="required-bonds"/>
      <w:bookmarkEnd w:id="36"/>
      <w:r>
        <w:t>Required Bonds</w:t>
      </w:r>
    </w:p>
    <w:tbl>
      <w:tblPr>
        <w:tblStyle w:val="Table"/>
        <w:tblW w:w="5000" w:type="pct"/>
        <w:tblLayout w:type="fixed"/>
        <w:tblLook w:val="0020" w:firstRow="1" w:lastRow="0" w:firstColumn="0" w:lastColumn="0" w:noHBand="0" w:noVBand="0"/>
      </w:tblPr>
      <w:tblGrid>
        <w:gridCol w:w="1853"/>
        <w:gridCol w:w="2471"/>
        <w:gridCol w:w="2471"/>
        <w:gridCol w:w="2781"/>
      </w:tblGrid>
      <w:tr w:rsidR="00B40F8B" w14:paraId="3EB61736" w14:textId="77777777" w:rsidTr="00B40F8B">
        <w:trPr>
          <w:cnfStyle w:val="100000000000" w:firstRow="1" w:lastRow="0" w:firstColumn="0" w:lastColumn="0" w:oddVBand="0" w:evenVBand="0" w:oddHBand="0" w:evenHBand="0" w:firstRowFirstColumn="0" w:firstRowLastColumn="0" w:lastRowFirstColumn="0" w:lastRowLastColumn="0"/>
          <w:tblHeader/>
        </w:trPr>
        <w:tc>
          <w:tcPr>
            <w:tcW w:w="1532" w:type="dxa"/>
          </w:tcPr>
          <w:p w14:paraId="6840842C" w14:textId="77777777" w:rsidR="00B40F8B" w:rsidRDefault="00000000">
            <w:pPr>
              <w:pStyle w:val="Compact"/>
            </w:pPr>
            <w:r>
              <w:t>Type</w:t>
            </w:r>
          </w:p>
        </w:tc>
        <w:tc>
          <w:tcPr>
            <w:tcW w:w="2043" w:type="dxa"/>
          </w:tcPr>
          <w:p w14:paraId="0E1B6839" w14:textId="77777777" w:rsidR="00B40F8B" w:rsidRDefault="00000000">
            <w:pPr>
              <w:pStyle w:val="Compact"/>
            </w:pPr>
            <w:r>
              <w:t>Amount</w:t>
            </w:r>
          </w:p>
        </w:tc>
        <w:tc>
          <w:tcPr>
            <w:tcW w:w="2043" w:type="dxa"/>
          </w:tcPr>
          <w:p w14:paraId="4C7A1D2F" w14:textId="77777777" w:rsidR="00B40F8B" w:rsidRDefault="00000000">
            <w:pPr>
              <w:pStyle w:val="Compact"/>
            </w:pPr>
            <w:r>
              <w:t>Holder</w:t>
            </w:r>
          </w:p>
        </w:tc>
        <w:tc>
          <w:tcPr>
            <w:tcW w:w="2299" w:type="dxa"/>
          </w:tcPr>
          <w:p w14:paraId="03BE830C" w14:textId="77777777" w:rsidR="00B40F8B" w:rsidRDefault="00000000">
            <w:pPr>
              <w:pStyle w:val="Compact"/>
            </w:pPr>
            <w:r>
              <w:t>Purpose</w:t>
            </w:r>
          </w:p>
        </w:tc>
      </w:tr>
      <w:tr w:rsidR="00B40F8B" w14:paraId="6A278FA7" w14:textId="77777777">
        <w:tc>
          <w:tcPr>
            <w:tcW w:w="1532" w:type="dxa"/>
          </w:tcPr>
          <w:p w14:paraId="6AA540C4" w14:textId="77777777" w:rsidR="00B40F8B" w:rsidRDefault="00000000">
            <w:pPr>
              <w:pStyle w:val="Compact"/>
            </w:pPr>
            <w:r>
              <w:rPr>
                <w:b/>
                <w:bCs/>
              </w:rPr>
              <w:t>Bid Bond</w:t>
            </w:r>
          </w:p>
        </w:tc>
        <w:tc>
          <w:tcPr>
            <w:tcW w:w="2043" w:type="dxa"/>
          </w:tcPr>
          <w:p w14:paraId="60B28A59" w14:textId="77777777" w:rsidR="00B40F8B" w:rsidRDefault="00000000">
            <w:pPr>
              <w:pStyle w:val="Compact"/>
            </w:pPr>
            <w:r>
              <w:t>10% of bid</w:t>
            </w:r>
          </w:p>
        </w:tc>
        <w:tc>
          <w:tcPr>
            <w:tcW w:w="2043" w:type="dxa"/>
          </w:tcPr>
          <w:p w14:paraId="3C726ECB" w14:textId="77777777" w:rsidR="00B40F8B" w:rsidRDefault="00000000">
            <w:pPr>
              <w:pStyle w:val="Compact"/>
            </w:pPr>
            <w:r>
              <w:t>Owner</w:t>
            </w:r>
          </w:p>
        </w:tc>
        <w:tc>
          <w:tcPr>
            <w:tcW w:w="2299" w:type="dxa"/>
          </w:tcPr>
          <w:p w14:paraId="0D114242" w14:textId="77777777" w:rsidR="00B40F8B" w:rsidRDefault="00000000">
            <w:pPr>
              <w:pStyle w:val="Compact"/>
            </w:pPr>
            <w:r>
              <w:t>Guarantees bidder will sign contract if awarded</w:t>
            </w:r>
          </w:p>
        </w:tc>
      </w:tr>
      <w:tr w:rsidR="00B40F8B" w14:paraId="3A1087A4" w14:textId="77777777">
        <w:tc>
          <w:tcPr>
            <w:tcW w:w="1532" w:type="dxa"/>
          </w:tcPr>
          <w:p w14:paraId="0ABEE3EB" w14:textId="77777777" w:rsidR="00B40F8B" w:rsidRDefault="00000000">
            <w:pPr>
              <w:pStyle w:val="Compact"/>
            </w:pPr>
            <w:r>
              <w:rPr>
                <w:b/>
                <w:bCs/>
              </w:rPr>
              <w:t>Performance Bond</w:t>
            </w:r>
          </w:p>
        </w:tc>
        <w:tc>
          <w:tcPr>
            <w:tcW w:w="2043" w:type="dxa"/>
          </w:tcPr>
          <w:p w14:paraId="583A7793" w14:textId="77777777" w:rsidR="00B40F8B" w:rsidRDefault="00000000">
            <w:pPr>
              <w:pStyle w:val="Compact"/>
            </w:pPr>
            <w:r>
              <w:t>100% of GMP</w:t>
            </w:r>
          </w:p>
        </w:tc>
        <w:tc>
          <w:tcPr>
            <w:tcW w:w="2043" w:type="dxa"/>
          </w:tcPr>
          <w:p w14:paraId="560A2E00" w14:textId="77777777" w:rsidR="00B40F8B" w:rsidRDefault="00000000">
            <w:pPr>
              <w:pStyle w:val="Compact"/>
            </w:pPr>
            <w:r>
              <w:t>Owner</w:t>
            </w:r>
          </w:p>
        </w:tc>
        <w:tc>
          <w:tcPr>
            <w:tcW w:w="2299" w:type="dxa"/>
          </w:tcPr>
          <w:p w14:paraId="5F93898B" w14:textId="77777777" w:rsidR="00B40F8B" w:rsidRDefault="00000000">
            <w:pPr>
              <w:pStyle w:val="Compact"/>
            </w:pPr>
            <w:r>
              <w:t>Guarantees completion per contract</w:t>
            </w:r>
          </w:p>
        </w:tc>
      </w:tr>
      <w:tr w:rsidR="00B40F8B" w14:paraId="11FEB745" w14:textId="77777777">
        <w:tc>
          <w:tcPr>
            <w:tcW w:w="1532" w:type="dxa"/>
          </w:tcPr>
          <w:p w14:paraId="273078DE" w14:textId="77777777" w:rsidR="00B40F8B" w:rsidRDefault="00000000">
            <w:pPr>
              <w:pStyle w:val="Compact"/>
            </w:pPr>
            <w:r>
              <w:rPr>
                <w:b/>
                <w:bCs/>
              </w:rPr>
              <w:t>Payment Bond</w:t>
            </w:r>
          </w:p>
        </w:tc>
        <w:tc>
          <w:tcPr>
            <w:tcW w:w="2043" w:type="dxa"/>
          </w:tcPr>
          <w:p w14:paraId="0999B1C5" w14:textId="77777777" w:rsidR="00B40F8B" w:rsidRDefault="00000000">
            <w:pPr>
              <w:pStyle w:val="Compact"/>
            </w:pPr>
            <w:r>
              <w:t>100% of GMP</w:t>
            </w:r>
          </w:p>
        </w:tc>
        <w:tc>
          <w:tcPr>
            <w:tcW w:w="2043" w:type="dxa"/>
          </w:tcPr>
          <w:p w14:paraId="6845933A" w14:textId="77777777" w:rsidR="00B40F8B" w:rsidRDefault="00000000">
            <w:pPr>
              <w:pStyle w:val="Compact"/>
            </w:pPr>
            <w:r>
              <w:t>Owner + Subs</w:t>
            </w:r>
          </w:p>
        </w:tc>
        <w:tc>
          <w:tcPr>
            <w:tcW w:w="2299" w:type="dxa"/>
          </w:tcPr>
          <w:p w14:paraId="502E0EE8" w14:textId="77777777" w:rsidR="00B40F8B" w:rsidRDefault="00000000">
            <w:pPr>
              <w:pStyle w:val="Compact"/>
            </w:pPr>
            <w:r>
              <w:t>Guarantees payment to subcontractors and suppliers</w:t>
            </w:r>
          </w:p>
        </w:tc>
      </w:tr>
      <w:tr w:rsidR="00B40F8B" w14:paraId="2D8EDDAB" w14:textId="77777777">
        <w:tc>
          <w:tcPr>
            <w:tcW w:w="1532" w:type="dxa"/>
          </w:tcPr>
          <w:p w14:paraId="73C99580" w14:textId="77777777" w:rsidR="00B40F8B" w:rsidRDefault="00000000">
            <w:pPr>
              <w:pStyle w:val="Compact"/>
            </w:pPr>
            <w:r>
              <w:rPr>
                <w:b/>
                <w:bCs/>
              </w:rPr>
              <w:t>Warranty Bond</w:t>
            </w:r>
          </w:p>
        </w:tc>
        <w:tc>
          <w:tcPr>
            <w:tcW w:w="2043" w:type="dxa"/>
          </w:tcPr>
          <w:p w14:paraId="17793BA0" w14:textId="77777777" w:rsidR="00B40F8B" w:rsidRDefault="00000000">
            <w:pPr>
              <w:pStyle w:val="Compact"/>
            </w:pPr>
            <w:r>
              <w:t>50% of GMP</w:t>
            </w:r>
          </w:p>
        </w:tc>
        <w:tc>
          <w:tcPr>
            <w:tcW w:w="2043" w:type="dxa"/>
          </w:tcPr>
          <w:p w14:paraId="20F120CD" w14:textId="77777777" w:rsidR="00B40F8B" w:rsidRDefault="00000000">
            <w:pPr>
              <w:pStyle w:val="Compact"/>
            </w:pPr>
            <w:r>
              <w:t>Owner</w:t>
            </w:r>
          </w:p>
        </w:tc>
        <w:tc>
          <w:tcPr>
            <w:tcW w:w="2299" w:type="dxa"/>
          </w:tcPr>
          <w:p w14:paraId="5D840A60" w14:textId="77777777" w:rsidR="00B40F8B" w:rsidRDefault="00000000">
            <w:pPr>
              <w:pStyle w:val="Compact"/>
            </w:pPr>
            <w:r>
              <w:t>Guarantees warranty obligations (optional)</w:t>
            </w:r>
          </w:p>
        </w:tc>
      </w:tr>
    </w:tbl>
    <w:p w14:paraId="5CDAA5F6" w14:textId="77777777" w:rsidR="00B40F8B" w:rsidRDefault="00000000">
      <w:pPr>
        <w:pStyle w:val="BodyText"/>
      </w:pPr>
      <w:r>
        <w:rPr>
          <w:b/>
          <w:bCs/>
        </w:rPr>
        <w:t>Surety Requirements:</w:t>
      </w:r>
      <w:r>
        <w:t xml:space="preserve"> - A.M. Best rating: A- or better - Treasury-listed surety company</w:t>
      </w:r>
    </w:p>
    <w:p w14:paraId="4B1DBB16" w14:textId="77777777" w:rsidR="00B40F8B" w:rsidRDefault="00000000">
      <w:r>
        <w:pict w14:anchorId="5172D621">
          <v:rect id="_x0000_i1038" style="width:0;height:1.5pt" o:hralign="center" o:hrstd="t" o:hr="t"/>
        </w:pict>
      </w:r>
    </w:p>
    <w:p w14:paraId="4E9F2A56" w14:textId="77777777" w:rsidR="00B40F8B" w:rsidRDefault="00000000">
      <w:pPr>
        <w:pStyle w:val="Heading2"/>
      </w:pPr>
      <w:bookmarkStart w:id="38" w:name="closeout-warranty"/>
      <w:bookmarkEnd w:id="35"/>
      <w:bookmarkEnd w:id="37"/>
      <w:r>
        <w:t>0.13 CLOSEOUT &amp; WARRANTY</w:t>
      </w:r>
    </w:p>
    <w:p w14:paraId="4B27FBEF" w14:textId="77777777" w:rsidR="00B40F8B" w:rsidRDefault="00000000">
      <w:pPr>
        <w:pStyle w:val="Heading3"/>
      </w:pPr>
      <w:bookmarkStart w:id="39" w:name="substantial-completion-requirements"/>
      <w:r>
        <w:t>Substantial Completion Requirements</w:t>
      </w:r>
    </w:p>
    <w:p w14:paraId="57F8DFBB" w14:textId="77777777" w:rsidR="00B40F8B" w:rsidRDefault="00000000">
      <w:pPr>
        <w:pStyle w:val="FirstParagraph"/>
      </w:pPr>
      <w:r>
        <w:rPr>
          <w:b/>
          <w:bCs/>
        </w:rPr>
        <w:t>Criteria for Substantial Completion:</w:t>
      </w:r>
      <w:r>
        <w:t xml:space="preserve"> - Certificate of Occupancy (CO) issued by AHJ - All systems commissioned and passing Integrated Systems Test (IST) - Punchlist &lt;50 items (no life-safety or critical MEP items) - As-built drawings and O&amp;M manuals (draft) submitted - Training completed (40 hours per discipline)</w:t>
      </w:r>
    </w:p>
    <w:p w14:paraId="01ABF5F5" w14:textId="77777777" w:rsidR="00B40F8B" w:rsidRDefault="00000000">
      <w:pPr>
        <w:pStyle w:val="BodyText"/>
      </w:pPr>
      <w:r>
        <w:rPr>
          <w:b/>
          <w:bCs/>
        </w:rPr>
        <w:t>Substantial Completion Deliverables:</w:t>
      </w:r>
      <w:r>
        <w:t xml:space="preserve"> - Commissioning Final Report (CxA) - Test &amp; Balance (TAB) Report - NETA electrical acceptance test report - Fire suppression acceptance test certificate - As-built drawings (red-line mark-ups) - O&amp;M manuals (draft, 3 copies) - Warranty register (all equipment warranties with start dates)</w:t>
      </w:r>
    </w:p>
    <w:p w14:paraId="3D07767F" w14:textId="77777777" w:rsidR="00B40F8B" w:rsidRDefault="00000000">
      <w:pPr>
        <w:pStyle w:val="Heading3"/>
      </w:pPr>
      <w:bookmarkStart w:id="40" w:name="final-completion-requirements"/>
      <w:bookmarkEnd w:id="39"/>
      <w:r>
        <w:t>Final Completion Requirements</w:t>
      </w:r>
    </w:p>
    <w:p w14:paraId="6259AC58" w14:textId="77777777" w:rsidR="00B40F8B" w:rsidRDefault="00000000">
      <w:pPr>
        <w:pStyle w:val="FirstParagraph"/>
      </w:pPr>
      <w:r>
        <w:rPr>
          <w:b/>
          <w:bCs/>
        </w:rPr>
        <w:t>Criteria for Final Completion:</w:t>
      </w:r>
      <w:r>
        <w:t xml:space="preserve"> - Punchlist 100% complete - As-built drawings finalized (CAD/BIM + PDF) - O&amp;M manuals finalized (3 hard copy sets + digital) - Final payment application submitted - Lien waivers from all subcontractors and suppliers</w:t>
      </w:r>
    </w:p>
    <w:p w14:paraId="2535A461" w14:textId="77777777" w:rsidR="00B40F8B" w:rsidRDefault="00000000">
      <w:pPr>
        <w:pStyle w:val="BodyText"/>
      </w:pPr>
      <w:r>
        <w:rPr>
          <w:b/>
          <w:bCs/>
        </w:rPr>
        <w:t>Final Completion Deliverables:</w:t>
      </w:r>
      <w:r>
        <w:t xml:space="preserve"> - Final as-built drawings (AutoCAD DWG, IFC BIM, PDF) - Final O&amp;M manuals (searchable PDFs + 3-ring binders) - Spare parts (filters, UPS batteries, sensors, control boards) - Training videos and quick-reference guides - DCIM database populated (all assets registered) - Warranty certificates (original documents)</w:t>
      </w:r>
    </w:p>
    <w:p w14:paraId="15EFF31C" w14:textId="77777777" w:rsidR="00B40F8B" w:rsidRDefault="00000000">
      <w:pPr>
        <w:pStyle w:val="Heading3"/>
      </w:pPr>
      <w:bookmarkStart w:id="41" w:name="warranty-period"/>
      <w:bookmarkEnd w:id="40"/>
      <w:r>
        <w:lastRenderedPageBreak/>
        <w:t>Warranty Period</w:t>
      </w:r>
    </w:p>
    <w:p w14:paraId="314E32CB" w14:textId="77777777" w:rsidR="00B40F8B" w:rsidRDefault="00000000">
      <w:pPr>
        <w:pStyle w:val="FirstParagraph"/>
      </w:pPr>
      <w:r>
        <w:rPr>
          <w:b/>
          <w:bCs/>
        </w:rPr>
        <w:t>Standard Warranty:</w:t>
      </w:r>
      <w:r>
        <w:t xml:space="preserve"> 1 year from Substantial Completion - Covers all labor and materials - Design-builder responsible for defect repair</w:t>
      </w:r>
    </w:p>
    <w:p w14:paraId="1FFF6360" w14:textId="77777777" w:rsidR="00B40F8B" w:rsidRDefault="00000000">
      <w:pPr>
        <w:pStyle w:val="BodyText"/>
      </w:pPr>
      <w:r>
        <w:rPr>
          <w:b/>
          <w:bCs/>
        </w:rPr>
        <w:t>Extended Warranties (Negotiated with Vendors):</w:t>
      </w:r>
      <w:r>
        <w:t xml:space="preserve"> - UPS batteries: 5-10 years (pro-rated) - Generator engines: 5 years or 5,000 hours - Chiller compressors: 10 years - Roof membrane: 20 years (manufacturer NDL warranty)</w:t>
      </w:r>
    </w:p>
    <w:p w14:paraId="2394143F" w14:textId="77777777" w:rsidR="00B40F8B" w:rsidRDefault="00000000">
      <w:pPr>
        <w:pStyle w:val="BodyText"/>
      </w:pPr>
      <w:r>
        <w:rPr>
          <w:b/>
          <w:bCs/>
        </w:rPr>
        <w:t>Warranty Call Process:</w:t>
      </w:r>
      <w:r>
        <w:t xml:space="preserve"> 1. Owner reports defect to design-builder 2. Design-builder responds within 24 hours (emergency) or 5 days (non-emergency) 3. Design-builder repairs at no cost to owner 4. If design-builder fails to respond, owner may self-perform and back-charge</w:t>
      </w:r>
    </w:p>
    <w:p w14:paraId="02D97B79" w14:textId="77777777" w:rsidR="00B40F8B" w:rsidRDefault="00000000">
      <w:r>
        <w:pict w14:anchorId="3D8D96DE">
          <v:rect id="_x0000_i1039" style="width:0;height:1.5pt" o:hralign="center" o:hrstd="t" o:hr="t"/>
        </w:pict>
      </w:r>
    </w:p>
    <w:p w14:paraId="6C62887A" w14:textId="77777777" w:rsidR="00B40F8B" w:rsidRDefault="00000000">
      <w:pPr>
        <w:pStyle w:val="Heading2"/>
      </w:pPr>
      <w:bookmarkStart w:id="42" w:name="summary"/>
      <w:bookmarkEnd w:id="38"/>
      <w:bookmarkEnd w:id="41"/>
      <w:r>
        <w:t>SUMMARY</w:t>
      </w:r>
    </w:p>
    <w:p w14:paraId="1B1AA104" w14:textId="77777777" w:rsidR="00B40F8B" w:rsidRDefault="00000000">
      <w:pPr>
        <w:pStyle w:val="FirstParagraph"/>
      </w:pPr>
      <w:r>
        <w:t>CSI Division 00 establishes the procurement and contracting framework for the Pryor Data Center project. Key elements include:</w:t>
      </w:r>
    </w:p>
    <w:p w14:paraId="679FE833" w14:textId="77777777" w:rsidR="00B40F8B" w:rsidRDefault="00000000">
      <w:pPr>
        <w:pStyle w:val="BodyText"/>
      </w:pPr>
      <w:r>
        <w:t xml:space="preserve">✅ </w:t>
      </w:r>
      <w:r>
        <w:rPr>
          <w:b/>
          <w:bCs/>
        </w:rPr>
        <w:t>Delivery Method:</w:t>
      </w:r>
      <w:r>
        <w:t xml:space="preserve"> Design-Build (DB) with Guaranteed Maximum Price (GMP) for fast-track schedule, single-point responsibility, and performance guarantees</w:t>
      </w:r>
      <w:r>
        <w:br/>
        <w:t xml:space="preserve">✅ </w:t>
      </w:r>
      <w:r>
        <w:rPr>
          <w:b/>
          <w:bCs/>
        </w:rPr>
        <w:t>Procurement Strategy:</w:t>
      </w:r>
      <w:r>
        <w:t xml:space="preserve"> Phased approach with early engagement of long-lead vendors (switchgear, UPS, generators, chillers); competitive bidding for subcontractors</w:t>
      </w:r>
      <w:r>
        <w:br/>
        <w:t xml:space="preserve">✅ </w:t>
      </w:r>
      <w:r>
        <w:rPr>
          <w:b/>
          <w:bCs/>
        </w:rPr>
        <w:t>Vendor Selection:</w:t>
      </w:r>
      <w:r>
        <w:t xml:space="preserve"> Tier 1 vendors only for critical systems; pre-qualification based on experience, financial stability, and service network</w:t>
      </w:r>
      <w:r>
        <w:br/>
        <w:t xml:space="preserve">✅ </w:t>
      </w:r>
      <w:r>
        <w:rPr>
          <w:b/>
          <w:bCs/>
        </w:rPr>
        <w:t>Risk Allocation:</w:t>
      </w:r>
      <w:r>
        <w:t xml:space="preserve"> Design-builder assumes design and construction risk; owner retains site conditions and utility coordination risk; shared responsibility for permitting</w:t>
      </w:r>
      <w:r>
        <w:br/>
        <w:t xml:space="preserve">✅ </w:t>
      </w:r>
      <w:r>
        <w:rPr>
          <w:b/>
          <w:bCs/>
        </w:rPr>
        <w:t>Performance Guarantees:</w:t>
      </w:r>
      <w:r>
        <w:t xml:space="preserve"> PUE ≤ 1.4 at 50% load, Tier III uptime, 3 MW capacity; liquidated damages and early completion incentives</w:t>
      </w:r>
      <w:r>
        <w:br/>
        <w:t xml:space="preserve">✅ </w:t>
      </w:r>
      <w:r>
        <w:rPr>
          <w:b/>
          <w:bCs/>
        </w:rPr>
        <w:t>Quality Assurance:</w:t>
      </w:r>
      <w:r>
        <w:t xml:space="preserve"> Independent CxA, factory acceptance tests, third-party material testing, and rigorous commissioning</w:t>
      </w:r>
    </w:p>
    <w:p w14:paraId="7C9BCCE2" w14:textId="77777777" w:rsidR="00B40F8B" w:rsidRDefault="00000000">
      <w:pPr>
        <w:pStyle w:val="BodyText"/>
      </w:pPr>
      <w:r>
        <w:rPr>
          <w:b/>
          <w:bCs/>
        </w:rPr>
        <w:t>Next Steps:</w:t>
      </w:r>
      <w:r>
        <w:t xml:space="preserve"> - Issue RFQ to pre-qualify design-build teams (3-5 firms) - Issue RFP to shortlisted teams with Owner’s Project Requirements (OPR) and Basis of Design - Evaluate proposals and award contract (best-value, not lowest price) - Negotiate GMP after 65% design development - Begin long-lead equipment procurement immediately after contract award</w:t>
      </w:r>
    </w:p>
    <w:p w14:paraId="000FEA93" w14:textId="77777777" w:rsidR="00B40F8B" w:rsidRDefault="00000000">
      <w:r>
        <w:pict w14:anchorId="7BE1852E">
          <v:rect id="_x0000_i1040" style="width:0;height:1.5pt" o:hralign="center" o:hrstd="t" o:hr="t"/>
        </w:pict>
      </w:r>
    </w:p>
    <w:p w14:paraId="7DA6AF3D" w14:textId="77777777" w:rsidR="00B40F8B" w:rsidRDefault="00000000">
      <w:pPr>
        <w:pStyle w:val="FirstParagraph"/>
      </w:pPr>
      <w:r>
        <w:rPr>
          <w:b/>
          <w:bCs/>
        </w:rPr>
        <w:t>Related Documents:</w:t>
      </w:r>
      <w:r>
        <w:t xml:space="preserve"> - [[Saga Pryor DC/Basis of Design/Erik_BOD_Updated/1BOD - General Requirements (CSI Div 01)]] (project administration, commissioning) - [[Saga Pryor DC/Basis of Design/Erik_BOD_Updated/2BOD - Facility Construction (CSI Divs 02-14)]] (building shell and core) - [[Saga Pryor DC/Basis of Design/Erik_BOD_Updated/3BOD - Site </w:t>
      </w:r>
      <w:r>
        <w:lastRenderedPageBreak/>
        <w:t>&amp; Infrastructure (CSI Divs 31-32)]] (site work, utilities) - [[Saga Pryor DC/Basis of Design/Erik_BOD_Updated/_BOD - Exec Summary and TOC]] (master TOC)</w:t>
      </w:r>
      <w:bookmarkEnd w:id="0"/>
      <w:bookmarkEnd w:id="42"/>
    </w:p>
    <w:sectPr w:rsidR="00B40F8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14CB3F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766101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30008141">
    <w:abstractNumId w:val="0"/>
  </w:num>
  <w:num w:numId="2" w16cid:durableId="1919289502">
    <w:abstractNumId w:val="1"/>
  </w:num>
  <w:num w:numId="3" w16cid:durableId="1224409099">
    <w:abstractNumId w:val="1"/>
  </w:num>
  <w:num w:numId="4" w16cid:durableId="1152989384">
    <w:abstractNumId w:val="1"/>
  </w:num>
  <w:num w:numId="5" w16cid:durableId="1047341139">
    <w:abstractNumId w:val="1"/>
  </w:num>
  <w:num w:numId="6" w16cid:durableId="157382945">
    <w:abstractNumId w:val="1"/>
  </w:num>
  <w:num w:numId="7" w16cid:durableId="802769413">
    <w:abstractNumId w:val="1"/>
  </w:num>
  <w:num w:numId="8" w16cid:durableId="46685516">
    <w:abstractNumId w:val="1"/>
  </w:num>
  <w:num w:numId="9" w16cid:durableId="11272766">
    <w:abstractNumId w:val="1"/>
  </w:num>
  <w:num w:numId="10" w16cid:durableId="1743454252">
    <w:abstractNumId w:val="1"/>
  </w:num>
  <w:num w:numId="11" w16cid:durableId="1872255034">
    <w:abstractNumId w:val="1"/>
  </w:num>
  <w:num w:numId="12" w16cid:durableId="746802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B40F8B"/>
    <w:rsid w:val="007D6E45"/>
    <w:rsid w:val="00B40F8B"/>
    <w:rsid w:val="00E9326C"/>
    <w:rsid w:val="00F7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21E1"/>
  <w15:docId w15:val="{28BB97BA-DF8C-4693-86A5-022E15F8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15</Pages>
  <Words>3723</Words>
  <Characters>21224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Erik Stockglausner</cp:lastModifiedBy>
  <cp:revision>2</cp:revision>
  <dcterms:created xsi:type="dcterms:W3CDTF">2025-10-30T05:34:00Z</dcterms:created>
  <dcterms:modified xsi:type="dcterms:W3CDTF">2025-10-30T12:58:00Z</dcterms:modified>
</cp:coreProperties>
</file>