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Updated from:</w:t>
      </w:r>
      <w:r>
        <w:t xml:space="preserve"> </w:t>
      </w:r>
      <w:r>
        <w:t xml:space="preserve">Pryor_Bod_EVS_Rev01.md</w:t>
      </w:r>
    </w:p>
    <w:bookmarkStart w:id="41" w:name="basis-of-design---fire-suppression"/>
    <w:p>
      <w:pPr>
        <w:pStyle w:val="Heading1"/>
      </w:pPr>
      <w:r>
        <w:t xml:space="preserve">BASIS OF DESIGN - FIRE SUPPRESSION</w:t>
      </w:r>
    </w:p>
    <w:bookmarkStart w:id="10" w:name="csi-division-21"/>
    <w:p>
      <w:pPr>
        <w:pStyle w:val="Heading2"/>
      </w:pPr>
      <w:r>
        <w:t xml:space="preserve">CSI Division 21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Fire protection systems protect personnel, IT equipment, and facility infrastructure while meeting NFPA, IBC, FM Global, and insurance requirements. Multi-layered approach includes early detection, automatic suppression, and clear egress paths.</w:t>
      </w:r>
    </w:p>
    <w:p>
      <w:pPr>
        <w:pStyle w:val="BodyText"/>
      </w:pPr>
      <w:r>
        <w:rPr>
          <w:b/>
          <w:bCs/>
        </w:rPr>
        <w:t xml:space="preserve">Design Philosophy: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Very early detection:</w:t>
      </w:r>
      <w:r>
        <w:t xml:space="preserve"> </w:t>
      </w:r>
      <w:r>
        <w:t xml:space="preserve">VESDA (Very Early Smoke Detection Apparatus) in data halls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Zoned preaction sprinkler:</w:t>
      </w:r>
      <w:r>
        <w:t xml:space="preserve"> </w:t>
      </w:r>
      <w:r>
        <w:t xml:space="preserve">Primary suppression system for data halls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Life safety first:</w:t>
      </w:r>
      <w:r>
        <w:t xml:space="preserve"> </w:t>
      </w:r>
      <w:r>
        <w:t xml:space="preserve">Clear egress, emergency lighting, notification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Insurance compliance:</w:t>
      </w:r>
      <w:r>
        <w:t xml:space="preserve"> </w:t>
      </w:r>
      <w:r>
        <w:t xml:space="preserve">FM Global approval for premium reduction</w:t>
      </w:r>
    </w:p>
    <w:p>
      <w:r>
        <w:pict>
          <v:rect style="width:0;height:1.5pt" o:hralign="center" o:hrstd="t" o:hr="t"/>
        </w:pict>
      </w:r>
    </w:p>
    <w:bookmarkEnd w:id="11"/>
    <w:bookmarkStart w:id="16" w:name="fire-suppression-strategy"/>
    <w:p>
      <w:pPr>
        <w:pStyle w:val="Heading2"/>
      </w:pPr>
      <w:r>
        <w:t xml:space="preserve">FIRE SUPPRESSION STRATEGY</w:t>
      </w:r>
    </w:p>
    <w:bookmarkStart w:id="12" w:name="X9e31aa93bb08238f1526e0162b7c839d692cb84"/>
    <w:p>
      <w:pPr>
        <w:pStyle w:val="Heading3"/>
      </w:pPr>
      <w:r>
        <w:t xml:space="preserve">Data Hall 1 (10,000 SF White Space - Orange Zone CP 4)</w:t>
      </w:r>
    </w:p>
    <w:p>
      <w:pPr>
        <w:pStyle w:val="FirstParagraph"/>
      </w:pPr>
      <w:r>
        <w:rPr>
          <w:b/>
          <w:bCs/>
        </w:rPr>
        <w:t xml:space="preserve">System Type: ZONED PREACTION SPRINKLER (Primary System)</w:t>
      </w:r>
    </w:p>
    <w:p>
      <w:pPr>
        <w:pStyle w:val="BodyText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Zoned dual-interlock preaction system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Zones:</w:t>
      </w:r>
      <w:r>
        <w:t xml:space="preserve"> </w:t>
      </w:r>
      <w:r>
        <w:t xml:space="preserve">Multiple independent zones for targeted suppression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Activation sequence:</w:t>
      </w:r>
      <w:r>
        <w:t xml:space="preserve"> </w:t>
      </w:r>
      <w:r>
        <w:t xml:space="preserve">1. VESDA detects smoke → pre-alarm (investigate)</w:t>
      </w:r>
      <w:r>
        <w:t xml:space="preserve"> </w:t>
      </w:r>
      <w:r>
        <w:t xml:space="preserve">2. Second detection zone confirms → alarm</w:t>
      </w:r>
      <w:r>
        <w:t xml:space="preserve"> </w:t>
      </w:r>
      <w:r>
        <w:t xml:space="preserve">3. Heat activation (sprinkler fusible link) → water release to specific zone only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Benefit:</w:t>
      </w:r>
      <w:r>
        <w:t xml:space="preserve"> </w:t>
      </w:r>
      <w:r>
        <w:t xml:space="preserve">Dry pipe until both smoke + heat detected; zoned activation limits water discharge area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Sprinkler heads:</w:t>
      </w:r>
      <w:r>
        <w:t xml:space="preserve"> </w:t>
      </w:r>
      <w:r>
        <w:t xml:space="preserve">ESFR (Early Suppression Fast Response), K-25.2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Coverage:</w:t>
      </w:r>
      <w:r>
        <w:t xml:space="preserve"> </w:t>
      </w:r>
      <w:r>
        <w:t xml:space="preserve">Per NFPA 13 (130-200 SF per head for data center)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Water demand:</w:t>
      </w:r>
      <w:r>
        <w:t xml:space="preserve"> </w:t>
      </w:r>
      <w:r>
        <w:t xml:space="preserve">[ROM] 1,500-2,000 GPM @ 70 psi (full system)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Zoned demand:</w:t>
      </w:r>
      <w:r>
        <w:t xml:space="preserve"> </w:t>
      </w:r>
      <w:r>
        <w:t xml:space="preserve">Lower flow rate per zone activation (typical 500-800 GPM per zone)</w:t>
      </w:r>
    </w:p>
    <w:p>
      <w:pPr>
        <w:pStyle w:val="BodyText"/>
      </w:pPr>
      <w:r>
        <w:rPr>
          <w:b/>
          <w:bCs/>
        </w:rPr>
        <w:t xml:space="preserve">DDC Cabinet Integrated Suppression:</w:t>
      </w:r>
      <w:r>
        <w:t xml:space="preserve"> </w:t>
      </w:r>
      <w:r>
        <w:t xml:space="preserve">- DDC cabinets include factory-integrated fire suppression</w:t>
      </w:r>
      <w:r>
        <w:t xml:space="preserve"> </w:t>
      </w:r>
      <w:r>
        <w:t xml:space="preserve">- Coordinates with building preaction system</w:t>
      </w:r>
      <w:r>
        <w:t xml:space="preserve"> </w:t>
      </w:r>
      <w:r>
        <w:t xml:space="preserve">- Provides additional protection at cabinet level</w:t>
      </w:r>
    </w:p>
    <w:bookmarkEnd w:id="12"/>
    <w:bookmarkStart w:id="13" w:name="data-hall-2-future-fit-out"/>
    <w:p>
      <w:pPr>
        <w:pStyle w:val="Heading3"/>
      </w:pPr>
      <w:r>
        <w:t xml:space="preserve">Data Hall 2 (Future Fit-Out)</w:t>
      </w:r>
    </w:p>
    <w:p>
      <w:pPr>
        <w:pStyle w:val="Compact"/>
        <w:numPr>
          <w:ilvl w:val="0"/>
          <w:numId w:val="1001"/>
        </w:numPr>
      </w:pPr>
      <w:r>
        <w:t xml:space="preserve">Same system type as Data Hall 1</w:t>
      </w:r>
    </w:p>
    <w:p>
      <w:pPr>
        <w:pStyle w:val="Compact"/>
        <w:numPr>
          <w:ilvl w:val="0"/>
          <w:numId w:val="1001"/>
        </w:numPr>
      </w:pPr>
      <w:r>
        <w:t xml:space="preserve">Installed with shell or deferred to tenant fit-out</w:t>
      </w:r>
    </w:p>
    <w:bookmarkEnd w:id="13"/>
    <w:bookmarkStart w:id="14" w:name="Xbbc331e2b92c42d18fb33c3abfd49a645b0ee52"/>
    <w:p>
      <w:pPr>
        <w:pStyle w:val="Heading3"/>
      </w:pPr>
      <w:r>
        <w:t xml:space="preserve">Prefabricated Power Delivery Modules (PDMs)</w:t>
      </w:r>
    </w:p>
    <w:p>
      <w:pPr>
        <w:pStyle w:val="FirstParagraph"/>
      </w:pPr>
      <w:r>
        <w:rPr>
          <w:b/>
          <w:bCs/>
        </w:rPr>
        <w:t xml:space="preserve">2 × Outdoor PDMs (Phase 1)</w:t>
      </w:r>
    </w:p>
    <w:p>
      <w:pPr>
        <w:pStyle w:val="BodyText"/>
      </w:pPr>
      <w:r>
        <w:rPr>
          <w:b/>
          <w:bCs/>
        </w:rPr>
        <w:t xml:space="preserve">System Type:</w:t>
      </w:r>
      <w:r>
        <w:t xml:space="preserve"> </w:t>
      </w:r>
      <w:r>
        <w:t xml:space="preserve">Clean agent or other suppression per NFPA standards</w:t>
      </w:r>
    </w:p>
    <w:p>
      <w:pPr>
        <w:pStyle w:val="BodyText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 Factory-installed clean agent (FM-200, Novec 1230) or water mist per NFPA 2001/NFPA 750</w:t>
      </w:r>
      <w:r>
        <w:t xml:space="preserve"> </w:t>
      </w:r>
      <w:r>
        <w:t xml:space="preserve">- Cylinder bank sized for PDM enclosure volume</w:t>
      </w:r>
      <w:r>
        <w:t xml:space="preserve"> </w:t>
      </w:r>
      <w:r>
        <w:t xml:space="preserve">- Automatic discharge on smoke detection</w:t>
      </w:r>
      <w:r>
        <w:t xml:space="preserve"> </w:t>
      </w:r>
      <w:r>
        <w:t xml:space="preserve">- Manual abort button (30-second delay)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Rationale:</w:t>
      </w:r>
      <w:r>
        <w:t xml:space="preserve"> </w:t>
      </w:r>
      <w:r>
        <w:t xml:space="preserve">Protects UPS, switchboards, batteries without water damage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 Zone - CP 5</w:t>
      </w:r>
      <w:r>
        <w:t xml:space="preserve"> </w:t>
      </w:r>
      <w:r>
        <w:t xml:space="preserve">security classification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Integrated in PDM package (~$50-100K per PDM)</w:t>
      </w:r>
    </w:p>
    <w:bookmarkEnd w:id="14"/>
    <w:bookmarkStart w:id="15" w:name="generator-enclosures"/>
    <w:p>
      <w:pPr>
        <w:pStyle w:val="Heading3"/>
      </w:pPr>
      <w:r>
        <w:t xml:space="preserve">Generator Enclosures</w:t>
      </w:r>
    </w:p>
    <w:p>
      <w:pPr>
        <w:pStyle w:val="FirstParagraph"/>
      </w:pPr>
      <w:r>
        <w:rPr>
          <w:b/>
          <w:bCs/>
        </w:rPr>
        <w:t xml:space="preserve">6 × Outdoor Generator Sets</w:t>
      </w:r>
    </w:p>
    <w:p>
      <w:pPr>
        <w:pStyle w:val="BodyText"/>
      </w:pPr>
      <w:r>
        <w:rPr>
          <w:b/>
          <w:bCs/>
        </w:rPr>
        <w:t xml:space="preserve">System Type:</w:t>
      </w:r>
      <w:r>
        <w:t xml:space="preserve"> </w:t>
      </w:r>
      <w:r>
        <w:t xml:space="preserve">Portable fire extinguishers only</w:t>
      </w:r>
    </w:p>
    <w:p>
      <w:pPr>
        <w:pStyle w:val="BodyText"/>
      </w:pPr>
      <w:r>
        <w:rPr>
          <w:b/>
          <w:bCs/>
        </w:rPr>
        <w:t xml:space="preserve">Rationale:</w:t>
      </w:r>
      <w:r>
        <w:t xml:space="preserve"> </w:t>
      </w:r>
      <w:r>
        <w:t xml:space="preserve">- Open-air enclosures with natural ventilation</w:t>
      </w:r>
      <w:r>
        <w:t xml:space="preserve"> </w:t>
      </w:r>
      <w:r>
        <w:t xml:space="preserve">- Diesel fuel fire risk (Class B)</w:t>
      </w:r>
      <w:r>
        <w:t xml:space="preserve"> </w:t>
      </w:r>
      <w:r>
        <w:t xml:space="preserve">- Fixed suppression not typically required for outdoor gen sets</w:t>
      </w:r>
      <w:r>
        <w:t xml:space="preserve"> </w:t>
      </w:r>
      <w:r>
        <w:t xml:space="preserve">- Portable extinguishers: 2 × 20 lb ABC per generator</w:t>
      </w:r>
    </w:p>
    <w:p>
      <w:pPr>
        <w:pStyle w:val="BodyText"/>
      </w:pPr>
      <w:r>
        <w:rPr>
          <w:b/>
          <w:bCs/>
        </w:rPr>
        <w:t xml:space="preserve">Optional:</w:t>
      </w:r>
      <w:r>
        <w:t xml:space="preserve"> </w:t>
      </w:r>
      <w:r>
        <w:t xml:space="preserve">Pre-engineered suppression system if required by AHJ or insurance</w:t>
      </w:r>
      <w:r>
        <w:t xml:space="preserve"> </w:t>
      </w:r>
      <w:r>
        <w:t xml:space="preserve">- Cost: +$25-50K per generator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mechanical-rooms-chiller-yard"/>
    <w:p>
      <w:pPr>
        <w:pStyle w:val="Heading2"/>
      </w:pPr>
      <w:r>
        <w:t xml:space="preserve">MECHANICAL ROOMS &amp; CHILLER YARD</w:t>
      </w:r>
    </w:p>
    <w:bookmarkStart w:id="17" w:name="indoor-mechanical-spaces"/>
    <w:p>
      <w:pPr>
        <w:pStyle w:val="Heading3"/>
      </w:pPr>
      <w:r>
        <w:t xml:space="preserve">Indoor Mechanical Spaces</w:t>
      </w:r>
    </w:p>
    <w:p>
      <w:pPr>
        <w:pStyle w:val="FirstParagraph"/>
      </w:pPr>
      <w:r>
        <w:rPr>
          <w:b/>
          <w:bCs/>
        </w:rPr>
        <w:t xml:space="preserve">System Type:</w:t>
      </w:r>
      <w:r>
        <w:t xml:space="preserve"> </w:t>
      </w:r>
      <w:r>
        <w:t xml:space="preserve">Wet pipe sprinkler</w:t>
      </w:r>
    </w:p>
    <w:p>
      <w:pPr>
        <w:pStyle w:val="BodyText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 Standard NFPA 13 coverage</w:t>
      </w:r>
      <w:r>
        <w:t xml:space="preserve"> </w:t>
      </w:r>
      <w:r>
        <w:t xml:space="preserve">- Sprinkler heads: 130-200 SF per head</w:t>
      </w:r>
      <w:r>
        <w:t xml:space="preserve"> </w:t>
      </w:r>
      <w:r>
        <w:t xml:space="preserve">- Avoid heads directly above electrical panels (sidewall heads if needed)</w:t>
      </w:r>
    </w:p>
    <w:bookmarkEnd w:id="17"/>
    <w:bookmarkStart w:id="18" w:name="outdoor-chiller-yard-50000-sf"/>
    <w:p>
      <w:pPr>
        <w:pStyle w:val="Heading3"/>
      </w:pPr>
      <w:r>
        <w:t xml:space="preserve">Outdoor Chiller Yard (~50,000 SF)</w:t>
      </w:r>
    </w:p>
    <w:p>
      <w:pPr>
        <w:pStyle w:val="FirstParagraph"/>
      </w:pPr>
      <w:r>
        <w:rPr>
          <w:b/>
          <w:bCs/>
        </w:rPr>
        <w:t xml:space="preserve">System Type:</w:t>
      </w:r>
      <w:r>
        <w:t xml:space="preserve"> </w:t>
      </w:r>
      <w:r>
        <w:t xml:space="preserve">Portable fire extinguishers</w:t>
      </w:r>
    </w:p>
    <w:p>
      <w:pPr>
        <w:pStyle w:val="BodyText"/>
      </w:pPr>
      <w:r>
        <w:rPr>
          <w:b/>
          <w:bCs/>
        </w:rPr>
        <w:t xml:space="preserve">Rationale:</w:t>
      </w:r>
      <w:r>
        <w:t xml:space="preserve"> </w:t>
      </w:r>
      <w:r>
        <w:t xml:space="preserve">- Open-air equipment (natural smoke/heat dissipation)</w:t>
      </w:r>
      <w:r>
        <w:t xml:space="preserve"> </w:t>
      </w:r>
      <w:r>
        <w:t xml:space="preserve">- Fixed suppression not required for outdoor chillers</w:t>
      </w:r>
      <w:r>
        <w:t xml:space="preserve"> </w:t>
      </w:r>
      <w:r>
        <w:t xml:space="preserve">- Extinguishers: 2 × 20 lb ABC per chiller plant zone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1" w:name="office-noc-support-spaces"/>
    <w:p>
      <w:pPr>
        <w:pStyle w:val="Heading2"/>
      </w:pPr>
      <w:r>
        <w:t xml:space="preserve">OFFICE, NOC, SUPPORT SPACES</w:t>
      </w:r>
    </w:p>
    <w:bookmarkStart w:id="20" w:name="system-type-wet-pipe-sprinkler"/>
    <w:p>
      <w:pPr>
        <w:pStyle w:val="Heading3"/>
      </w:pPr>
      <w:r>
        <w:t xml:space="preserve">System Type: WET PIPE SPRINKLER</w:t>
      </w:r>
    </w:p>
    <w:p>
      <w:pPr>
        <w:pStyle w:val="FirstParagraph"/>
      </w:pPr>
      <w:r>
        <w:rPr>
          <w:b/>
          <w:bCs/>
        </w:rPr>
        <w:t xml:space="preserve">Coverage:</w:t>
      </w:r>
      <w:r>
        <w:t xml:space="preserve"> </w:t>
      </w:r>
      <w:r>
        <w:t xml:space="preserve">- Standard commercial spacing per NFPA 13</w:t>
      </w:r>
      <w:r>
        <w:t xml:space="preserve"> </w:t>
      </w:r>
      <w:r>
        <w:t xml:space="preserve">- Light hazard occupancy (offices)</w:t>
      </w:r>
      <w:r>
        <w:t xml:space="preserve"> </w:t>
      </w:r>
      <w:r>
        <w:t xml:space="preserve">- Sprinkler heads: ~130 SF per head</w:t>
      </w:r>
    </w:p>
    <w:p>
      <w:pPr>
        <w:pStyle w:val="BodyText"/>
      </w:pPr>
      <w:r>
        <w:rPr>
          <w:b/>
          <w:bCs/>
        </w:rPr>
        <w:t xml:space="preserve">Special Areas:</w:t>
      </w:r>
    </w:p>
    <w:p>
      <w:pPr>
        <w:pStyle w:val="BodyText"/>
      </w:pPr>
      <w:r>
        <w:rPr>
          <w:b/>
          <w:bCs/>
        </w:rPr>
        <w:t xml:space="preserve">Network Operations Center (NOC - Red Zone CP 5):</w:t>
      </w:r>
      <w:r>
        <w:t xml:space="preserve"> </w:t>
      </w:r>
      <w:r>
        <w:t xml:space="preserve">- Consider preaction or clean agent if NOC contains critical equipment</w:t>
      </w:r>
      <w:r>
        <w:t xml:space="preserve"> </w:t>
      </w:r>
      <w:r>
        <w:t xml:space="preserve">- Standard wet pipe acceptable for office areas</w:t>
      </w:r>
      <w:r>
        <w:t xml:space="preserve"> </w:t>
      </w:r>
      <w:r>
        <w:t xml:space="preserve">- Raised floor: Not Applicable (slab-on-grade)</w:t>
      </w:r>
    </w:p>
    <w:p>
      <w:pPr>
        <w:pStyle w:val="BodyText"/>
      </w:pPr>
      <w:r>
        <w:rPr>
          <w:b/>
          <w:bCs/>
        </w:rPr>
        <w:t xml:space="preserve">MPOE/MMR (Fiber Entrance Rooms - Red Zone CP 5):</w:t>
      </w:r>
      <w:r>
        <w:t xml:space="preserve"> </w:t>
      </w:r>
      <w:r>
        <w:t xml:space="preserve">- Preaction dry pipe or clean agent (protects carrier equipment)</w:t>
      </w:r>
      <w:r>
        <w:t xml:space="preserve"> </w:t>
      </w:r>
      <w:r>
        <w:t xml:space="preserve">- Coordinate with carrier requirements</w:t>
      </w:r>
      <w:r>
        <w:t xml:space="preserve"> </w:t>
      </w:r>
      <w:r>
        <w:t xml:space="preserve">- Critical telecommunications infrastructure protection</w:t>
      </w:r>
    </w:p>
    <w:p>
      <w:pPr>
        <w:pStyle w:val="BodyText"/>
      </w:pPr>
      <w:r>
        <w:rPr>
          <w:b/>
          <w:bCs/>
        </w:rPr>
        <w:t xml:space="preserve">Storm Shelter/Safe Room (FEMA 361 Compliant Prefabricated Module):</w:t>
      </w:r>
      <w:r>
        <w:t xml:space="preserve"> </w:t>
      </w:r>
      <w:r>
        <w:t xml:space="preserve">- Integrated fire suppression per module manufacturer (typically wet pipe or clean agent)</w:t>
      </w:r>
      <w:r>
        <w:t xml:space="preserve"> </w:t>
      </w:r>
      <w:r>
        <w:t xml:space="preserve">- 20 person capacity, Level 1 location</w:t>
      </w:r>
      <w:r>
        <w:t xml:space="preserve"> </w:t>
      </w:r>
      <w:r>
        <w:t xml:space="preserve">- Emergency lighting and signage per FEMA P-361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ire-detection-alarm-system"/>
    <w:p>
      <w:pPr>
        <w:pStyle w:val="Heading2"/>
      </w:pPr>
      <w:r>
        <w:t xml:space="preserve">FIRE DETECTION &amp; ALARM SYSTEM</w:t>
      </w:r>
    </w:p>
    <w:bookmarkStart w:id="22" w:name="detection-technology-by-zone"/>
    <w:p>
      <w:pPr>
        <w:pStyle w:val="Heading3"/>
      </w:pPr>
      <w:r>
        <w:t xml:space="preserve">Detection Technology by Zone</w:t>
      </w:r>
    </w:p>
    <w:p>
      <w:pPr>
        <w:pStyle w:val="FirstParagraph"/>
      </w:pPr>
      <w:r>
        <w:rPr>
          <w:b/>
          <w:bCs/>
        </w:rPr>
        <w:t xml:space="preserve">Data Halls (Critical Detection):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VESDA (Very Early Smoke Detection Apparatus) or equivalent ASD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Sampling points:</w:t>
      </w:r>
      <w:r>
        <w:t xml:space="preserve"> </w:t>
      </w:r>
      <w:r>
        <w:t xml:space="preserve">Air sampling pipes at ceiling level</w:t>
      </w:r>
      <w:r>
        <w:t xml:space="preserve"> </w:t>
      </w:r>
      <w:r>
        <w:t xml:space="preserve">- Holes every 10-15 ft along pipe</w:t>
      </w:r>
      <w:r>
        <w:t xml:space="preserve"> </w:t>
      </w:r>
      <w:r>
        <w:t xml:space="preserve">- 4-6 sampling pipes per data hall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Sensitivity levels:</w:t>
      </w:r>
      <w:r>
        <w:t xml:space="preserve"> </w:t>
      </w:r>
      <w:r>
        <w:t xml:space="preserve">- Alert: 0.005% obscuration/ft (investigate, no evacuation)</w:t>
      </w:r>
      <w:r>
        <w:t xml:space="preserve"> </w:t>
      </w:r>
      <w:r>
        <w:t xml:space="preserve">- Action: 0.015% obscuration/ft (pre-alarm, prepare suppression)</w:t>
      </w:r>
      <w:r>
        <w:t xml:space="preserve"> </w:t>
      </w:r>
      <w:r>
        <w:t xml:space="preserve">- Fire 1: 0.03% obscuration/ft (alarm, evacuate, suppress)</w:t>
      </w:r>
      <w:r>
        <w:t xml:space="preserve"> </w:t>
      </w:r>
      <w:r>
        <w:t xml:space="preserve">- Fire 2: 0.05% obscuration/ft (full alarm)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 time:</w:t>
      </w:r>
      <w:r>
        <w:t xml:space="preserve"> </w:t>
      </w:r>
      <w:r>
        <w:t xml:space="preserve">&lt;60 seconds from smoke event to alert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Integration:</w:t>
      </w:r>
      <w:r>
        <w:t xml:space="preserve"> </w:t>
      </w:r>
      <w:r>
        <w:t xml:space="preserve">BMS, DCIM, fire alarm panel</w:t>
      </w:r>
    </w:p>
    <w:p>
      <w:pPr>
        <w:pStyle w:val="BodyText"/>
      </w:pPr>
      <w:r>
        <w:rPr>
          <w:b/>
          <w:bCs/>
        </w:rPr>
        <w:t xml:space="preserve">PDMs (Electrical Rooms):</w:t>
      </w:r>
      <w:r>
        <w:t xml:space="preserve"> </w:t>
      </w:r>
      <w:r>
        <w:t xml:space="preserve">- Spot-type photoelectric smoke detectors (addressable)</w:t>
      </w:r>
      <w:r>
        <w:t xml:space="preserve"> </w:t>
      </w:r>
      <w:r>
        <w:t xml:space="preserve">- Heat detectors (rate-of-rise + fixed temp 135°F)</w:t>
      </w:r>
      <w:r>
        <w:t xml:space="preserve"> </w:t>
      </w:r>
      <w:r>
        <w:t xml:space="preserve">- Integration with clean agent suppression system</w:t>
      </w:r>
    </w:p>
    <w:p>
      <w:pPr>
        <w:pStyle w:val="BodyText"/>
      </w:pPr>
      <w:r>
        <w:rPr>
          <w:b/>
          <w:bCs/>
        </w:rPr>
        <w:t xml:space="preserve">Mechanical Rooms:</w:t>
      </w:r>
      <w:r>
        <w:t xml:space="preserve"> </w:t>
      </w:r>
      <w:r>
        <w:t xml:space="preserve">- Spot-type smoke detectors (every 500 SF)</w:t>
      </w:r>
      <w:r>
        <w:t xml:space="preserve"> </w:t>
      </w:r>
      <w:r>
        <w:t xml:space="preserve">- Heat detectors (135°F fixed temp)</w:t>
      </w:r>
    </w:p>
    <w:p>
      <w:pPr>
        <w:pStyle w:val="BodyText"/>
      </w:pPr>
      <w:r>
        <w:rPr>
          <w:b/>
          <w:bCs/>
        </w:rPr>
        <w:t xml:space="preserve">Office/NOC/Support Spaces:</w:t>
      </w:r>
      <w:r>
        <w:t xml:space="preserve"> </w:t>
      </w:r>
      <w:r>
        <w:t xml:space="preserve">- Spot-type smoke detectors per NFPA 72</w:t>
      </w:r>
      <w:r>
        <w:t xml:space="preserve"> </w:t>
      </w:r>
      <w:r>
        <w:t xml:space="preserve">- Spacing: Every 500-900 SF depending on ceiling height</w:t>
      </w:r>
      <w:r>
        <w:t xml:space="preserve"> </w:t>
      </w:r>
      <w:r>
        <w:t xml:space="preserve">- Duct smoke detectors in HVAC supply/return</w:t>
      </w:r>
    </w:p>
    <w:p>
      <w:pPr>
        <w:pStyle w:val="BodyText"/>
      </w:pPr>
      <w:r>
        <w:rPr>
          <w:b/>
          <w:bCs/>
        </w:rPr>
        <w:t xml:space="preserve">Generator Yard:</w:t>
      </w:r>
      <w:r>
        <w:t xml:space="preserve"> </w:t>
      </w:r>
      <w:r>
        <w:t xml:space="preserve">- Heat detectors in enclosed gen set housings (if applicable)</w:t>
      </w:r>
      <w:r>
        <w:t xml:space="preserve"> </w:t>
      </w:r>
      <w:r>
        <w:t xml:space="preserve">- No detection required for open-air enclosures</w:t>
      </w:r>
    </w:p>
    <w:bookmarkEnd w:id="22"/>
    <w:bookmarkStart w:id="23" w:name="fire-alarm-control-panel-facp"/>
    <w:p>
      <w:pPr>
        <w:pStyle w:val="Heading3"/>
      </w:pPr>
      <w:r>
        <w:t xml:space="preserve">Fire Alarm Control Panel (FACP)</w:t>
      </w:r>
    </w:p>
    <w:p>
      <w:pPr>
        <w:pStyle w:val="FirstParagraph"/>
      </w:pPr>
      <w:r>
        <w:rPr>
          <w:b/>
          <w:bCs/>
        </w:rPr>
        <w:t xml:space="preserve">System Configuration: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Addressable, intelligent fire alarm system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Manufacturer:</w:t>
      </w:r>
      <w:r>
        <w:t xml:space="preserve"> </w:t>
      </w:r>
      <w:r>
        <w:t xml:space="preserve">[TBD - e.g., Notifier, Simplex, Edwards]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Network:</w:t>
      </w:r>
      <w:r>
        <w:t xml:space="preserve"> </w:t>
      </w:r>
      <w:r>
        <w:t xml:space="preserve">Fiber backbone, redundant pathways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Zones:</w:t>
      </w:r>
      <w:r>
        <w:t xml:space="preserve"> </w:t>
      </w:r>
      <w:r>
        <w:t xml:space="preserve">Separate addressable zones for each major area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Annunciation:</w:t>
      </w:r>
      <w:r>
        <w:t xml:space="preserve"> </w:t>
      </w:r>
      <w:r>
        <w:t xml:space="preserve">Remote annunciators at NOC, main entrance, loading dock</w:t>
      </w:r>
    </w:p>
    <w:p>
      <w:pPr>
        <w:pStyle w:val="BodyText"/>
      </w:pPr>
      <w:r>
        <w:rPr>
          <w:b/>
          <w:bCs/>
        </w:rPr>
        <w:t xml:space="preserve">Integration: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BMS:</w:t>
      </w:r>
      <w:r>
        <w:t xml:space="preserve"> </w:t>
      </w:r>
      <w:r>
        <w:t xml:space="preserve">Status monitoring, alarm forwarding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 control:</w:t>
      </w:r>
      <w:r>
        <w:t xml:space="preserve"> </w:t>
      </w:r>
      <w:r>
        <w:t xml:space="preserve">Unlock all doors on alarm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HVAC:</w:t>
      </w:r>
      <w:r>
        <w:t xml:space="preserve"> </w:t>
      </w:r>
      <w:r>
        <w:t xml:space="preserve">Shutdown air handlers, close smoke dampers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Suppression systems:</w:t>
      </w:r>
      <w:r>
        <w:t xml:space="preserve"> </w:t>
      </w:r>
      <w:r>
        <w:t xml:space="preserve">Trigger preaction/clean agent discharge</w:t>
      </w:r>
    </w:p>
    <w:p>
      <w:pPr>
        <w:pStyle w:val="BodyText"/>
      </w:pPr>
      <w:r>
        <w:rPr>
          <w:b/>
          <w:bCs/>
        </w:rPr>
        <w:t xml:space="preserve">Remote Monitoring:</w:t>
      </w:r>
      <w:r>
        <w:t xml:space="preserve"> </w:t>
      </w:r>
      <w:r>
        <w:t xml:space="preserve">- Central station monitoring (UL-listed service)</w:t>
      </w:r>
      <w:r>
        <w:t xml:space="preserve"> </w:t>
      </w:r>
      <w:r>
        <w:t xml:space="preserve">- Direct dial to fire department (if permitted by AHJ)</w:t>
      </w:r>
      <w:r>
        <w:t xml:space="preserve"> </w:t>
      </w:r>
      <w:r>
        <w:t xml:space="preserve">- NOC 24/7 monitoring with alarm escalation procedures</w:t>
      </w:r>
    </w:p>
    <w:bookmarkEnd w:id="23"/>
    <w:bookmarkStart w:id="24" w:name="notification-appliances"/>
    <w:p>
      <w:pPr>
        <w:pStyle w:val="Heading3"/>
      </w:pPr>
      <w:r>
        <w:t xml:space="preserve">Notification Appliances</w:t>
      </w:r>
    </w:p>
    <w:p>
      <w:pPr>
        <w:pStyle w:val="FirstParagraph"/>
      </w:pPr>
      <w:r>
        <w:rPr>
          <w:b/>
          <w:bCs/>
        </w:rPr>
        <w:t xml:space="preserve">Audible:</w:t>
      </w:r>
      <w:r>
        <w:t xml:space="preserve"> </w:t>
      </w:r>
      <w:r>
        <w:t xml:space="preserve">- Horns/speakers at 90 dB minimum (15 dB above ambient)</w:t>
      </w:r>
      <w:r>
        <w:t xml:space="preserve"> </w:t>
      </w:r>
      <w:r>
        <w:t xml:space="preserve">- Voice evacuation capability (EVAC panels)</w:t>
      </w:r>
      <w:r>
        <w:t xml:space="preserve"> </w:t>
      </w:r>
      <w:r>
        <w:t xml:space="preserve">- Distinct tones for alert vs. alarm</w:t>
      </w:r>
    </w:p>
    <w:p>
      <w:pPr>
        <w:pStyle w:val="BodyText"/>
      </w:pPr>
      <w:r>
        <w:rPr>
          <w:b/>
          <w:bCs/>
        </w:rPr>
        <w:t xml:space="preserve">Visual:</w:t>
      </w:r>
      <w:r>
        <w:t xml:space="preserve"> </w:t>
      </w:r>
      <w:r>
        <w:t xml:space="preserve">- Strobes per NFPA 72 (ADA compliant)</w:t>
      </w:r>
      <w:r>
        <w:t xml:space="preserve"> </w:t>
      </w:r>
      <w:r>
        <w:t xml:space="preserve">- Red strobes in all occupied areas</w:t>
      </w:r>
      <w:r>
        <w:t xml:space="preserve"> </w:t>
      </w:r>
      <w:r>
        <w:t xml:space="preserve">- Minimum 75 candela in public areas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fire-water-supply"/>
    <w:p>
      <w:pPr>
        <w:pStyle w:val="Heading2"/>
      </w:pPr>
      <w:r>
        <w:t xml:space="preserve">FIRE WATER SUPPLY</w:t>
      </w:r>
    </w:p>
    <w:bookmarkStart w:id="26" w:name="municipal-water-connection"/>
    <w:p>
      <w:pPr>
        <w:pStyle w:val="Heading3"/>
      </w:pPr>
      <w:r>
        <w:t xml:space="preserve">Municipal Water Connection</w:t>
      </w:r>
    </w:p>
    <w:p>
      <w:pPr>
        <w:pStyle w:val="FirstParagraph"/>
      </w:pPr>
      <w:r>
        <w:rPr>
          <w:b/>
          <w:bCs/>
        </w:rPr>
        <w:t xml:space="preserve">If Available:</w:t>
      </w:r>
      <w:r>
        <w:t xml:space="preserve"> </w:t>
      </w:r>
      <w:r>
        <w:t xml:space="preserve">- 8-12” fire service connection (separate from domestic)</w:t>
      </w:r>
      <w:r>
        <w:t xml:space="preserve"> </w:t>
      </w:r>
      <w:r>
        <w:t xml:space="preserve">- Underground loop with PIV (post indicator valve) and FDC (fire department connection)</w:t>
      </w:r>
      <w:r>
        <w:t xml:space="preserve"> </w:t>
      </w:r>
      <w:r>
        <w:t xml:space="preserve">- Backflow preventer: Double-check valve assembly</w:t>
      </w:r>
      <w:r>
        <w:t xml:space="preserve"> </w:t>
      </w:r>
      <w:r>
        <w:t xml:space="preserve">- Hydrant spacing: ~300 ft around perimeter</w:t>
      </w:r>
    </w:p>
    <w:p>
      <w:pPr>
        <w:pStyle w:val="BodyText"/>
      </w:pPr>
      <w:r>
        <w:rPr>
          <w:b/>
          <w:bCs/>
        </w:rPr>
        <w:t xml:space="preserve">Demand Calculation:</w:t>
      </w:r>
      <w:r>
        <w:t xml:space="preserve"> </w:t>
      </w:r>
      <w:r>
        <w:t xml:space="preserve">- Design basis: ESFR sprinklers in data hall (most demanding)</w:t>
      </w:r>
      <w:r>
        <w:t xml:space="preserve"> </w:t>
      </w:r>
      <w:r>
        <w:t xml:space="preserve">- Estimated demand: 1,500-2,000 GPM @ 70 psi for 2 hours</w:t>
      </w:r>
      <w:r>
        <w:t xml:space="preserve"> </w:t>
      </w:r>
      <w:r>
        <w:t xml:space="preserve">- Duration: ~180,000-240,000 gallons</w:t>
      </w:r>
    </w:p>
    <w:bookmarkEnd w:id="26"/>
    <w:bookmarkStart w:id="27" w:name="X9b9e3b2972e9c00c96baa2c8aae06bc4aed429d"/>
    <w:p>
      <w:pPr>
        <w:pStyle w:val="Heading3"/>
      </w:pPr>
      <w:r>
        <w:t xml:space="preserve">Fire Pump &amp; Storage (If Municipal Service Inadequate)</w:t>
      </w:r>
    </w:p>
    <w:p>
      <w:pPr>
        <w:pStyle w:val="FirstParagraph"/>
      </w:pPr>
      <w:r>
        <w:rPr>
          <w:b/>
          <w:bCs/>
        </w:rPr>
        <w:t xml:space="preserve">Fire Pump: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Electric or diesel-driven (diesel preferred for reliability)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Sized to meet demand (1,500-2,000 GPM @ 70 psi)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Rating:</w:t>
      </w:r>
      <w:r>
        <w:t xml:space="preserve"> </w:t>
      </w:r>
      <w:r>
        <w:t xml:space="preserve">UL-listed per NFPA 20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Separate fire pump room (non-freezing)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Controller:</w:t>
      </w:r>
      <w:r>
        <w:t xml:space="preserve"> </w:t>
      </w:r>
      <w:r>
        <w:t xml:space="preserve">Automatic start on pressure drop</w:t>
      </w:r>
    </w:p>
    <w:p>
      <w:pPr>
        <w:pStyle w:val="BodyText"/>
      </w:pPr>
      <w:r>
        <w:rPr>
          <w:b/>
          <w:bCs/>
        </w:rPr>
        <w:t xml:space="preserve">Storage Tank: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250,000-300,000 gallons (includes hose stream allowance)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Bolted steel or welded steel, API 650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Outdoor, adjacent to fire pump room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Makeup:</w:t>
      </w:r>
      <w:r>
        <w:t xml:space="preserve"> </w:t>
      </w:r>
      <w:r>
        <w:t xml:space="preserve">Municipal water or periodic water delivery (if no utility)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Heating:</w:t>
      </w:r>
      <w:r>
        <w:t xml:space="preserve"> </w:t>
      </w:r>
      <w:r>
        <w:t xml:space="preserve">Tank heater if subject to freezing</w:t>
      </w:r>
    </w:p>
    <w:p>
      <w:pPr>
        <w:pStyle w:val="BodyText"/>
      </w:pPr>
      <w:r>
        <w:rPr>
          <w:b/>
          <w:bCs/>
        </w:rPr>
        <w:t xml:space="preserve">Cost:</w:t>
      </w:r>
      <w:r>
        <w:t xml:space="preserve"> </w:t>
      </w:r>
      <w:r>
        <w:t xml:space="preserve">~$750K-1.5M (pump + tank + installation)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egress-life-safety"/>
    <w:p>
      <w:pPr>
        <w:pStyle w:val="Heading2"/>
      </w:pPr>
      <w:r>
        <w:t xml:space="preserve">EGRESS &amp; LIFE SAFETY</w:t>
      </w:r>
    </w:p>
    <w:bookmarkStart w:id="29" w:name="occupancy-load"/>
    <w:p>
      <w:pPr>
        <w:pStyle w:val="Heading3"/>
      </w:pPr>
      <w:r>
        <w:t xml:space="preserve">Occupancy &amp; Load</w:t>
      </w:r>
    </w:p>
    <w:p>
      <w:pPr>
        <w:pStyle w:val="FirstParagraph"/>
      </w:pPr>
      <w:r>
        <w:rPr>
          <w:b/>
          <w:bCs/>
        </w:rPr>
        <w:t xml:space="preserve">Data Halls:</w:t>
      </w:r>
      <w:r>
        <w:t xml:space="preserve"> </w:t>
      </w:r>
      <w:r>
        <w:t xml:space="preserve">- Classification: Group B (Business) per IBC Section 304</w:t>
      </w:r>
      <w:r>
        <w:t xml:space="preserve"> </w:t>
      </w:r>
      <w:r>
        <w:t xml:space="preserve">- Occupant load: ~10 persons (one person per 100 SF gross)</w:t>
      </w:r>
    </w:p>
    <w:p>
      <w:pPr>
        <w:pStyle w:val="BodyText"/>
      </w:pPr>
      <w:r>
        <w:rPr>
          <w:b/>
          <w:bCs/>
        </w:rPr>
        <w:t xml:space="preserve">Support Spaces:</w:t>
      </w:r>
      <w:r>
        <w:t xml:space="preserve"> </w:t>
      </w:r>
      <w:r>
        <w:t xml:space="preserve">- Offices, NOC, break rooms: Group B</w:t>
      </w:r>
      <w:r>
        <w:t xml:space="preserve"> </w:t>
      </w:r>
      <w:r>
        <w:t xml:space="preserve">- Total facility load: 20-30 persons</w:t>
      </w:r>
    </w:p>
    <w:bookmarkEnd w:id="29"/>
    <w:bookmarkStart w:id="30" w:name="egress-requirements"/>
    <w:p>
      <w:pPr>
        <w:pStyle w:val="Heading3"/>
      </w:pPr>
      <w:r>
        <w:t xml:space="preserve">Egress Requirements</w:t>
      </w:r>
    </w:p>
    <w:p>
      <w:pPr>
        <w:pStyle w:val="FirstParagraph"/>
      </w:pPr>
      <w:r>
        <w:rPr>
          <w:b/>
          <w:bCs/>
        </w:rPr>
        <w:t xml:space="preserve">Exit Count:</w:t>
      </w:r>
      <w:r>
        <w:t xml:space="preserve"> </w:t>
      </w:r>
      <w:r>
        <w:t xml:space="preserve">- Minimum 2 exits from each data hall (IBC Section 1006)</w:t>
      </w:r>
      <w:r>
        <w:t xml:space="preserve"> </w:t>
      </w:r>
      <w:r>
        <w:t xml:space="preserve">- Exits remotely located (diagonal separation)</w:t>
      </w:r>
    </w:p>
    <w:p>
      <w:pPr>
        <w:pStyle w:val="BodyText"/>
      </w:pPr>
      <w:r>
        <w:rPr>
          <w:b/>
          <w:bCs/>
        </w:rPr>
        <w:t xml:space="preserve">Exit Width:</w:t>
      </w:r>
      <w:r>
        <w:t xml:space="preserve"> </w:t>
      </w:r>
      <w:r>
        <w:t xml:space="preserve">- Minimum 36” clear width per IBC</w:t>
      </w:r>
      <w:r>
        <w:t xml:space="preserve"> </w:t>
      </w:r>
      <w:r>
        <w:t xml:space="preserve">- Preferred 44” (allows equipment carts)</w:t>
      </w:r>
    </w:p>
    <w:p>
      <w:pPr>
        <w:pStyle w:val="BodyText"/>
      </w:pPr>
      <w:r>
        <w:rPr>
          <w:b/>
          <w:bCs/>
        </w:rPr>
        <w:t xml:space="preserve">Travel Distance:</w:t>
      </w:r>
      <w:r>
        <w:t xml:space="preserve"> </w:t>
      </w:r>
      <w:r>
        <w:t xml:space="preserve">- Maximum 200 ft to nearest exit (unsprinklered areas)</w:t>
      </w:r>
      <w:r>
        <w:t xml:space="preserve"> </w:t>
      </w:r>
      <w:r>
        <w:t xml:space="preserve">- Maximum 300 ft (sprinklered areas) per IBC Table 1017.2</w:t>
      </w:r>
      <w:r>
        <w:t xml:space="preserve"> </w:t>
      </w:r>
      <w:r>
        <w:t xml:space="preserve">- Data hall travel distance: [ROM] &lt;150 ft (compliant)</w:t>
      </w:r>
    </w:p>
    <w:p>
      <w:pPr>
        <w:pStyle w:val="BodyText"/>
      </w:pPr>
      <w:r>
        <w:rPr>
          <w:b/>
          <w:bCs/>
        </w:rPr>
        <w:t xml:space="preserve">Doors:</w:t>
      </w:r>
      <w:r>
        <w:t xml:space="preserve"> </w:t>
      </w:r>
      <w:r>
        <w:t xml:space="preserve">- Panic hardware on exit doors (no keys required for egress)</w:t>
      </w:r>
      <w:r>
        <w:t xml:space="preserve"> </w:t>
      </w:r>
      <w:r>
        <w:t xml:space="preserve">- Magnetic hold-open with fire alarm release</w:t>
      </w:r>
      <w:r>
        <w:t xml:space="preserve"> </w:t>
      </w:r>
      <w:r>
        <w:t xml:space="preserve">- Self-closing on alarm</w:t>
      </w:r>
    </w:p>
    <w:bookmarkEnd w:id="30"/>
    <w:bookmarkStart w:id="31" w:name="containment"/>
    <w:p>
      <w:pPr>
        <w:pStyle w:val="Heading3"/>
      </w:pPr>
      <w:r>
        <w:t xml:space="preserve">Containment</w:t>
      </w:r>
    </w:p>
    <w:p>
      <w:pPr>
        <w:pStyle w:val="FirstParagraph"/>
      </w:pPr>
      <w:r>
        <w:rPr>
          <w:b/>
          <w:bCs/>
        </w:rPr>
        <w:t xml:space="preserve">Containment:</w:t>
      </w:r>
      <w:r>
        <w:t xml:space="preserve"> </w:t>
      </w:r>
      <w:r>
        <w:t xml:space="preserve">Not Applicable (DDC cabinets provide integrated cooling - no hot/cold aisle containment required)</w:t>
      </w:r>
    </w:p>
    <w:bookmarkEnd w:id="31"/>
    <w:bookmarkStart w:id="32" w:name="emergency-lighting"/>
    <w:p>
      <w:pPr>
        <w:pStyle w:val="Heading3"/>
      </w:pPr>
      <w:r>
        <w:t xml:space="preserve">Emergency Lighting</w:t>
      </w:r>
    </w:p>
    <w:p>
      <w:pPr>
        <w:pStyle w:val="FirstParagraph"/>
      </w:pPr>
      <w:r>
        <w:rPr>
          <w:b/>
          <w:bCs/>
        </w:rPr>
        <w:t xml:space="preserve">Coverage:</w:t>
      </w:r>
      <w:r>
        <w:t xml:space="preserve"> </w:t>
      </w:r>
      <w:r>
        <w:t xml:space="preserve">- All egress paths, stairwells, data halls</w:t>
      </w:r>
      <w:r>
        <w:t xml:space="preserve"> </w:t>
      </w:r>
      <w:r>
        <w:t xml:space="preserve">- Battery-backed LED fixtures (90-minute runtime minimum)</w:t>
      </w:r>
      <w:r>
        <w:t xml:space="preserve"> </w:t>
      </w:r>
      <w:r>
        <w:t xml:space="preserve">- Illumination: 1 fc average, 0.1 fc minimum per NFPA 101</w:t>
      </w:r>
    </w:p>
    <w:p>
      <w:pPr>
        <w:pStyle w:val="BodyText"/>
      </w:pPr>
      <w:r>
        <w:rPr>
          <w:b/>
          <w:bCs/>
        </w:rPr>
        <w:t xml:space="preserve">Exit Signs:</w:t>
      </w:r>
      <w:r>
        <w:t xml:space="preserve"> </w:t>
      </w:r>
      <w:r>
        <w:t xml:space="preserve">- Illuminated LED exit signs (battery-backed)</w:t>
      </w:r>
      <w:r>
        <w:t xml:space="preserve"> </w:t>
      </w:r>
      <w:r>
        <w:t xml:space="preserve">- Red or green letters (AHJ preference)</w:t>
      </w:r>
      <w:r>
        <w:t xml:space="preserve"> </w:t>
      </w:r>
      <w:r>
        <w:t xml:space="preserve">- Maximum 100 ft spacing in corridors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portable-fire-extinguishers"/>
    <w:p>
      <w:pPr>
        <w:pStyle w:val="Heading2"/>
      </w:pPr>
      <w:r>
        <w:t xml:space="preserve">PORTABLE FIRE EXTINGUISHERS</w:t>
      </w:r>
    </w:p>
    <w:bookmarkStart w:id="34" w:name="distribution"/>
    <w:p>
      <w:pPr>
        <w:pStyle w:val="Heading3"/>
      </w:pPr>
      <w:r>
        <w:t xml:space="preserve">Distribution</w:t>
      </w:r>
    </w:p>
    <w:p>
      <w:pPr>
        <w:pStyle w:val="FirstParagraph"/>
      </w:pPr>
      <w:r>
        <w:rPr>
          <w:b/>
          <w:bCs/>
        </w:rPr>
        <w:t xml:space="preserve">Class A/C (Offices, Data Halls):</w:t>
      </w:r>
      <w:r>
        <w:t xml:space="preserve"> </w:t>
      </w:r>
      <w:r>
        <w:t xml:space="preserve">- Type: ABC dry chemical or clean agent (Halotron for data halls)</w:t>
      </w:r>
      <w:r>
        <w:t xml:space="preserve"> </w:t>
      </w:r>
      <w:r>
        <w:t xml:space="preserve">- Size: 10-20 lb</w:t>
      </w:r>
      <w:r>
        <w:t xml:space="preserve"> </w:t>
      </w:r>
      <w:r>
        <w:t xml:space="preserve">- Spacing: Maximum 75 ft travel distance per NFPA 10</w:t>
      </w:r>
    </w:p>
    <w:p>
      <w:pPr>
        <w:pStyle w:val="BodyText"/>
      </w:pPr>
      <w:r>
        <w:rPr>
          <w:b/>
          <w:bCs/>
        </w:rPr>
        <w:t xml:space="preserve">Class B (Generator Yard, Mechanical):</w:t>
      </w:r>
      <w:r>
        <w:t xml:space="preserve"> </w:t>
      </w:r>
      <w:r>
        <w:t xml:space="preserve">- Type: ABC dry chemical or Purple K</w:t>
      </w:r>
      <w:r>
        <w:t xml:space="preserve"> </w:t>
      </w:r>
      <w:r>
        <w:t xml:space="preserve">- Size: 20 lb</w:t>
      </w:r>
      <w:r>
        <w:t xml:space="preserve"> </w:t>
      </w:r>
      <w:r>
        <w:t xml:space="preserve">- Spacing: Maximum 50 ft travel distance</w:t>
      </w:r>
    </w:p>
    <w:p>
      <w:pPr>
        <w:pStyle w:val="BodyText"/>
      </w:pPr>
      <w:r>
        <w:rPr>
          <w:b/>
          <w:bCs/>
        </w:rPr>
        <w:t xml:space="preserve">Special Locations:</w:t>
      </w:r>
      <w:r>
        <w:t xml:space="preserve"> </w:t>
      </w:r>
      <w:r>
        <w:t xml:space="preserve">- Data hall entrances: 2 × 20 lb Halotron</w:t>
      </w:r>
      <w:r>
        <w:t xml:space="preserve"> </w:t>
      </w:r>
      <w:r>
        <w:t xml:space="preserve">- Generator sets: 2 × 20 lb ABC per generator</w:t>
      </w:r>
      <w:r>
        <w:t xml:space="preserve"> </w:t>
      </w:r>
      <w:r>
        <w:t xml:space="preserve">- Mechanical rooms: 2 × 20 lb ABC per room</w:t>
      </w:r>
    </w:p>
    <w:bookmarkEnd w:id="34"/>
    <w:bookmarkStart w:id="35" w:name="mounting-signage"/>
    <w:p>
      <w:pPr>
        <w:pStyle w:val="Heading3"/>
      </w:pPr>
      <w:r>
        <w:t xml:space="preserve">Mounting &amp; Signage</w:t>
      </w:r>
    </w:p>
    <w:p>
      <w:pPr>
        <w:pStyle w:val="Compact"/>
        <w:numPr>
          <w:ilvl w:val="0"/>
          <w:numId w:val="1002"/>
        </w:numPr>
      </w:pPr>
      <w:r>
        <w:t xml:space="preserve">Wall-mounted brackets (5 ft AFF to handle)</w:t>
      </w:r>
    </w:p>
    <w:p>
      <w:pPr>
        <w:pStyle w:val="Compact"/>
        <w:numPr>
          <w:ilvl w:val="0"/>
          <w:numId w:val="1002"/>
        </w:numPr>
      </w:pPr>
      <w:r>
        <w:t xml:space="preserve">Signage:</w:t>
      </w:r>
      <w:r>
        <w:t xml:space="preserve"> </w:t>
      </w:r>
      <w:r>
        <w:t xml:space="preserve">“FIRE EXTINGUISHER”</w:t>
      </w:r>
      <w:r>
        <w:t xml:space="preserve"> </w:t>
      </w:r>
      <w:r>
        <w:t xml:space="preserve">with directional arrow</w:t>
      </w:r>
    </w:p>
    <w:p>
      <w:pPr>
        <w:pStyle w:val="Compact"/>
        <w:numPr>
          <w:ilvl w:val="0"/>
          <w:numId w:val="1002"/>
        </w:numPr>
      </w:pPr>
      <w:r>
        <w:t xml:space="preserve">Inspections: Annual inspection, 6-year maintenance, 12-year hydrostatic test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codes-and-standards"/>
    <w:p>
      <w:pPr>
        <w:pStyle w:val="Heading2"/>
      </w:pPr>
      <w:r>
        <w:t xml:space="preserve">CODES AND STANDARDS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NFPA 13</w:t>
      </w:r>
      <w:r>
        <w:t xml:space="preserve"> </w:t>
      </w:r>
      <w:r>
        <w:t xml:space="preserve">(Installation of Sprinkler Systems)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NFPA 72</w:t>
      </w:r>
      <w:r>
        <w:t xml:space="preserve"> </w:t>
      </w:r>
      <w:r>
        <w:t xml:space="preserve">(National Fire Alarm and Signaling Code)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NFPA 75</w:t>
      </w:r>
      <w:r>
        <w:t xml:space="preserve"> </w:t>
      </w:r>
      <w:r>
        <w:t xml:space="preserve">(Fire Protection of Information Technology Equipment)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NFPA 2001</w:t>
      </w:r>
      <w:r>
        <w:t xml:space="preserve"> </w:t>
      </w:r>
      <w:r>
        <w:t xml:space="preserve">(Clean Agent Fire Extinguishing Systems)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NFPA 101</w:t>
      </w:r>
      <w:r>
        <w:t xml:space="preserve"> </w:t>
      </w:r>
      <w:r>
        <w:t xml:space="preserve">(Life Safety Code)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NFPA 20</w:t>
      </w:r>
      <w:r>
        <w:t xml:space="preserve"> </w:t>
      </w:r>
      <w:r>
        <w:t xml:space="preserve">(Installation of Stationary Pumps for Fire Protection)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IBC 2021</w:t>
      </w:r>
      <w:r>
        <w:t xml:space="preserve"> </w:t>
      </w:r>
      <w:r>
        <w:t xml:space="preserve">(International Building Code), Oklahoma amendments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FM Global Data Sheet 5-4</w:t>
      </w:r>
      <w:r>
        <w:t xml:space="preserve"> </w:t>
      </w:r>
      <w:r>
        <w:t xml:space="preserve">(Transformers)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FM Global Data Sheet 5-32</w:t>
      </w:r>
      <w:r>
        <w:t xml:space="preserve"> </w:t>
      </w:r>
      <w:r>
        <w:t xml:space="preserve">(General Storage)</w:t>
      </w:r>
    </w:p>
    <w:p>
      <w:r>
        <w:pict>
          <v:rect style="width:0;height:1.5pt" o:hralign="center" o:hrstd="t" o:hr="t"/>
        </w:pict>
      </w:r>
    </w:p>
    <w:bookmarkEnd w:id="37"/>
    <w:bookmarkStart w:id="39" w:name="insurance-fm-global-approval"/>
    <w:p>
      <w:pPr>
        <w:pStyle w:val="Heading2"/>
      </w:pPr>
      <w:r>
        <w:t xml:space="preserve">INSURANCE &amp; FM GLOBAL APPROVAL</w:t>
      </w:r>
    </w:p>
    <w:bookmarkStart w:id="38" w:name="fm-global-requirements-data-center"/>
    <w:p>
      <w:pPr>
        <w:pStyle w:val="Heading3"/>
      </w:pPr>
      <w:r>
        <w:t xml:space="preserve">FM Global Requirements (Data Center)</w:t>
      </w:r>
    </w:p>
    <w:p>
      <w:pPr>
        <w:pStyle w:val="FirstParagraph"/>
      </w:pPr>
      <w:r>
        <w:rPr>
          <w:b/>
          <w:bCs/>
        </w:rPr>
        <w:t xml:space="preserve">Suppression:</w:t>
      </w:r>
      <w:r>
        <w:t xml:space="preserve"> </w:t>
      </w:r>
      <w:r>
        <w:t xml:space="preserve">- Preaction dry pipe or clean agent in data halls</w:t>
      </w:r>
      <w:r>
        <w:t xml:space="preserve"> </w:t>
      </w:r>
      <w:r>
        <w:t xml:space="preserve">- ESFR sprinklers (if wet/preaction)</w:t>
      </w:r>
      <w:r>
        <w:t xml:space="preserve"> </w:t>
      </w:r>
      <w:r>
        <w:t xml:space="preserve">- Clean agent in UPS/electrical rooms</w:t>
      </w:r>
    </w:p>
    <w:p>
      <w:pPr>
        <w:pStyle w:val="BodyText"/>
      </w:pPr>
      <w:r>
        <w:rPr>
          <w:b/>
          <w:bCs/>
        </w:rPr>
        <w:t xml:space="preserve">Detection:</w:t>
      </w:r>
      <w:r>
        <w:t xml:space="preserve"> </w:t>
      </w:r>
      <w:r>
        <w:t xml:space="preserve">- VESDA or equivalent very early smoke detection</w:t>
      </w:r>
      <w:r>
        <w:t xml:space="preserve"> </w:t>
      </w:r>
      <w:r>
        <w:t xml:space="preserve">- Dual-stage alarming (alert + alarm)</w:t>
      </w:r>
    </w:p>
    <w:p>
      <w:pPr>
        <w:pStyle w:val="BodyText"/>
      </w:pPr>
      <w:r>
        <w:rPr>
          <w:b/>
          <w:bCs/>
        </w:rPr>
        <w:t xml:space="preserve">Egress:</w:t>
      </w:r>
      <w:r>
        <w:t xml:space="preserve"> </w:t>
      </w:r>
      <w:r>
        <w:t xml:space="preserve">- Clear exit paths, emergency lighting, notification</w:t>
      </w:r>
    </w:p>
    <w:p>
      <w:pPr>
        <w:pStyle w:val="BodyText"/>
      </w:pPr>
      <w:r>
        <w:rPr>
          <w:b/>
          <w:bCs/>
        </w:rPr>
        <w:t xml:space="preserve">Testing:</w:t>
      </w:r>
      <w:r>
        <w:t xml:space="preserve"> </w:t>
      </w:r>
      <w:r>
        <w:t xml:space="preserve">- Quarterly fire alarm testing</w:t>
      </w:r>
      <w:r>
        <w:t xml:space="preserve"> </w:t>
      </w:r>
      <w:r>
        <w:t xml:space="preserve">- Annual sprinkler flow testing</w:t>
      </w:r>
      <w:r>
        <w:t xml:space="preserve"> </w:t>
      </w:r>
      <w:r>
        <w:t xml:space="preserve">- VESDA calibration every 6-12 months</w:t>
      </w:r>
    </w:p>
    <w:p>
      <w:pPr>
        <w:pStyle w:val="BodyText"/>
      </w:pPr>
      <w:r>
        <w:rPr>
          <w:b/>
          <w:bCs/>
        </w:rPr>
        <w:t xml:space="preserve">Benefits of Compliance:</w:t>
      </w:r>
      <w:r>
        <w:t xml:space="preserve"> </w:t>
      </w:r>
      <w:r>
        <w:t xml:space="preserve">- 20-30% insurance premium reduction</w:t>
      </w:r>
      <w:r>
        <w:t xml:space="preserve"> </w:t>
      </w:r>
      <w:r>
        <w:t xml:space="preserve">- Faster claim processing</w:t>
      </w:r>
      <w:r>
        <w:t xml:space="preserve"> </w:t>
      </w:r>
      <w:r>
        <w:t xml:space="preserve">- Risk engineering support from FM Global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cost-summary"/>
    <w:p>
      <w:pPr>
        <w:pStyle w:val="Heading2"/>
      </w:pPr>
      <w:r>
        <w:t xml:space="preserve">COST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System</w:t>
            </w:r>
          </w:p>
        </w:tc>
        <w:tc>
          <w:tcPr/>
          <w:p>
            <w:pPr>
              <w:pStyle w:val="Compact"/>
            </w:pPr>
            <w:r>
              <w:t xml:space="preserve">Cost Estimate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Hall Preaction (10,000 SF)</w:t>
            </w:r>
          </w:p>
        </w:tc>
        <w:tc>
          <w:tcPr/>
          <w:p>
            <w:pPr>
              <w:pStyle w:val="Compact"/>
            </w:pPr>
            <w:r>
              <w:t xml:space="preserve">$300-500K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Hall Clean Agent (Alternative)</w:t>
            </w:r>
          </w:p>
        </w:tc>
        <w:tc>
          <w:tcPr/>
          <w:p>
            <w:pPr>
              <w:pStyle w:val="Compact"/>
            </w:pPr>
            <w:r>
              <w:t xml:space="preserve">+$500-800K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PDM Integrated Suppression (2 units)</w:t>
            </w:r>
          </w:p>
        </w:tc>
        <w:tc>
          <w:tcPr/>
          <w:p>
            <w:pPr>
              <w:pStyle w:val="Compact"/>
            </w:pPr>
            <w:r>
              <w:t xml:space="preserve">Included in PDM cost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Wet Pipe (Support Spaces)</w:t>
            </w:r>
          </w:p>
        </w:tc>
        <w:tc>
          <w:tcPr/>
          <w:p>
            <w:pPr>
              <w:pStyle w:val="Compact"/>
            </w:pPr>
            <w:r>
              <w:t xml:space="preserve">$150-250K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VESDA Detection (Data Halls)</w:t>
            </w:r>
          </w:p>
        </w:tc>
        <w:tc>
          <w:tcPr/>
          <w:p>
            <w:pPr>
              <w:pStyle w:val="Compact"/>
            </w:pPr>
            <w:r>
              <w:t xml:space="preserve">$100-200K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Fire Alarm System (Addressable)</w:t>
            </w:r>
          </w:p>
        </w:tc>
        <w:tc>
          <w:tcPr/>
          <w:p>
            <w:pPr>
              <w:pStyle w:val="Compact"/>
            </w:pPr>
            <w:r>
              <w:t xml:space="preserve">$150-250K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Fire Pump + Storage (If Needed)</w:t>
            </w:r>
          </w:p>
        </w:tc>
        <w:tc>
          <w:tcPr/>
          <w:p>
            <w:pPr>
              <w:pStyle w:val="Compact"/>
            </w:pPr>
            <w:r>
              <w:t xml:space="preserve">$750K-1.5M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Portable Extinguishers</w:t>
            </w:r>
          </w:p>
        </w:tc>
        <w:tc>
          <w:tcPr/>
          <w:p>
            <w:pPr>
              <w:pStyle w:val="Compact"/>
            </w:pPr>
            <w:r>
              <w:t xml:space="preserve">$15-25K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(Preaction Option)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$1.5-2.7M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(Clean Agent Option)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$2.0-3.5M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#pryor-dc #fire-suppression #preaction #clean-agent #vesda #nfpa #tier-iii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Coordinate with insurance broker for FM Global approval requirements</w:t>
      </w:r>
      <w:r>
        <w:t xml:space="preserve"> </w:t>
      </w:r>
      <w:r>
        <w:t xml:space="preserve">2. Fire water availability study (municipal service or on-site storage)</w:t>
      </w:r>
      <w:r>
        <w:t xml:space="preserve"> </w:t>
      </w:r>
      <w:r>
        <w:t xml:space="preserve">3. Hydraulic sprinkler calculations (if preaction selected)</w:t>
      </w:r>
      <w:r>
        <w:t xml:space="preserve"> </w:t>
      </w:r>
      <w:r>
        <w:t xml:space="preserve">4. Clean agent design calculations (if gas suppression selected)</w:t>
      </w:r>
      <w:r>
        <w:t xml:space="preserve"> </w:t>
      </w:r>
      <w:r>
        <w:t xml:space="preserve">5. VESDA sampling point layout and airflow modeling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Pryor_Bod_EVS_Rev01.md and Erik_BOD reference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Updated: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Updates:</w:t>
      </w:r>
      <w:r>
        <w:t xml:space="preserve"> </w:t>
      </w:r>
      <w:r>
        <w:t xml:space="preserve">Preaction vs. clean agent analysis, VESDA specifications, FM Global compliance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2025-10-30T05:34:56Z</dcterms:created>
  <dcterms:modified xsi:type="dcterms:W3CDTF">2025-10-30T05:34:56Z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