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</w:t>
      </w:r>
    </w:p>
    <w:bookmarkStart w:id="37" w:name="basis-of-design---communications"/>
    <w:p>
      <w:pPr>
        <w:pStyle w:val="Heading1"/>
      </w:pPr>
      <w:r>
        <w:t xml:space="preserve">BASIS OF DESIGN - COMMUNICATIONS</w:t>
      </w:r>
    </w:p>
    <w:bookmarkStart w:id="10" w:name="csi-division-27"/>
    <w:p>
      <w:pPr>
        <w:pStyle w:val="Heading2"/>
      </w:pPr>
      <w:r>
        <w:t xml:space="preserve">CSI Division 27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Telecommunications infrastructure provides carrier-neutral, diverse, and redundant connectivity supporting 12 MW IT capacity with multiple fiber paths, cloud on-ramps, and structured cabling systems.</w:t>
      </w:r>
    </w:p>
    <w:p>
      <w:pPr>
        <w:pStyle w:val="BodyText"/>
      </w:pPr>
      <w:r>
        <w:rPr>
          <w:b/>
          <w:bCs/>
        </w:rPr>
        <w:t xml:space="preserve">Design Philosophy: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Carrier-neutral:</w:t>
      </w:r>
      <w:r>
        <w:t xml:space="preserve"> </w:t>
      </w:r>
      <w:r>
        <w:t xml:space="preserve">Open access to all telecommunications carriers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Physical diversity:</w:t>
      </w:r>
      <w:r>
        <w:t xml:space="preserve"> </w:t>
      </w:r>
      <w:r>
        <w:t xml:space="preserve">Multiple fiber entry points from different directions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Scalability:</w:t>
      </w:r>
      <w:r>
        <w:t xml:space="preserve"> </w:t>
      </w:r>
      <w:r>
        <w:t xml:space="preserve">Infrastructure sized for 12 MW (expandable to 24 MW master plan)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Cloud connectivity:</w:t>
      </w:r>
      <w:r>
        <w:t xml:space="preserve"> </w:t>
      </w:r>
      <w:r>
        <w:t xml:space="preserve">Direct connections to AWS, Azure, GCP</w:t>
      </w:r>
    </w:p>
    <w:p>
      <w:r>
        <w:pict>
          <v:rect style="width:0;height:1.5pt" o:hralign="center" o:hrstd="t" o:hr="t"/>
        </w:pict>
      </w:r>
    </w:p>
    <w:bookmarkEnd w:id="11"/>
    <w:bookmarkStart w:id="14" w:name="fiber-entry-path-diversity"/>
    <w:p>
      <w:pPr>
        <w:pStyle w:val="Heading2"/>
      </w:pPr>
      <w:r>
        <w:t xml:space="preserve">FIBER ENTRY &amp; PATH DIVERSITY</w:t>
      </w:r>
    </w:p>
    <w:bookmarkStart w:id="12" w:name="dual-fiber-entry-points"/>
    <w:p>
      <w:pPr>
        <w:pStyle w:val="Heading3"/>
      </w:pPr>
      <w:r>
        <w:t xml:space="preserve">Dual Fiber Entry Points</w:t>
      </w:r>
    </w:p>
    <w:p>
      <w:pPr>
        <w:pStyle w:val="FirstParagraph"/>
      </w:pPr>
      <w:r>
        <w:rPr>
          <w:b/>
          <w:bCs/>
        </w:rPr>
        <w:t xml:space="preserve">Primary Entry (East Side):</w:t>
      </w:r>
      <w:r>
        <w:t xml:space="preserve"> </w:t>
      </w:r>
      <w:r>
        <w:t xml:space="preserve">- Location: East wall, near electrical yard</w:t>
      </w:r>
      <w:r>
        <w:t xml:space="preserve"> </w:t>
      </w:r>
      <w:r>
        <w:t xml:space="preserve">- Conduits: 4 × 4” PVC/HDPE from property line to MPOE-1</w:t>
      </w:r>
      <w:r>
        <w:t xml:space="preserve"> </w:t>
      </w:r>
      <w:r>
        <w:t xml:space="preserve">- Vault: Telecommunications manhole at property line (carrier hand-off point)</w:t>
      </w:r>
      <w:r>
        <w:t xml:space="preserve"> </w:t>
      </w:r>
      <w:r>
        <w:t xml:space="preserve">- Purpose: Primary carrier route</w:t>
      </w:r>
    </w:p>
    <w:p>
      <w:pPr>
        <w:pStyle w:val="BodyText"/>
      </w:pPr>
      <w:r>
        <w:rPr>
          <w:b/>
          <w:bCs/>
        </w:rPr>
        <w:t xml:space="preserve">Secondary Entry (West Side - Diversity):</w:t>
      </w:r>
      <w:r>
        <w:t xml:space="preserve"> </w:t>
      </w:r>
      <w:r>
        <w:t xml:space="preserve">- Location: West wall, opposite side of building</w:t>
      </w:r>
      <w:r>
        <w:t xml:space="preserve"> </w:t>
      </w:r>
      <w:r>
        <w:t xml:space="preserve">- Conduits: 4 × 4” PVC/HDPE from property line to MPOE-2</w:t>
      </w:r>
      <w:r>
        <w:t xml:space="preserve"> </w:t>
      </w:r>
      <w:r>
        <w:t xml:space="preserve">- Vault: Separate telecommunications manhole</w:t>
      </w:r>
      <w:r>
        <w:t xml:space="preserve"> </w:t>
      </w:r>
      <w:r>
        <w:t xml:space="preserve">- Physical separation: &gt;150 ft from primary entry</w:t>
      </w:r>
      <w:r>
        <w:t xml:space="preserve"> </w:t>
      </w:r>
      <w:r>
        <w:t xml:space="preserve">- Purpose: Geographic diversity (different carrier routes)</w:t>
      </w:r>
    </w:p>
    <w:p>
      <w:pPr>
        <w:pStyle w:val="BodyText"/>
      </w:pPr>
      <w:r>
        <w:rPr>
          <w:b/>
          <w:bCs/>
        </w:rPr>
        <w:t xml:space="preserve">Benefits of Dual Entry:</w:t>
      </w:r>
      <w:r>
        <w:t xml:space="preserve"> </w:t>
      </w:r>
      <w:r>
        <w:t xml:space="preserve">- Redundancy: If one fiber route is cut, secondary route maintains connectivity</w:t>
      </w:r>
      <w:r>
        <w:t xml:space="preserve"> </w:t>
      </w:r>
      <w:r>
        <w:t xml:space="preserve">- Carrier diversity: Different carriers can use different entry points</w:t>
      </w:r>
      <w:r>
        <w:t xml:space="preserve"> </w:t>
      </w:r>
      <w:r>
        <w:t xml:space="preserve">- Future capacity: 8 total conduits support expansion to 24 MW</w:t>
      </w:r>
    </w:p>
    <w:bookmarkEnd w:id="12"/>
    <w:bookmarkStart w:id="13" w:name="conduit-infrastructure"/>
    <w:p>
      <w:pPr>
        <w:pStyle w:val="Heading3"/>
      </w:pPr>
      <w:r>
        <w:t xml:space="preserve">Conduit Infrastructure</w:t>
      </w:r>
    </w:p>
    <w:p>
      <w:pPr>
        <w:pStyle w:val="FirstParagraph"/>
      </w:pPr>
      <w:r>
        <w:rPr>
          <w:b/>
          <w:bCs/>
        </w:rPr>
        <w:t xml:space="preserve">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Material:</w:t>
      </w:r>
      <w:r>
        <w:t xml:space="preserve"> </w:t>
      </w:r>
      <w:r>
        <w:t xml:space="preserve">Schedule 40 PVC or HDPE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Size:</w:t>
      </w:r>
      <w:r>
        <w:t xml:space="preserve"> </w:t>
      </w:r>
      <w:r>
        <w:t xml:space="preserve">4” inner diameter (accommodates multiple fiber cables)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Pull rope:</w:t>
      </w:r>
      <w:r>
        <w:t xml:space="preserve"> </w:t>
      </w:r>
      <w:r>
        <w:t xml:space="preserve">Installed in all conduits for future cable installation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Markers:</w:t>
      </w:r>
      <w:r>
        <w:t xml:space="preserve"> </w:t>
      </w:r>
      <w:r>
        <w:t xml:space="preserve">Conduit route markers every 50 ft (locatable)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Depth:</w:t>
      </w:r>
      <w:r>
        <w:t xml:space="preserve"> </w:t>
      </w:r>
      <w:r>
        <w:t xml:space="preserve">36-48” burial depth per NEC Article 800</w:t>
      </w:r>
    </w:p>
    <w:p>
      <w:pPr>
        <w:pStyle w:val="BodyText"/>
      </w:pPr>
      <w:r>
        <w:rPr>
          <w:b/>
          <w:bCs/>
        </w:rPr>
        <w:t xml:space="preserve">Entry Seal:</w:t>
      </w:r>
      <w:r>
        <w:t xml:space="preserve"> </w:t>
      </w:r>
      <w:r>
        <w:t xml:space="preserve">- Fire-rated conduit sealing compound at building penetrations</w:t>
      </w:r>
      <w:r>
        <w:t xml:space="preserve"> </w:t>
      </w:r>
      <w:r>
        <w:t xml:space="preserve">- Prevents water intrusion, fire spread, and pest entry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X84201b7e22d5f8a0eee11c71b83619c8e92bf89"/>
    <w:p>
      <w:pPr>
        <w:pStyle w:val="Heading2"/>
      </w:pPr>
      <w:r>
        <w:t xml:space="preserve">MAIN POINT OF ENTRY (MPOE) &amp; MEET-ME-ROOMS (MMR)</w:t>
      </w:r>
    </w:p>
    <w:bookmarkStart w:id="15" w:name="configuration"/>
    <w:p>
      <w:pPr>
        <w:pStyle w:val="Heading3"/>
      </w:pPr>
      <w:r>
        <w:t xml:space="preserve">Configuration</w:t>
      </w:r>
    </w:p>
    <w:p>
      <w:pPr>
        <w:pStyle w:val="FirstParagraph"/>
      </w:pPr>
      <w:r>
        <w:rPr>
          <w:b/>
          <w:bCs/>
        </w:rPr>
        <w:t xml:space="preserve">2 × MPOE/MMR Facilities (Geographically Diverse):</w:t>
      </w:r>
    </w:p>
    <w:p>
      <w:pPr>
        <w:pStyle w:val="BodyText"/>
      </w:pPr>
      <w:r>
        <w:rPr>
          <w:b/>
          <w:bCs/>
        </w:rPr>
        <w:t xml:space="preserve">MPOE-1 (Primary):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East side, ground floor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Size:</w:t>
      </w:r>
      <w:r>
        <w:t xml:space="preserve"> </w:t>
      </w:r>
      <w:r>
        <w:t xml:space="preserve">250-300 SF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Fiber entry:</w:t>
      </w:r>
      <w:r>
        <w:t xml:space="preserve"> </w:t>
      </w:r>
      <w:r>
        <w:t xml:space="preserve">From east property line conduits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Purpose:</w:t>
      </w:r>
      <w:r>
        <w:t xml:space="preserve"> </w:t>
      </w:r>
      <w:r>
        <w:t xml:space="preserve">Primary carrier demarcation and cross-connect</w:t>
      </w:r>
    </w:p>
    <w:p>
      <w:pPr>
        <w:pStyle w:val="BodyText"/>
      </w:pPr>
      <w:r>
        <w:rPr>
          <w:b/>
          <w:bCs/>
        </w:rPr>
        <w:t xml:space="preserve">MPOE-2 (Secondary/Diverse):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West side, ground floor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Size:</w:t>
      </w:r>
      <w:r>
        <w:t xml:space="preserve"> </w:t>
      </w:r>
      <w:r>
        <w:t xml:space="preserve">250-300 SF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Fiber entry:</w:t>
      </w:r>
      <w:r>
        <w:t xml:space="preserve"> </w:t>
      </w:r>
      <w:r>
        <w:t xml:space="preserve">From west property line conduits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Purpose:</w:t>
      </w:r>
      <w:r>
        <w:t xml:space="preserve"> </w:t>
      </w:r>
      <w:r>
        <w:t xml:space="preserve">Diverse carrier route termination</w:t>
      </w:r>
    </w:p>
    <w:p>
      <w:pPr>
        <w:pStyle w:val="BodyText"/>
      </w:pPr>
      <w:r>
        <w:rPr>
          <w:b/>
          <w:bCs/>
        </w:rPr>
        <w:t xml:space="preserve">Why Two MPOEs:</w:t>
      </w:r>
      <w:r>
        <w:t xml:space="preserve"> </w:t>
      </w:r>
      <w:r>
        <w:t xml:space="preserve">- Geographic diversity (different fiber routes from different directions)</w:t>
      </w:r>
      <w:r>
        <w:t xml:space="preserve"> </w:t>
      </w:r>
      <w:r>
        <w:t xml:space="preserve">- Redundancy (if one MPOE fails or fiber cut, secondary maintains service)</w:t>
      </w:r>
      <w:r>
        <w:t xml:space="preserve"> </w:t>
      </w:r>
      <w:r>
        <w:t xml:space="preserve">- Carrier preference (some carriers prefer specific entry points)</w:t>
      </w:r>
    </w:p>
    <w:bookmarkEnd w:id="15"/>
    <w:bookmarkStart w:id="16" w:name="mpoemmr-specifications"/>
    <w:p>
      <w:pPr>
        <w:pStyle w:val="Heading3"/>
      </w:pPr>
      <w:r>
        <w:t xml:space="preserve">MPOE/MMR Specifications</w:t>
      </w:r>
    </w:p>
    <w:p>
      <w:pPr>
        <w:pStyle w:val="FirstParagraph"/>
      </w:pPr>
      <w:r>
        <w:rPr>
          <w:b/>
          <w:bCs/>
        </w:rPr>
        <w:t xml:space="preserve">Each MPOE/MMR Includes:</w:t>
      </w:r>
    </w:p>
    <w:p>
      <w:pPr>
        <w:pStyle w:val="BodyText"/>
      </w:pPr>
      <w:r>
        <w:rPr>
          <w:b/>
          <w:bCs/>
        </w:rPr>
        <w:t xml:space="preserve">Rack Space:</w:t>
      </w:r>
      <w:r>
        <w:t xml:space="preserve"> </w:t>
      </w:r>
      <w:r>
        <w:t xml:space="preserve">- 10-15 × 42U four-post racks (carrier equipment)</w:t>
      </w:r>
      <w:r>
        <w:t xml:space="preserve"> </w:t>
      </w:r>
      <w:r>
        <w:t xml:space="preserve">- Capacity: ~10-15 carriers per MMR (adequate for 12 MW facility)</w:t>
      </w:r>
    </w:p>
    <w:p>
      <w:pPr>
        <w:pStyle w:val="BodyText"/>
      </w:pPr>
      <w:r>
        <w:rPr>
          <w:b/>
          <w:bCs/>
        </w:rPr>
        <w:t xml:space="preserve">Power:</w:t>
      </w:r>
      <w:r>
        <w:t xml:space="preserve"> </w:t>
      </w:r>
      <w:r>
        <w:t xml:space="preserve">- Dual-feed power (A-side + B-side from SWBD-A and SWBD-B)</w:t>
      </w:r>
      <w:r>
        <w:t xml:space="preserve"> </w:t>
      </w:r>
      <w:r>
        <w:t xml:space="preserve">- 200-400A panel per MMR</w:t>
      </w:r>
      <w:r>
        <w:t xml:space="preserve"> </w:t>
      </w:r>
      <w:r>
        <w:t xml:space="preserve">- Redundant UPS-backed circuits for carrier equipment</w:t>
      </w:r>
    </w:p>
    <w:p>
      <w:pPr>
        <w:pStyle w:val="BodyText"/>
      </w:pPr>
      <w:r>
        <w:rPr>
          <w:b/>
          <w:bCs/>
        </w:rPr>
        <w:t xml:space="preserve">Cooling:</w:t>
      </w:r>
      <w:r>
        <w:t xml:space="preserve"> </w:t>
      </w:r>
      <w:r>
        <w:t xml:space="preserve">- Dedicated split system or precision cooling unit</w:t>
      </w:r>
      <w:r>
        <w:t xml:space="preserve"> </w:t>
      </w:r>
      <w:r>
        <w:t xml:space="preserve">- Capacity: [ROM] 30-50 kW per MMR (carrier equipment heat load)</w:t>
      </w:r>
      <w:r>
        <w:t xml:space="preserve"> </w:t>
      </w:r>
      <w:r>
        <w:t xml:space="preserve">- Redundancy: N+1 or dual units</w:t>
      </w:r>
    </w:p>
    <w:p>
      <w:pPr>
        <w:pStyle w:val="BodyText"/>
      </w:pPr>
      <w:r>
        <w:rPr>
          <w:b/>
          <w:bCs/>
        </w:rPr>
        <w:t xml:space="preserve">Fire Suppression:</w:t>
      </w:r>
      <w:r>
        <w:t xml:space="preserve"> </w:t>
      </w:r>
      <w:r>
        <w:t xml:space="preserve">- Preaction dry pipe or clean agent (coordinate with data hall system)</w:t>
      </w:r>
      <w:r>
        <w:t xml:space="preserve"> </w:t>
      </w:r>
      <w:r>
        <w:t xml:space="preserve">- VESDA smoke detection</w:t>
      </w:r>
    </w:p>
    <w:p>
      <w:pPr>
        <w:pStyle w:val="BodyText"/>
      </w:pPr>
      <w:r>
        <w:rPr>
          <w:b/>
          <w:bCs/>
        </w:rPr>
        <w:t xml:space="preserve">Grounding:</w:t>
      </w:r>
      <w:r>
        <w:t xml:space="preserve"> </w:t>
      </w:r>
      <w:r>
        <w:t xml:space="preserve">- Telecommunications main grounding busbar (TMGB) per TIA-607-C</w:t>
      </w:r>
      <w:r>
        <w:t xml:space="preserve"> </w:t>
      </w:r>
      <w:r>
        <w:t xml:space="preserve">- Bonded to building grounding system</w:t>
      </w:r>
    </w:p>
    <w:p>
      <w:pPr>
        <w:pStyle w:val="BodyText"/>
      </w:pPr>
      <w:r>
        <w:rPr>
          <w:b/>
          <w:bCs/>
        </w:rPr>
        <w:t xml:space="preserve">Security:</w:t>
      </w:r>
      <w:r>
        <w:t xml:space="preserve"> </w:t>
      </w:r>
      <w:r>
        <w:t xml:space="preserve">- Card reader + biometric (two-factor authentication)</w:t>
      </w:r>
      <w:r>
        <w:t xml:space="preserve"> </w:t>
      </w:r>
      <w:r>
        <w:t xml:space="preserve">- CCTV coverage (entry monitoring)</w:t>
      </w:r>
      <w:r>
        <w:t xml:space="preserve"> </w:t>
      </w:r>
      <w:r>
        <w:t xml:space="preserve">- Access restricted to facility staff and authorized carriers</w:t>
      </w:r>
    </w:p>
    <w:bookmarkEnd w:id="16"/>
    <w:bookmarkStart w:id="17" w:name="cross-connect-infrastructure"/>
    <w:p>
      <w:pPr>
        <w:pStyle w:val="Heading3"/>
      </w:pPr>
      <w:r>
        <w:t xml:space="preserve">Cross-Connect Infrastructure</w:t>
      </w:r>
    </w:p>
    <w:p>
      <w:pPr>
        <w:pStyle w:val="FirstParagraph"/>
      </w:pPr>
      <w:r>
        <w:rPr>
          <w:b/>
          <w:bCs/>
        </w:rPr>
        <w:t xml:space="preserve">Fiber Cross-Connect Panels:</w:t>
      </w:r>
      <w:r>
        <w:t xml:space="preserve"> </w:t>
      </w:r>
      <w:r>
        <w:t xml:space="preserve">- LC duplex or MTP/MPO high-density panels</w:t>
      </w:r>
      <w:r>
        <w:t xml:space="preserve"> </w:t>
      </w:r>
      <w:r>
        <w:t xml:space="preserve">- Capacity: 288-576 fibers per panel (adequate for 12 MW)</w:t>
      </w:r>
      <w:r>
        <w:t xml:space="preserve"> </w:t>
      </w:r>
      <w:r>
        <w:t xml:space="preserve">- Labeling: Customer ID, circuit ID, carrier name</w:t>
      </w:r>
    </w:p>
    <w:p>
      <w:pPr>
        <w:pStyle w:val="BodyText"/>
      </w:pPr>
      <w:r>
        <w:rPr>
          <w:b/>
          <w:bCs/>
        </w:rPr>
        <w:t xml:space="preserve">Cable Management:</w:t>
      </w:r>
      <w:r>
        <w:t xml:space="preserve"> </w:t>
      </w:r>
      <w:r>
        <w:t xml:space="preserve">- Overhead ladder rack or wire basket tray</w:t>
      </w:r>
      <w:r>
        <w:t xml:space="preserve"> </w:t>
      </w:r>
      <w:r>
        <w:t xml:space="preserve">- Vertical cable managers on racks</w:t>
      </w:r>
      <w:r>
        <w:t xml:space="preserve"> </w:t>
      </w:r>
      <w:r>
        <w:t xml:space="preserve">- Minimum bend radius: 1.5” for single-mode fiber</w:t>
      </w:r>
    </w:p>
    <w:p>
      <w:pPr>
        <w:pStyle w:val="BodyText"/>
      </w:pPr>
      <w:r>
        <w:rPr>
          <w:b/>
          <w:bCs/>
        </w:rPr>
        <w:t xml:space="preserve">Patch Cords:</w:t>
      </w:r>
      <w:r>
        <w:t xml:space="preserve"> </w:t>
      </w:r>
      <w:r>
        <w:t xml:space="preserve">- Single-mode fiber (OS2) for long-distance/carrier circuits</w:t>
      </w:r>
      <w:r>
        <w:t xml:space="preserve"> </w:t>
      </w:r>
      <w:r>
        <w:t xml:space="preserve">- Multi-mode fiber (OM4) for short in-building connections</w:t>
      </w:r>
      <w:r>
        <w:t xml:space="preserve"> </w:t>
      </w:r>
      <w:r>
        <w:t xml:space="preserve">- Quality: Low insertion loss (&lt;0.5 dB), tested and certified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main-distribution-area-mda"/>
    <w:p>
      <w:pPr>
        <w:pStyle w:val="Heading2"/>
      </w:pPr>
      <w:r>
        <w:t xml:space="preserve">MAIN DISTRIBUTION AREA (MDA)</w:t>
      </w:r>
    </w:p>
    <w:bookmarkStart w:id="19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Central location for facility network equipment (not customer equipment). Houses core switches, firewalls, and BMS/DCIM infrastructure.</w:t>
      </w:r>
    </w:p>
    <w:bookmarkEnd w:id="19"/>
    <w:bookmarkStart w:id="20" w:name="mda-specifications"/>
    <w:p>
      <w:pPr>
        <w:pStyle w:val="Heading3"/>
      </w:pPr>
      <w:r>
        <w:t xml:space="preserve">MDA Specifications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Adjacent to data halls (central position)</w:t>
      </w:r>
    </w:p>
    <w:p>
      <w:pPr>
        <w:pStyle w:val="BodyText"/>
      </w:pPr>
      <w:r>
        <w:rPr>
          <w:b/>
          <w:bCs/>
        </w:rPr>
        <w:t xml:space="preserve">Size:</w:t>
      </w:r>
      <w:r>
        <w:t xml:space="preserve"> </w:t>
      </w:r>
      <w:r>
        <w:t xml:space="preserve">300-400 SF</w:t>
      </w:r>
    </w:p>
    <w:p>
      <w:pPr>
        <w:pStyle w:val="BodyText"/>
      </w:pPr>
      <w:r>
        <w:rPr>
          <w:b/>
          <w:bCs/>
        </w:rPr>
        <w:t xml:space="preserve">Rack Space:</w:t>
      </w:r>
      <w:r>
        <w:t xml:space="preserve"> </w:t>
      </w:r>
      <w:r>
        <w:t xml:space="preserve">- 4-6 × 42U four-post racks</w:t>
      </w:r>
      <w:r>
        <w:t xml:space="preserve"> </w:t>
      </w:r>
      <w:r>
        <w:t xml:space="preserve">- Equipment: Core switches, firewalls, BMS/DCIM servers, NOC workstation switches</w:t>
      </w:r>
    </w:p>
    <w:p>
      <w:pPr>
        <w:pStyle w:val="BodyText"/>
      </w:pPr>
      <w:r>
        <w:rPr>
          <w:b/>
          <w:bCs/>
        </w:rPr>
        <w:t xml:space="preserve">Power:</w:t>
      </w:r>
      <w:r>
        <w:t xml:space="preserve"> </w:t>
      </w:r>
      <w:r>
        <w:t xml:space="preserve">- Dual-feed UPS-backed circuits (A-side + B-side)</w:t>
      </w:r>
      <w:r>
        <w:t xml:space="preserve"> </w:t>
      </w:r>
      <w:r>
        <w:t xml:space="preserve">- 100-200A panel</w:t>
      </w:r>
    </w:p>
    <w:p>
      <w:pPr>
        <w:pStyle w:val="BodyText"/>
      </w:pPr>
      <w:r>
        <w:rPr>
          <w:b/>
          <w:bCs/>
        </w:rPr>
        <w:t xml:space="preserve">Cooling:</w:t>
      </w:r>
      <w:r>
        <w:t xml:space="preserve"> </w:t>
      </w:r>
      <w:r>
        <w:t xml:space="preserve">- Shared with data hall HVAC or dedicated mini-split</w:t>
      </w:r>
      <w:r>
        <w:t xml:space="preserve"> </w:t>
      </w:r>
      <w:r>
        <w:t xml:space="preserve">- Capacity: [ROM] 20-30 kW</w:t>
      </w:r>
    </w:p>
    <w:p>
      <w:pPr>
        <w:pStyle w:val="BodyText"/>
      </w:pPr>
      <w:r>
        <w:rPr>
          <w:b/>
          <w:bCs/>
        </w:rPr>
        <w:t xml:space="preserve">Structured Cabling:</w:t>
      </w:r>
      <w:r>
        <w:t xml:space="preserve"> </w:t>
      </w:r>
      <w:r>
        <w:t xml:space="preserve">- Fiber backbone from MDA to each data hall zone</w:t>
      </w:r>
      <w:r>
        <w:t xml:space="preserve"> </w:t>
      </w:r>
      <w:r>
        <w:t xml:space="preserve">- Fiber: 24-48 strands single-mode + 24-48 strands multi-mode</w:t>
      </w:r>
      <w:r>
        <w:t xml:space="preserve"> </w:t>
      </w:r>
      <w:r>
        <w:t xml:space="preserve">- Copper: Cat6A for management network (if needed)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facility-backbone-architecture"/>
    <w:p>
      <w:pPr>
        <w:pStyle w:val="Heading2"/>
      </w:pPr>
      <w:r>
        <w:t xml:space="preserve">FACILITY BACKBONE ARCHITECTURE</w:t>
      </w:r>
    </w:p>
    <w:bookmarkStart w:id="22" w:name="network-segmentation"/>
    <w:p>
      <w:pPr>
        <w:pStyle w:val="Heading3"/>
      </w:pPr>
      <w:r>
        <w:t xml:space="preserve">Network Segmentation</w:t>
      </w:r>
    </w:p>
    <w:p>
      <w:pPr>
        <w:pStyle w:val="FirstParagraph"/>
      </w:pPr>
      <w:r>
        <w:rPr>
          <w:b/>
          <w:bCs/>
        </w:rPr>
        <w:t xml:space="preserve">Physical Networks:</w:t>
      </w:r>
    </w:p>
    <w:p>
      <w:pPr>
        <w:pStyle w:val="BodyText"/>
      </w:pPr>
      <w:r>
        <w:rPr>
          <w:b/>
          <w:bCs/>
        </w:rPr>
        <w:t xml:space="preserve">1. IT Network (Customer):</w:t>
      </w:r>
      <w:r>
        <w:t xml:space="preserve"> </w:t>
      </w:r>
      <w:r>
        <w:t xml:space="preserve">- Customer servers, applications, internet gateway</w:t>
      </w:r>
      <w:r>
        <w:t xml:space="preserve"> </w:t>
      </w:r>
      <w:r>
        <w:t xml:space="preserve">- Isolated from facility networks (firewall, VLAN segmentation)</w:t>
      </w:r>
      <w:r>
        <w:t xml:space="preserve"> </w:t>
      </w:r>
      <w:r>
        <w:t xml:space="preserve">- No direct connection to facility BMS/DCIM</w:t>
      </w:r>
    </w:p>
    <w:p>
      <w:pPr>
        <w:pStyle w:val="BodyText"/>
      </w:pPr>
      <w:r>
        <w:rPr>
          <w:b/>
          <w:bCs/>
        </w:rPr>
        <w:t xml:space="preserve">2. Facility Network (BMS/DCIM):</w:t>
      </w:r>
      <w:r>
        <w:t xml:space="preserve"> </w:t>
      </w:r>
      <w:r>
        <w:t xml:space="preserve">- Building management system (HVAC, lighting)</w:t>
      </w:r>
      <w:r>
        <w:t xml:space="preserve"> </w:t>
      </w:r>
      <w:r>
        <w:t xml:space="preserve">- EPMS (electrical power monitoring)</w:t>
      </w:r>
      <w:r>
        <w:t xml:space="preserve"> </w:t>
      </w:r>
      <w:r>
        <w:t xml:space="preserve">- DCIM (rack power/cooling monitoring)</w:t>
      </w:r>
      <w:r>
        <w:t xml:space="preserve"> </w:t>
      </w:r>
      <w:r>
        <w:t xml:space="preserve">- Access control, CCTV</w:t>
      </w:r>
    </w:p>
    <w:p>
      <w:pPr>
        <w:pStyle w:val="BodyText"/>
      </w:pPr>
      <w:r>
        <w:rPr>
          <w:b/>
          <w:bCs/>
        </w:rPr>
        <w:t xml:space="preserve">3. Management Network (NOC/Admin):</w:t>
      </w:r>
      <w:r>
        <w:t xml:space="preserve"> </w:t>
      </w:r>
      <w:r>
        <w:t xml:space="preserve">- NOC workstations</w:t>
      </w:r>
      <w:r>
        <w:t xml:space="preserve"> </w:t>
      </w:r>
      <w:r>
        <w:t xml:space="preserve">- Remote access (VPN gateway)</w:t>
      </w:r>
      <w:r>
        <w:t xml:space="preserve"> </w:t>
      </w:r>
      <w:r>
        <w:t xml:space="preserve">- Administrative access to facility systems</w:t>
      </w:r>
    </w:p>
    <w:p>
      <w:pPr>
        <w:pStyle w:val="BodyText"/>
      </w:pPr>
      <w:r>
        <w:rPr>
          <w:b/>
          <w:bCs/>
        </w:rPr>
        <w:t xml:space="preserve">Firewall:</w:t>
      </w:r>
      <w:r>
        <w:t xml:space="preserve"> </w:t>
      </w:r>
      <w:r>
        <w:t xml:space="preserve">Between IT and Facility networks (strict access control rules)</w:t>
      </w:r>
    </w:p>
    <w:bookmarkEnd w:id="22"/>
    <w:bookmarkStart w:id="23" w:name="backbone-topology"/>
    <w:p>
      <w:pPr>
        <w:pStyle w:val="Heading3"/>
      </w:pPr>
      <w:r>
        <w:t xml:space="preserve">Backbone Topology</w:t>
      </w:r>
    </w:p>
    <w:p>
      <w:pPr>
        <w:pStyle w:val="FirstParagraph"/>
      </w:pPr>
      <w:r>
        <w:rPr>
          <w:b/>
          <w:bCs/>
        </w:rPr>
        <w:t xml:space="preserve">Redundant Fiber Ring:</w:t>
      </w:r>
      <w:r>
        <w:t xml:space="preserve"> </w:t>
      </w:r>
      <w:r>
        <w:t xml:space="preserve">- Fiber backbone connects MDA → Data Hall 1 → Data Hall 2 → MPOE-1 → MPOE-2 → MDA (ring)</w:t>
      </w:r>
      <w:r>
        <w:t xml:space="preserve"> </w:t>
      </w:r>
      <w:r>
        <w:t xml:space="preserve">- Dual fiber paths (A-side + B-side)</w:t>
      </w:r>
      <w:r>
        <w:t xml:space="preserve"> </w:t>
      </w:r>
      <w:r>
        <w:t xml:space="preserve">- Automatic failover if one fiber path cut</w:t>
      </w:r>
    </w:p>
    <w:p>
      <w:pPr>
        <w:pStyle w:val="BodyText"/>
      </w:pPr>
      <w:r>
        <w:rPr>
          <w:b/>
          <w:bCs/>
        </w:rPr>
        <w:t xml:space="preserve">Core Switches:</w:t>
      </w:r>
      <w:r>
        <w:t xml:space="preserve"> </w:t>
      </w:r>
      <w:r>
        <w:t xml:space="preserve">- 2 × redundant core switches in MDA (A/B)</w:t>
      </w:r>
      <w:r>
        <w:t xml:space="preserve"> </w:t>
      </w:r>
      <w:r>
        <w:t xml:space="preserve">- 10 Gbps or 40 Gbps uplinks</w:t>
      </w:r>
      <w:r>
        <w:t xml:space="preserve"> </w:t>
      </w:r>
      <w:r>
        <w:t xml:space="preserve">- Layer 3 routing, VLANs for network segmentation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structured-cabling-data-halls"/>
    <w:p>
      <w:pPr>
        <w:pStyle w:val="Heading2"/>
      </w:pPr>
      <w:r>
        <w:t xml:space="preserve">STRUCTURED CABLING (DATA HALLS)</w:t>
      </w:r>
    </w:p>
    <w:bookmarkStart w:id="25" w:name="horizontal-cabling"/>
    <w:p>
      <w:pPr>
        <w:pStyle w:val="Heading3"/>
      </w:pPr>
      <w:r>
        <w:t xml:space="preserve">Horizontal Cabling</w:t>
      </w:r>
    </w:p>
    <w:p>
      <w:pPr>
        <w:pStyle w:val="FirstParagraph"/>
      </w:pPr>
      <w:r>
        <w:rPr>
          <w:b/>
          <w:bCs/>
        </w:rPr>
        <w:t xml:space="preserve">Configuration:</w:t>
      </w:r>
      <w:r>
        <w:t xml:space="preserve"> </w:t>
      </w:r>
      <w:r>
        <w:t xml:space="preserve">- Overhead ladder rack or wire basket tray</w:t>
      </w:r>
      <w:r>
        <w:t xml:space="preserve"> </w:t>
      </w:r>
      <w:r>
        <w:t xml:space="preserve">- Route: MDA → Data hall zone distribution frames → Cabinets</w:t>
      </w:r>
      <w:r>
        <w:t xml:space="preserve"> </w:t>
      </w:r>
      <w:r>
        <w:t xml:space="preserve">- No raised floor (slab-on-grade with overhead cable distribution)</w:t>
      </w:r>
    </w:p>
    <w:p>
      <w:pPr>
        <w:pStyle w:val="BodyText"/>
      </w:pPr>
      <w:r>
        <w:rPr>
          <w:b/>
          <w:bCs/>
        </w:rPr>
        <w:t xml:space="preserve">Cabling Types: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Fiber:</w:t>
      </w:r>
      <w:r>
        <w:t xml:space="preserve"> </w:t>
      </w:r>
      <w:r>
        <w:t xml:space="preserve">OM4 multi-mode (850 nm, 100 Gbps capable) for cabinet connections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Copper:</w:t>
      </w:r>
      <w:r>
        <w:t xml:space="preserve"> </w:t>
      </w:r>
      <w:r>
        <w:t xml:space="preserve">Cat6A (10 Gbps) for management/IPMI connections (if needed)</w:t>
      </w:r>
    </w:p>
    <w:p>
      <w:pPr>
        <w:pStyle w:val="BodyText"/>
      </w:pPr>
      <w:r>
        <w:rPr>
          <w:b/>
          <w:bCs/>
        </w:rPr>
        <w:t xml:space="preserve">Cabinet Connectivity:</w:t>
      </w:r>
      <w:r>
        <w:t xml:space="preserve"> </w:t>
      </w:r>
      <w:r>
        <w:t xml:space="preserve">- 2 × fiber pairs per cabinet (A-side + B-side for redundancy)</w:t>
      </w:r>
      <w:r>
        <w:t xml:space="preserve"> </w:t>
      </w:r>
      <w:r>
        <w:t xml:space="preserve">- Terminates at cabinet top-of-rack (ToR) switches or directly to customer equipment</w:t>
      </w:r>
    </w:p>
    <w:bookmarkEnd w:id="25"/>
    <w:bookmarkStart w:id="26" w:name="labeling-documentation"/>
    <w:p>
      <w:pPr>
        <w:pStyle w:val="Heading3"/>
      </w:pPr>
      <w:r>
        <w:t xml:space="preserve">Labeling &amp; Documentation</w:t>
      </w:r>
    </w:p>
    <w:p>
      <w:pPr>
        <w:pStyle w:val="FirstParagraph"/>
      </w:pPr>
      <w:r>
        <w:rPr>
          <w:b/>
          <w:bCs/>
        </w:rPr>
        <w:t xml:space="preserve">Cable Labels:</w:t>
      </w:r>
      <w:r>
        <w:t xml:space="preserve"> </w:t>
      </w:r>
      <w:r>
        <w:t xml:space="preserve">- Source/destination, circuit ID, installation date</w:t>
      </w:r>
      <w:r>
        <w:t xml:space="preserve"> </w:t>
      </w:r>
      <w:r>
        <w:t xml:space="preserve">- Attached at both ends and every 10 ft along route</w:t>
      </w:r>
    </w:p>
    <w:p>
      <w:pPr>
        <w:pStyle w:val="BodyText"/>
      </w:pPr>
      <w:r>
        <w:rPr>
          <w:b/>
          <w:bCs/>
        </w:rPr>
        <w:t xml:space="preserve">As-Built Documentation:</w:t>
      </w:r>
      <w:r>
        <w:t xml:space="preserve"> </w:t>
      </w:r>
      <w:r>
        <w:t xml:space="preserve">- CAD drawings showing all fiber routes, patch panel assignments</w:t>
      </w:r>
      <w:r>
        <w:t xml:space="preserve"> </w:t>
      </w:r>
      <w:r>
        <w:t xml:space="preserve">- Cable schedule (Excel or database) with circuit IDs, customer assignments</w:t>
      </w:r>
      <w:r>
        <w:t xml:space="preserve"> </w:t>
      </w:r>
      <w:r>
        <w:t xml:space="preserve">- Updated whenever changes are made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cloud-connectivity"/>
    <w:p>
      <w:pPr>
        <w:pStyle w:val="Heading2"/>
      </w:pPr>
      <w:r>
        <w:t xml:space="preserve">CLOUD CONNECTIVITY</w:t>
      </w:r>
    </w:p>
    <w:bookmarkStart w:id="28" w:name="cloud-on-ramp-strategy"/>
    <w:p>
      <w:pPr>
        <w:pStyle w:val="Heading3"/>
      </w:pPr>
      <w:r>
        <w:t xml:space="preserve">Cloud On-Ramp Strategy</w:t>
      </w:r>
    </w:p>
    <w:p>
      <w:pPr>
        <w:pStyle w:val="FirstParagraph"/>
      </w:pPr>
      <w:r>
        <w:rPr>
          <w:b/>
          <w:bCs/>
        </w:rPr>
        <w:t xml:space="preserve">Direct connections to major cloud providers:</w:t>
      </w:r>
    </w:p>
    <w:p>
      <w:pPr>
        <w:pStyle w:val="BodyText"/>
      </w:pPr>
      <w:r>
        <w:rPr>
          <w:b/>
          <w:bCs/>
        </w:rPr>
        <w:t xml:space="preserve">AWS Direct Connect:</w:t>
      </w:r>
      <w:r>
        <w:t xml:space="preserve"> </w:t>
      </w:r>
      <w:r>
        <w:t xml:space="preserve">- Via carrier partners (Equinix, Megaport, etc.)</w:t>
      </w:r>
      <w:r>
        <w:t xml:space="preserve"> </w:t>
      </w:r>
      <w:r>
        <w:t xml:space="preserve">- Bandwidth: 1 Gbps, 10 Gbps, or 100 Gbps</w:t>
      </w:r>
      <w:r>
        <w:t xml:space="preserve"> </w:t>
      </w:r>
      <w:r>
        <w:t xml:space="preserve">- Latency: &lt;5 ms to nearest AWS region (likely Dallas or Kansas City)</w:t>
      </w:r>
    </w:p>
    <w:p>
      <w:pPr>
        <w:pStyle w:val="BodyText"/>
      </w:pPr>
      <w:r>
        <w:rPr>
          <w:b/>
          <w:bCs/>
        </w:rPr>
        <w:t xml:space="preserve">Microsoft Azure ExpressRoute:</w:t>
      </w:r>
      <w:r>
        <w:t xml:space="preserve"> </w:t>
      </w:r>
      <w:r>
        <w:t xml:space="preserve">- Via carrier partners</w:t>
      </w:r>
      <w:r>
        <w:t xml:space="preserve"> </w:t>
      </w:r>
      <w:r>
        <w:t xml:space="preserve">- Bandwidth: 50 Mbps to 100 Gbps</w:t>
      </w:r>
      <w:r>
        <w:t xml:space="preserve"> </w:t>
      </w:r>
      <w:r>
        <w:t xml:space="preserve">- Private connection to Azure services</w:t>
      </w:r>
    </w:p>
    <w:p>
      <w:pPr>
        <w:pStyle w:val="BodyText"/>
      </w:pPr>
      <w:r>
        <w:rPr>
          <w:b/>
          <w:bCs/>
        </w:rPr>
        <w:t xml:space="preserve">Google Cloud Platform (GCP):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Proximity advantage:</w:t>
      </w:r>
      <w:r>
        <w:t xml:space="preserve"> </w:t>
      </w:r>
      <w:r>
        <w:t xml:space="preserve">Pryor is ~20 miles from Google’s Mayes County data center campus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Potential for low-latency interconnect:</w:t>
      </w:r>
      <w:r>
        <w:t xml:space="preserve"> </w:t>
      </w:r>
      <w:r>
        <w:t xml:space="preserve">&lt;2 ms if direct fiber route available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Interconnection options:</w:t>
      </w:r>
      <w:r>
        <w:t xml:space="preserve"> </w:t>
      </w:r>
      <w:r>
        <w:t xml:space="preserve">- Partner Interconnect (via carrier in MMR)</w:t>
      </w:r>
      <w:r>
        <w:t xml:space="preserve"> </w:t>
      </w:r>
      <w:r>
        <w:t xml:space="preserve">- Dedicated Interconnect (if direct fiber to Google facility negotiated)</w:t>
      </w:r>
    </w:p>
    <w:bookmarkEnd w:id="28"/>
    <w:bookmarkStart w:id="29" w:name="implementation"/>
    <w:p>
      <w:pPr>
        <w:pStyle w:val="Heading3"/>
      </w:pPr>
      <w:r>
        <w:t xml:space="preserve">Implementation</w:t>
      </w:r>
    </w:p>
    <w:p>
      <w:pPr>
        <w:pStyle w:val="FirstParagraph"/>
      </w:pPr>
      <w:r>
        <w:rPr>
          <w:b/>
          <w:bCs/>
        </w:rPr>
        <w:t xml:space="preserve">Carrier Partners:</w:t>
      </w:r>
      <w:r>
        <w:t xml:space="preserve"> </w:t>
      </w:r>
      <w:r>
        <w:t xml:space="preserve">- Carriers present in MMR offer cloud on-ramps as a service</w:t>
      </w:r>
      <w:r>
        <w:t xml:space="preserve"> </w:t>
      </w:r>
      <w:r>
        <w:t xml:space="preserve">- Customer orders cross-connect from MMR to their cabinet</w:t>
      </w:r>
      <w:r>
        <w:t xml:space="preserve"> </w:t>
      </w:r>
      <w:r>
        <w:t xml:space="preserve">- Carrier provides cloud connectivity (AWS, Azure, GCP)</w:t>
      </w:r>
    </w:p>
    <w:p>
      <w:pPr>
        <w:pStyle w:val="BodyText"/>
      </w:pPr>
      <w:r>
        <w:rPr>
          <w:b/>
          <w:bCs/>
        </w:rPr>
        <w:t xml:space="preserve">Customer Value:</w:t>
      </w:r>
      <w:r>
        <w:t xml:space="preserve"> </w:t>
      </w:r>
      <w:r>
        <w:t xml:space="preserve">- Low-latency hybrid cloud deployments</w:t>
      </w:r>
      <w:r>
        <w:t xml:space="preserve"> </w:t>
      </w:r>
      <w:r>
        <w:t xml:space="preserve">- Reduced data egress costs (bypass internet)</w:t>
      </w:r>
      <w:r>
        <w:t xml:space="preserve"> </w:t>
      </w:r>
      <w:r>
        <w:t xml:space="preserve">- Secure private connectivity to cloud services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telecommunications-grounding-bonding"/>
    <w:p>
      <w:pPr>
        <w:pStyle w:val="Heading2"/>
      </w:pPr>
      <w:r>
        <w:t xml:space="preserve">TELECOMMUNICATIONS GROUNDING &amp; BONDING</w:t>
      </w:r>
    </w:p>
    <w:bookmarkStart w:id="31" w:name="tia-942-compliance"/>
    <w:p>
      <w:pPr>
        <w:pStyle w:val="Heading3"/>
      </w:pPr>
      <w:r>
        <w:t xml:space="preserve">TIA-942 Compliance</w:t>
      </w:r>
    </w:p>
    <w:p>
      <w:pPr>
        <w:pStyle w:val="FirstParagraph"/>
      </w:pPr>
      <w:r>
        <w:rPr>
          <w:b/>
          <w:bCs/>
        </w:rPr>
        <w:t xml:space="preserve">Telecommunications Main Grounding Busbar (TMGB):</w:t>
      </w:r>
      <w:r>
        <w:t xml:space="preserve"> </w:t>
      </w:r>
      <w:r>
        <w:t xml:space="preserve">- Located in MDA</w:t>
      </w:r>
      <w:r>
        <w:t xml:space="preserve"> </w:t>
      </w:r>
      <w:r>
        <w:t xml:space="preserve">- 1/4” × 2” copper busbar, minimum 10 ft long</w:t>
      </w:r>
      <w:r>
        <w:t xml:space="preserve"> </w:t>
      </w:r>
      <w:r>
        <w:t xml:space="preserve">- Bonded to building grounding electrode system</w:t>
      </w:r>
    </w:p>
    <w:p>
      <w:pPr>
        <w:pStyle w:val="BodyText"/>
      </w:pPr>
      <w:r>
        <w:rPr>
          <w:b/>
          <w:bCs/>
        </w:rPr>
        <w:t xml:space="preserve">Telecommunications Bonding Backbone (TBB):</w:t>
      </w:r>
      <w:r>
        <w:t xml:space="preserve"> </w:t>
      </w:r>
      <w:r>
        <w:t xml:space="preserve">- 6 AWG bare copper conductor</w:t>
      </w:r>
      <w:r>
        <w:t xml:space="preserve"> </w:t>
      </w:r>
      <w:r>
        <w:t xml:space="preserve">- Connects TMGB to grounding busbars in each MPOE/MMR, data hall zone</w:t>
      </w:r>
    </w:p>
    <w:p>
      <w:pPr>
        <w:pStyle w:val="BodyText"/>
      </w:pPr>
      <w:r>
        <w:rPr>
          <w:b/>
          <w:bCs/>
        </w:rPr>
        <w:t xml:space="preserve">Equipment Grounding:</w:t>
      </w:r>
      <w:r>
        <w:t xml:space="preserve"> </w:t>
      </w:r>
      <w:r>
        <w:t xml:space="preserve">- All racks bonded to TBB via 6 AWG copper</w:t>
      </w:r>
      <w:r>
        <w:t xml:space="preserve"> </w:t>
      </w:r>
      <w:r>
        <w:t xml:space="preserve">- All carrier equipment chassis bonded to rack</w:t>
      </w:r>
      <w:r>
        <w:t xml:space="preserve"> </w:t>
      </w:r>
      <w:r>
        <w:t xml:space="preserve">- Fiber cable shields bonded at entry point only (avoid ground loops)</w:t>
      </w:r>
    </w:p>
    <w:p>
      <w:pPr>
        <w:pStyle w:val="BodyText"/>
      </w:pPr>
      <w:r>
        <w:rPr>
          <w:b/>
          <w:bCs/>
        </w:rPr>
        <w:t xml:space="preserve">Standards:</w:t>
      </w:r>
      <w:r>
        <w:t xml:space="preserve"> </w:t>
      </w:r>
      <w:r>
        <w:t xml:space="preserve">- TIA-607-C (Telecommunications Bonding and Grounding)</w:t>
      </w:r>
      <w:r>
        <w:t xml:space="preserve"> </w:t>
      </w:r>
      <w:r>
        <w:t xml:space="preserve">- J-STD-607-B (Commercial Building Grounding/Bonding)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carrier-onboarding-process"/>
    <w:p>
      <w:pPr>
        <w:pStyle w:val="Heading2"/>
      </w:pPr>
      <w:r>
        <w:t xml:space="preserve">CARRIER ONBOARDING PROCESS</w:t>
      </w:r>
    </w:p>
    <w:bookmarkStart w:id="33" w:name="new-carrier-installation"/>
    <w:p>
      <w:pPr>
        <w:pStyle w:val="Heading3"/>
      </w:pPr>
      <w:r>
        <w:t xml:space="preserve">New Carrier Installation</w:t>
      </w:r>
    </w:p>
    <w:p>
      <w:pPr>
        <w:pStyle w:val="FirstParagraph"/>
      </w:pPr>
      <w:r>
        <w:rPr>
          <w:b/>
          <w:bCs/>
        </w:rPr>
        <w:t xml:space="preserve">Step 1: Carrier Requests Space</w:t>
      </w:r>
      <w:r>
        <w:t xml:space="preserve"> </w:t>
      </w:r>
      <w:r>
        <w:t xml:space="preserve">- Carrier submits application (equipment list, power requirements, fiber route)</w:t>
      </w:r>
      <w:r>
        <w:t xml:space="preserve"> </w:t>
      </w:r>
      <w:r>
        <w:t xml:space="preserve">- Facility approves based on MMR capacity</w:t>
      </w:r>
    </w:p>
    <w:p>
      <w:pPr>
        <w:pStyle w:val="BodyText"/>
      </w:pPr>
      <w:r>
        <w:rPr>
          <w:b/>
          <w:bCs/>
        </w:rPr>
        <w:t xml:space="preserve">Step 2: Carrier Installation</w:t>
      </w:r>
      <w:r>
        <w:t xml:space="preserve"> </w:t>
      </w:r>
      <w:r>
        <w:t xml:space="preserve">- Carrier pulls fiber from property line vault to assigned MMR</w:t>
      </w:r>
      <w:r>
        <w:t xml:space="preserve"> </w:t>
      </w:r>
      <w:r>
        <w:t xml:space="preserve">- Carrier installs equipment in assigned rack space</w:t>
      </w:r>
      <w:r>
        <w:t xml:space="preserve"> </w:t>
      </w:r>
      <w:r>
        <w:t xml:space="preserve">- Carrier terminates fiber on designated cross-connect panel</w:t>
      </w:r>
    </w:p>
    <w:p>
      <w:pPr>
        <w:pStyle w:val="BodyText"/>
      </w:pPr>
      <w:r>
        <w:rPr>
          <w:b/>
          <w:bCs/>
        </w:rPr>
        <w:t xml:space="preserve">Step 3: Cross-Connect Activation</w:t>
      </w:r>
      <w:r>
        <w:t xml:space="preserve"> </w:t>
      </w:r>
      <w:r>
        <w:t xml:space="preserve">- Customer orders cross-connect from carrier panel to customer cabinet</w:t>
      </w:r>
      <w:r>
        <w:t xml:space="preserve"> </w:t>
      </w:r>
      <w:r>
        <w:t xml:space="preserve">- Facility staff install fiber patch cord (MMR → customer cabinet)</w:t>
      </w:r>
      <w:r>
        <w:t xml:space="preserve"> </w:t>
      </w:r>
      <w:r>
        <w:t xml:space="preserve">- Circuit tested and activated</w:t>
      </w:r>
    </w:p>
    <w:p>
      <w:pPr>
        <w:pStyle w:val="BodyText"/>
      </w:pPr>
      <w:r>
        <w:rPr>
          <w:b/>
          <w:bCs/>
        </w:rPr>
        <w:t xml:space="preserve">Step 4: Ongoing Maintenance</w:t>
      </w:r>
      <w:r>
        <w:t xml:space="preserve"> </w:t>
      </w:r>
      <w:r>
        <w:t xml:space="preserve">- Carrier responsible for their equipment maintenance</w:t>
      </w:r>
      <w:r>
        <w:t xml:space="preserve"> </w:t>
      </w:r>
      <w:r>
        <w:t xml:space="preserve">- Facility provides rack space, power, cooling, security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cost-summary"/>
    <w:p>
      <w:pPr>
        <w:pStyle w:val="Heading2"/>
      </w:pPr>
      <w:r>
        <w:t xml:space="preserve">COST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System</w:t>
            </w:r>
          </w:p>
        </w:tc>
        <w:tc>
          <w:tcPr/>
          <w:p>
            <w:pPr>
              <w:pStyle w:val="Compact"/>
            </w:pPr>
            <w:r>
              <w:t xml:space="preserve">Cost Estimate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Fiber Conduit Infrastructure (Dual Entry)</w:t>
            </w:r>
          </w:p>
        </w:tc>
        <w:tc>
          <w:tcPr/>
          <w:p>
            <w:pPr>
              <w:pStyle w:val="Compact"/>
            </w:pPr>
            <w:r>
              <w:t xml:space="preserve">$200-400K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MPOE-1 Fit-Out (Racks, Power, Cooling)</w:t>
            </w:r>
          </w:p>
        </w:tc>
        <w:tc>
          <w:tcPr/>
          <w:p>
            <w:pPr>
              <w:pStyle w:val="Compact"/>
            </w:pPr>
            <w:r>
              <w:t xml:space="preserve">$150-300K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MPOE-2 Fit-Out (Racks, Power, Cooling)</w:t>
            </w:r>
          </w:p>
        </w:tc>
        <w:tc>
          <w:tcPr/>
          <w:p>
            <w:pPr>
              <w:pStyle w:val="Compact"/>
            </w:pPr>
            <w:r>
              <w:t xml:space="preserve">$150-300K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MDA Fit-Out (Core Switches, Racks)</w:t>
            </w:r>
          </w:p>
        </w:tc>
        <w:tc>
          <w:tcPr/>
          <w:p>
            <w:pPr>
              <w:pStyle w:val="Compact"/>
            </w:pPr>
            <w:r>
              <w:t xml:space="preserve">$100-200K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Fiber Backbone (MDA to Data Halls, MPOEs)</w:t>
            </w:r>
          </w:p>
        </w:tc>
        <w:tc>
          <w:tcPr/>
          <w:p>
            <w:pPr>
              <w:pStyle w:val="Compact"/>
            </w:pPr>
            <w:r>
              <w:t xml:space="preserve">$100-200K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Structured Cabling (Overhead, Cabinets)</w:t>
            </w:r>
          </w:p>
        </w:tc>
        <w:tc>
          <w:tcPr/>
          <w:p>
            <w:pPr>
              <w:pStyle w:val="Compact"/>
            </w:pPr>
            <w:r>
              <w:t xml:space="preserve">$200-400K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Grounding &amp; Bonding (TMGB, TBB)</w:t>
            </w:r>
          </w:p>
        </w:tc>
        <w:tc>
          <w:tcPr/>
          <w:p>
            <w:pPr>
              <w:pStyle w:val="Compact"/>
            </w:pPr>
            <w:r>
              <w:t xml:space="preserve">$50-100K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Cross-Connect Infrastructure</w:t>
            </w:r>
          </w:p>
        </w:tc>
        <w:tc>
          <w:tcPr/>
          <w:p>
            <w:pPr>
              <w:pStyle w:val="Compact"/>
            </w:pPr>
            <w:r>
              <w:t xml:space="preserve">$50-100K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Communications Infrastructure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$1.0-2.0M</w:t>
            </w:r>
          </w:p>
        </w:tc>
      </w:tr>
    </w:tbl>
    <w:p>
      <w:pPr>
        <w:pStyle w:val="BodyText"/>
      </w:pPr>
      <w:r>
        <w:rPr>
          <w:b/>
          <w:bCs/>
        </w:rPr>
        <w:t xml:space="preserve">Recurring Costs (OPEX):</w:t>
      </w:r>
      <w:r>
        <w:t xml:space="preserve"> </w:t>
      </w:r>
      <w:r>
        <w:t xml:space="preserve">- Carrier circuits: Varies by customer (customer-paid)</w:t>
      </w:r>
      <w:r>
        <w:t xml:space="preserve"> </w:t>
      </w:r>
      <w:r>
        <w:t xml:space="preserve">- Cloud on-ramps: $500-5,000/month per connection (customer-paid)</w:t>
      </w:r>
    </w:p>
    <w:p>
      <w:r>
        <w:pict>
          <v:rect style="width:0;height:1.5pt" o:hralign="center" o:hrstd="t" o:hr="t"/>
        </w:pict>
      </w:r>
    </w:p>
    <w:bookmarkEnd w:id="35"/>
    <w:bookmarkStart w:id="36" w:name="codes-and-standards"/>
    <w:p>
      <w:pPr>
        <w:pStyle w:val="Heading2"/>
      </w:pPr>
      <w:r>
        <w:t xml:space="preserve">CODES AND STANDARDS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TIA-942-B</w:t>
      </w:r>
      <w:r>
        <w:t xml:space="preserve"> </w:t>
      </w:r>
      <w:r>
        <w:t xml:space="preserve">(Telecommunications Infrastructure Standard for Data Centers)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TIA-568-D</w:t>
      </w:r>
      <w:r>
        <w:t xml:space="preserve"> </w:t>
      </w:r>
      <w:r>
        <w:t xml:space="preserve">(Commercial Building Telecommunications Cabling Standard)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TIA-607-C</w:t>
      </w:r>
      <w:r>
        <w:t xml:space="preserve"> </w:t>
      </w:r>
      <w:r>
        <w:t xml:space="preserve">(Telecommunications Bonding and Grounding)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NEC 2023 Article 800</w:t>
      </w:r>
      <w:r>
        <w:t xml:space="preserve"> </w:t>
      </w:r>
      <w:r>
        <w:t xml:space="preserve">(Communications Circuits)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BICSI DCIM</w:t>
      </w:r>
      <w:r>
        <w:t xml:space="preserve"> </w:t>
      </w:r>
      <w:r>
        <w:t xml:space="preserve">(Data Center Infrastructure Management Best Practices)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#pryor-dc #communications #fiber #mpoe #mmr #carrier-neutral #cloud-connectivity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Confirm fiber routes and carrier availability in Pryor, OK area</w:t>
      </w:r>
      <w:r>
        <w:t xml:space="preserve"> </w:t>
      </w:r>
      <w:r>
        <w:t xml:space="preserve">2. Negotiate carrier on-ramp agreements (AWS, Azure, GCP partners)</w:t>
      </w:r>
      <w:r>
        <w:t xml:space="preserve"> </w:t>
      </w:r>
      <w:r>
        <w:t xml:space="preserve">3. Design fiber backbone routing (overhead tray layout)</w:t>
      </w:r>
      <w:r>
        <w:t xml:space="preserve"> </w:t>
      </w:r>
      <w:r>
        <w:t xml:space="preserve">4. Develop cross-connect pricing and procedures for customers</w:t>
      </w:r>
      <w:r>
        <w:t xml:space="preserve"> </w:t>
      </w:r>
      <w:r>
        <w:t xml:space="preserve">5. Coordinate TMGB/TBB installation with electrical grounding system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 and Erik_BOD reference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Key Updates:</w:t>
      </w:r>
      <w:r>
        <w:t xml:space="preserve"> </w:t>
      </w:r>
      <w:r>
        <w:t xml:space="preserve">Dual MPOE/MMR for geographic diversity, cloud connectivity strategy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